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38545D">
      <w:pPr>
        <w:keepNext w:val="0"/>
        <w:keepLines w:val="0"/>
        <w:pageBreakBefore w:val="0"/>
        <w:widowControl w:val="0"/>
        <w:kinsoku/>
        <w:wordWrap/>
        <w:topLinePunct w:val="0"/>
        <w:bidi w:val="0"/>
        <w:adjustRightInd w:val="0"/>
        <w:snapToGrid w:val="0"/>
        <w:spacing w:line="360" w:lineRule="auto"/>
        <w:jc w:val="center"/>
        <w:rPr>
          <w:bCs/>
          <w:color w:val="000000" w:themeColor="text1"/>
          <w:kern w:val="0"/>
          <w:sz w:val="44"/>
          <w:highlight w:val="none"/>
        </w:rPr>
      </w:pPr>
      <w:bookmarkStart w:id="0" w:name="OLE_LINK6"/>
      <w:bookmarkStart w:id="1" w:name="OLE_LINK5"/>
    </w:p>
    <w:p w14:paraId="5623D8A1">
      <w:pPr>
        <w:keepNext w:val="0"/>
        <w:keepLines w:val="0"/>
        <w:pageBreakBefore w:val="0"/>
        <w:widowControl w:val="0"/>
        <w:kinsoku/>
        <w:wordWrap/>
        <w:topLinePunct w:val="0"/>
        <w:bidi w:val="0"/>
        <w:adjustRightInd w:val="0"/>
        <w:snapToGrid w:val="0"/>
        <w:spacing w:line="360" w:lineRule="auto"/>
        <w:jc w:val="center"/>
        <w:rPr>
          <w:rFonts w:ascii="宋体" w:hAnsi="宋体" w:cs="宋体"/>
          <w:b/>
          <w:bCs/>
          <w:color w:val="000000" w:themeColor="text1"/>
          <w:kern w:val="0"/>
          <w:sz w:val="44"/>
          <w:szCs w:val="24"/>
          <w:highlight w:val="none"/>
        </w:rPr>
      </w:pPr>
      <w:r>
        <w:rPr>
          <w:rFonts w:hint="eastAsia" w:ascii="宋体" w:hAnsi="宋体" w:cs="宋体"/>
          <w:b/>
          <w:bCs/>
          <w:color w:val="000000" w:themeColor="text1"/>
          <w:kern w:val="0"/>
          <w:sz w:val="44"/>
          <w:szCs w:val="24"/>
          <w:highlight w:val="none"/>
        </w:rPr>
        <w:t>华美线业有限公司</w:t>
      </w:r>
    </w:p>
    <w:p w14:paraId="0EC8EA1E">
      <w:pPr>
        <w:keepNext w:val="0"/>
        <w:keepLines w:val="0"/>
        <w:pageBreakBefore w:val="0"/>
        <w:widowControl w:val="0"/>
        <w:kinsoku/>
        <w:wordWrap/>
        <w:topLinePunct w:val="0"/>
        <w:bidi w:val="0"/>
        <w:adjustRightInd w:val="0"/>
        <w:snapToGrid w:val="0"/>
        <w:spacing w:line="360" w:lineRule="auto"/>
        <w:jc w:val="center"/>
        <w:rPr>
          <w:rFonts w:ascii="宋体" w:hAnsi="宋体" w:cs="宋体"/>
          <w:b/>
          <w:bCs/>
          <w:color w:val="000000" w:themeColor="text1"/>
          <w:kern w:val="0"/>
          <w:sz w:val="44"/>
          <w:szCs w:val="44"/>
          <w:highlight w:val="none"/>
        </w:rPr>
      </w:pPr>
      <w:r>
        <w:rPr>
          <w:rFonts w:hint="eastAsia" w:ascii="宋体" w:hAnsi="宋体" w:cs="宋体"/>
          <w:b/>
          <w:bCs/>
          <w:color w:val="000000" w:themeColor="text1"/>
          <w:kern w:val="0"/>
          <w:sz w:val="44"/>
          <w:szCs w:val="44"/>
          <w:highlight w:val="none"/>
        </w:rPr>
        <w:t>危险化学品使用</w:t>
      </w:r>
    </w:p>
    <w:p w14:paraId="26D0D49E">
      <w:pPr>
        <w:keepNext w:val="0"/>
        <w:keepLines w:val="0"/>
        <w:pageBreakBefore w:val="0"/>
        <w:widowControl w:val="0"/>
        <w:kinsoku/>
        <w:wordWrap/>
        <w:topLinePunct w:val="0"/>
        <w:bidi w:val="0"/>
        <w:adjustRightInd w:val="0"/>
        <w:snapToGrid w:val="0"/>
        <w:spacing w:line="360" w:lineRule="auto"/>
        <w:jc w:val="center"/>
        <w:rPr>
          <w:rFonts w:ascii="黑体" w:hAnsi="黑体" w:eastAsia="黑体" w:cs="黑体"/>
          <w:b/>
          <w:bCs/>
          <w:color w:val="000000" w:themeColor="text1"/>
          <w:kern w:val="0"/>
          <w:sz w:val="52"/>
          <w:szCs w:val="52"/>
          <w:highlight w:val="none"/>
        </w:rPr>
      </w:pPr>
      <w:bookmarkStart w:id="2" w:name="_Toc14500"/>
      <w:bookmarkStart w:id="3" w:name="_Toc22144"/>
      <w:r>
        <w:rPr>
          <w:rFonts w:hint="eastAsia" w:ascii="黑体" w:hAnsi="黑体" w:eastAsia="黑体" w:cs="黑体"/>
          <w:b/>
          <w:bCs/>
          <w:color w:val="000000" w:themeColor="text1"/>
          <w:kern w:val="0"/>
          <w:sz w:val="52"/>
          <w:szCs w:val="52"/>
          <w:highlight w:val="none"/>
        </w:rPr>
        <w:t>专项安全现状评价报告</w:t>
      </w:r>
      <w:bookmarkEnd w:id="2"/>
      <w:bookmarkEnd w:id="3"/>
    </w:p>
    <w:p w14:paraId="5D93A937">
      <w:pPr>
        <w:keepNext w:val="0"/>
        <w:keepLines w:val="0"/>
        <w:pageBreakBefore w:val="0"/>
        <w:widowControl w:val="0"/>
        <w:kinsoku/>
        <w:wordWrap/>
        <w:topLinePunct w:val="0"/>
        <w:bidi w:val="0"/>
        <w:adjustRightInd w:val="0"/>
        <w:snapToGrid w:val="0"/>
        <w:jc w:val="center"/>
        <w:rPr>
          <w:bCs/>
          <w:color w:val="000000" w:themeColor="text1"/>
          <w:kern w:val="0"/>
          <w:highlight w:val="none"/>
        </w:rPr>
      </w:pPr>
    </w:p>
    <w:p w14:paraId="0F9D770A">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17F8C8C6">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6EEBAE4E">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6973790E">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4B843D13">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6398AC38">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01FE5858">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0720B496">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7952F8DD">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13D99342">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5363F97F">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24868584">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1CEBC064">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19BF372A">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7108F92B">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16C1F257">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5E62171E">
      <w:pPr>
        <w:keepNext w:val="0"/>
        <w:keepLines w:val="0"/>
        <w:pageBreakBefore w:val="0"/>
        <w:widowControl w:val="0"/>
        <w:kinsoku/>
        <w:wordWrap/>
        <w:topLinePunct w:val="0"/>
        <w:bidi w:val="0"/>
        <w:adjustRightInd w:val="0"/>
        <w:snapToGrid w:val="0"/>
        <w:jc w:val="center"/>
        <w:rPr>
          <w:bCs/>
          <w:color w:val="000000" w:themeColor="text1"/>
          <w:kern w:val="0"/>
          <w:sz w:val="44"/>
          <w:highlight w:val="none"/>
        </w:rPr>
      </w:pPr>
    </w:p>
    <w:p w14:paraId="4DC30793">
      <w:pPr>
        <w:keepNext w:val="0"/>
        <w:keepLines w:val="0"/>
        <w:pageBreakBefore w:val="0"/>
        <w:widowControl w:val="0"/>
        <w:kinsoku/>
        <w:wordWrap/>
        <w:topLinePunct w:val="0"/>
        <w:bidi w:val="0"/>
        <w:adjustRightInd w:val="0"/>
        <w:snapToGrid w:val="0"/>
        <w:spacing w:line="360" w:lineRule="auto"/>
        <w:jc w:val="center"/>
        <w:rPr>
          <w:rFonts w:ascii="宋体" w:hAnsi="宋体" w:cs="宋体"/>
          <w:b/>
          <w:bCs/>
          <w:color w:val="000000" w:themeColor="text1"/>
          <w:kern w:val="0"/>
          <w:sz w:val="44"/>
          <w:szCs w:val="44"/>
          <w:highlight w:val="none"/>
        </w:rPr>
      </w:pPr>
      <w:r>
        <w:rPr>
          <w:rFonts w:hint="eastAsia" w:ascii="宋体" w:hAnsi="宋体" w:cs="宋体"/>
          <w:b/>
          <w:bCs/>
          <w:color w:val="000000" w:themeColor="text1"/>
          <w:kern w:val="0"/>
          <w:sz w:val="44"/>
          <w:szCs w:val="44"/>
          <w:highlight w:val="none"/>
        </w:rPr>
        <w:t>山东实华安全技术有限公司</w:t>
      </w:r>
    </w:p>
    <w:p w14:paraId="52A4A005">
      <w:pPr>
        <w:keepNext w:val="0"/>
        <w:keepLines w:val="0"/>
        <w:pageBreakBefore w:val="0"/>
        <w:widowControl w:val="0"/>
        <w:kinsoku/>
        <w:wordWrap/>
        <w:topLinePunct w:val="0"/>
        <w:bidi w:val="0"/>
        <w:adjustRightInd w:val="0"/>
        <w:snapToGrid w:val="0"/>
        <w:spacing w:line="360" w:lineRule="auto"/>
        <w:jc w:val="center"/>
        <w:rPr>
          <w:rFonts w:ascii="宋体" w:hAnsi="宋体" w:cs="宋体"/>
          <w:b/>
          <w:bCs/>
          <w:color w:val="000000" w:themeColor="text1"/>
          <w:kern w:val="0"/>
          <w:sz w:val="32"/>
          <w:szCs w:val="24"/>
          <w:highlight w:val="none"/>
        </w:rPr>
      </w:pPr>
      <w:r>
        <w:rPr>
          <w:rFonts w:hint="eastAsia" w:ascii="宋体" w:hAnsi="宋体" w:cs="宋体"/>
          <w:b/>
          <w:bCs/>
          <w:color w:val="000000" w:themeColor="text1"/>
          <w:kern w:val="0"/>
          <w:sz w:val="32"/>
          <w:szCs w:val="24"/>
          <w:highlight w:val="none"/>
        </w:rPr>
        <w:t>资质证书：</w:t>
      </w:r>
      <w:r>
        <w:rPr>
          <w:rFonts w:ascii="宋体" w:hAnsi="宋体" w:cs="宋体"/>
          <w:b/>
          <w:bCs/>
          <w:color w:val="000000" w:themeColor="text1"/>
          <w:kern w:val="0"/>
          <w:sz w:val="32"/>
          <w:szCs w:val="24"/>
          <w:highlight w:val="none"/>
        </w:rPr>
        <w:t>APJ-</w:t>
      </w:r>
      <w:r>
        <w:rPr>
          <w:rFonts w:hint="eastAsia" w:ascii="宋体" w:hAnsi="宋体" w:cs="宋体"/>
          <w:b/>
          <w:bCs/>
          <w:color w:val="000000" w:themeColor="text1"/>
          <w:kern w:val="0"/>
          <w:sz w:val="32"/>
          <w:szCs w:val="24"/>
          <w:highlight w:val="none"/>
        </w:rPr>
        <w:t>（鲁）-013</w:t>
      </w:r>
    </w:p>
    <w:p w14:paraId="30C2C4ED">
      <w:pPr>
        <w:keepNext w:val="0"/>
        <w:keepLines w:val="0"/>
        <w:pageBreakBefore w:val="0"/>
        <w:widowControl w:val="0"/>
        <w:kinsoku/>
        <w:wordWrap/>
        <w:topLinePunct w:val="0"/>
        <w:bidi w:val="0"/>
        <w:adjustRightInd w:val="0"/>
        <w:snapToGrid w:val="0"/>
        <w:spacing w:line="360" w:lineRule="auto"/>
        <w:jc w:val="center"/>
        <w:rPr>
          <w:rFonts w:hint="eastAsia" w:ascii="宋体" w:hAnsi="宋体" w:eastAsia="宋体" w:cs="宋体"/>
          <w:b/>
          <w:bCs/>
          <w:color w:val="000000" w:themeColor="text1"/>
          <w:kern w:val="0"/>
          <w:sz w:val="32"/>
          <w:szCs w:val="24"/>
          <w:highlight w:val="none"/>
          <w:lang w:val="en-US" w:eastAsia="zh-CN"/>
        </w:rPr>
        <w:sectPr>
          <w:headerReference r:id="rId4" w:type="first"/>
          <w:footerReference r:id="rId6" w:type="first"/>
          <w:headerReference r:id="rId3" w:type="default"/>
          <w:footerReference r:id="rId5" w:type="even"/>
          <w:type w:val="nextColumn"/>
          <w:pgSz w:w="11907" w:h="16840"/>
          <w:pgMar w:top="1418" w:right="1134" w:bottom="1134" w:left="1588" w:header="851" w:footer="992" w:gutter="0"/>
          <w:paperSrc w:first="1261" w:other="1261"/>
          <w:pgBorders>
            <w:top w:val="none" w:sz="0" w:space="0"/>
            <w:left w:val="none" w:sz="0" w:space="0"/>
            <w:bottom w:val="none" w:sz="0" w:space="0"/>
            <w:right w:val="none" w:sz="0" w:space="0"/>
          </w:pgBorders>
          <w:pgNumType w:fmt="upperRoman" w:start="1"/>
          <w:cols w:space="720" w:num="1"/>
          <w:docGrid w:linePitch="435" w:charSpace="-6554"/>
        </w:sectPr>
      </w:pPr>
      <w:r>
        <w:rPr>
          <w:rFonts w:hint="eastAsia" w:ascii="宋体" w:hAnsi="宋体" w:cs="宋体"/>
          <w:b/>
          <w:bCs/>
          <w:color w:val="000000" w:themeColor="text1"/>
          <w:kern w:val="0"/>
          <w:sz w:val="32"/>
          <w:szCs w:val="24"/>
          <w:highlight w:val="none"/>
        </w:rPr>
        <w:t>202</w:t>
      </w:r>
      <w:r>
        <w:rPr>
          <w:rFonts w:hint="default" w:cs="宋体"/>
          <w:b/>
          <w:bCs/>
          <w:color w:val="000000" w:themeColor="text1"/>
          <w:kern w:val="0"/>
          <w:sz w:val="32"/>
          <w:szCs w:val="24"/>
          <w:highlight w:val="none"/>
          <w:lang w:val="en-US"/>
        </w:rPr>
        <w:t>4</w:t>
      </w:r>
      <w:r>
        <w:rPr>
          <w:rFonts w:hint="eastAsia" w:ascii="宋体" w:hAnsi="宋体" w:cs="宋体"/>
          <w:b/>
          <w:bCs/>
          <w:color w:val="000000" w:themeColor="text1"/>
          <w:kern w:val="0"/>
          <w:sz w:val="32"/>
          <w:szCs w:val="24"/>
          <w:highlight w:val="none"/>
        </w:rPr>
        <w:t>年</w:t>
      </w:r>
      <w:r>
        <w:rPr>
          <w:rFonts w:hint="eastAsia" w:cs="宋体"/>
          <w:b/>
          <w:bCs/>
          <w:color w:val="000000" w:themeColor="text1"/>
          <w:kern w:val="0"/>
          <w:sz w:val="32"/>
          <w:szCs w:val="24"/>
          <w:highlight w:val="none"/>
          <w:lang w:val="en-US" w:eastAsia="zh-CN"/>
        </w:rPr>
        <w:t>5</w:t>
      </w:r>
      <w:r>
        <w:rPr>
          <w:rFonts w:hint="eastAsia" w:ascii="宋体" w:hAnsi="宋体" w:cs="宋体"/>
          <w:b/>
          <w:bCs/>
          <w:color w:val="000000" w:themeColor="text1"/>
          <w:kern w:val="0"/>
          <w:sz w:val="32"/>
          <w:szCs w:val="24"/>
          <w:highlight w:val="none"/>
        </w:rPr>
        <w:t>月</w:t>
      </w:r>
      <w:r>
        <w:rPr>
          <w:rFonts w:hint="eastAsia" w:cs="宋体"/>
          <w:b/>
          <w:bCs/>
          <w:color w:val="000000" w:themeColor="text1"/>
          <w:kern w:val="0"/>
          <w:sz w:val="32"/>
          <w:szCs w:val="24"/>
          <w:highlight w:val="none"/>
          <w:lang w:val="en-US" w:eastAsia="zh-CN"/>
        </w:rPr>
        <w:t>10</w:t>
      </w:r>
      <w:r>
        <w:rPr>
          <w:rFonts w:hint="eastAsia" w:ascii="宋体" w:hAnsi="宋体" w:cs="宋体"/>
          <w:b/>
          <w:bCs/>
          <w:color w:val="000000" w:themeColor="text1"/>
          <w:kern w:val="0"/>
          <w:sz w:val="32"/>
          <w:szCs w:val="24"/>
          <w:highlight w:val="none"/>
          <w:lang w:val="en-US" w:eastAsia="zh-CN"/>
        </w:rPr>
        <w:t>日</w:t>
      </w:r>
    </w:p>
    <w:p w14:paraId="2D01B621">
      <w:pPr>
        <w:keepNext w:val="0"/>
        <w:keepLines w:val="0"/>
        <w:pageBreakBefore w:val="0"/>
        <w:widowControl w:val="0"/>
        <w:kinsoku/>
        <w:wordWrap/>
        <w:topLinePunct w:val="0"/>
        <w:bidi w:val="0"/>
        <w:adjustRightInd w:val="0"/>
        <w:snapToGrid w:val="0"/>
        <w:spacing w:line="360" w:lineRule="auto"/>
        <w:jc w:val="center"/>
        <w:rPr>
          <w:b/>
          <w:color w:val="000000" w:themeColor="text1"/>
          <w:sz w:val="44"/>
          <w:highlight w:val="none"/>
        </w:rPr>
      </w:pPr>
    </w:p>
    <w:p w14:paraId="59EFDB65">
      <w:pPr>
        <w:keepNext w:val="0"/>
        <w:keepLines w:val="0"/>
        <w:pageBreakBefore w:val="0"/>
        <w:widowControl w:val="0"/>
        <w:kinsoku/>
        <w:wordWrap/>
        <w:topLinePunct w:val="0"/>
        <w:bidi w:val="0"/>
        <w:adjustRightInd w:val="0"/>
        <w:snapToGrid w:val="0"/>
        <w:spacing w:line="360" w:lineRule="auto"/>
        <w:jc w:val="center"/>
        <w:rPr>
          <w:b/>
          <w:color w:val="000000" w:themeColor="text1"/>
          <w:sz w:val="32"/>
          <w:highlight w:val="none"/>
        </w:rPr>
      </w:pPr>
    </w:p>
    <w:p w14:paraId="2CE57F87">
      <w:pPr>
        <w:keepNext w:val="0"/>
        <w:keepLines w:val="0"/>
        <w:pageBreakBefore w:val="0"/>
        <w:widowControl w:val="0"/>
        <w:kinsoku/>
        <w:wordWrap/>
        <w:topLinePunct w:val="0"/>
        <w:bidi w:val="0"/>
        <w:adjustRightInd w:val="0"/>
        <w:snapToGrid w:val="0"/>
        <w:spacing w:line="360" w:lineRule="auto"/>
        <w:jc w:val="left"/>
        <w:rPr>
          <w:rFonts w:ascii="宋体" w:hAnsi="宋体" w:cs="宋体"/>
          <w:color w:val="000000" w:themeColor="text1"/>
          <w:kern w:val="0"/>
          <w:szCs w:val="28"/>
          <w:highlight w:val="none"/>
          <w:lang w:val="zh-CN"/>
        </w:rPr>
      </w:pPr>
      <w:r>
        <w:rPr>
          <w:rFonts w:ascii="Times New Roman"/>
          <w:color w:val="000000" w:themeColor="text1"/>
          <w:sz w:val="28"/>
          <w:highlight w:val="none"/>
        </w:rPr>
        <w:br w:type="page"/>
      </w:r>
      <w:r>
        <w:rPr>
          <w:rFonts w:hint="eastAsia" w:ascii="宋体" w:hAnsi="宋体" w:cs="宋体"/>
          <w:color w:val="000000" w:themeColor="text1"/>
          <w:kern w:val="0"/>
          <w:szCs w:val="28"/>
          <w:highlight w:val="none"/>
          <w:lang w:val="zh-CN"/>
        </w:rPr>
        <w:t>编号：</w:t>
      </w:r>
    </w:p>
    <w:p w14:paraId="60DF950F">
      <w:pPr>
        <w:pStyle w:val="26"/>
        <w:keepNext w:val="0"/>
        <w:keepLines w:val="0"/>
        <w:pageBreakBefore w:val="0"/>
        <w:widowControl w:val="0"/>
        <w:kinsoku/>
        <w:wordWrap/>
        <w:topLinePunct w:val="0"/>
        <w:bidi w:val="0"/>
        <w:adjustRightInd w:val="0"/>
        <w:snapToGrid w:val="0"/>
        <w:ind w:firstLine="280"/>
        <w:rPr>
          <w:color w:val="000000" w:themeColor="text1"/>
          <w:kern w:val="0"/>
          <w:highlight w:val="none"/>
        </w:rPr>
      </w:pPr>
    </w:p>
    <w:p w14:paraId="3884F4E8">
      <w:pPr>
        <w:keepNext w:val="0"/>
        <w:keepLines w:val="0"/>
        <w:pageBreakBefore w:val="0"/>
        <w:widowControl w:val="0"/>
        <w:kinsoku/>
        <w:wordWrap/>
        <w:topLinePunct w:val="0"/>
        <w:bidi w:val="0"/>
        <w:adjustRightInd w:val="0"/>
        <w:snapToGrid w:val="0"/>
        <w:spacing w:line="360" w:lineRule="auto"/>
        <w:jc w:val="center"/>
        <w:rPr>
          <w:bCs/>
          <w:color w:val="000000" w:themeColor="text1"/>
          <w:kern w:val="0"/>
          <w:sz w:val="32"/>
          <w:szCs w:val="32"/>
          <w:highlight w:val="none"/>
        </w:rPr>
      </w:pPr>
    </w:p>
    <w:p w14:paraId="0DC7786F">
      <w:pPr>
        <w:keepNext w:val="0"/>
        <w:keepLines w:val="0"/>
        <w:pageBreakBefore w:val="0"/>
        <w:widowControl w:val="0"/>
        <w:kinsoku/>
        <w:wordWrap/>
        <w:topLinePunct w:val="0"/>
        <w:bidi w:val="0"/>
        <w:adjustRightInd w:val="0"/>
        <w:snapToGrid w:val="0"/>
        <w:spacing w:line="360" w:lineRule="auto"/>
        <w:jc w:val="center"/>
        <w:rPr>
          <w:rFonts w:ascii="宋体" w:hAnsi="宋体" w:cs="宋体"/>
          <w:b/>
          <w:bCs/>
          <w:color w:val="000000" w:themeColor="text1"/>
          <w:kern w:val="0"/>
          <w:sz w:val="32"/>
          <w:szCs w:val="32"/>
          <w:highlight w:val="none"/>
        </w:rPr>
      </w:pPr>
      <w:r>
        <w:rPr>
          <w:rFonts w:hint="eastAsia" w:ascii="宋体" w:hAnsi="宋体" w:cs="宋体"/>
          <w:b/>
          <w:bCs/>
          <w:color w:val="000000" w:themeColor="text1"/>
          <w:kern w:val="0"/>
          <w:sz w:val="32"/>
          <w:szCs w:val="32"/>
          <w:highlight w:val="none"/>
        </w:rPr>
        <w:t>华美线业有限公司</w:t>
      </w:r>
    </w:p>
    <w:p w14:paraId="55774631">
      <w:pPr>
        <w:keepNext w:val="0"/>
        <w:keepLines w:val="0"/>
        <w:pageBreakBefore w:val="0"/>
        <w:widowControl w:val="0"/>
        <w:kinsoku/>
        <w:wordWrap/>
        <w:topLinePunct w:val="0"/>
        <w:bidi w:val="0"/>
        <w:adjustRightInd w:val="0"/>
        <w:snapToGrid w:val="0"/>
        <w:spacing w:line="360" w:lineRule="auto"/>
        <w:jc w:val="center"/>
        <w:rPr>
          <w:rFonts w:ascii="宋体" w:hAnsi="宋体" w:cs="宋体"/>
          <w:b/>
          <w:bCs/>
          <w:color w:val="000000" w:themeColor="text1"/>
          <w:kern w:val="0"/>
          <w:sz w:val="32"/>
          <w:szCs w:val="32"/>
          <w:highlight w:val="none"/>
        </w:rPr>
      </w:pPr>
      <w:r>
        <w:rPr>
          <w:rFonts w:hint="eastAsia" w:ascii="宋体" w:hAnsi="宋体" w:cs="宋体"/>
          <w:b/>
          <w:bCs/>
          <w:color w:val="000000" w:themeColor="text1"/>
          <w:kern w:val="0"/>
          <w:sz w:val="32"/>
          <w:szCs w:val="32"/>
          <w:highlight w:val="none"/>
        </w:rPr>
        <w:t>危险化学品使用</w:t>
      </w:r>
    </w:p>
    <w:p w14:paraId="1894BE72">
      <w:pPr>
        <w:pStyle w:val="26"/>
        <w:keepNext w:val="0"/>
        <w:keepLines w:val="0"/>
        <w:pageBreakBefore w:val="0"/>
        <w:widowControl w:val="0"/>
        <w:kinsoku/>
        <w:wordWrap/>
        <w:topLinePunct w:val="0"/>
        <w:bidi w:val="0"/>
        <w:adjustRightInd w:val="0"/>
        <w:snapToGrid w:val="0"/>
        <w:ind w:firstLine="280"/>
        <w:rPr>
          <w:color w:val="000000" w:themeColor="text1"/>
          <w:kern w:val="0"/>
          <w:highlight w:val="none"/>
        </w:rPr>
      </w:pPr>
    </w:p>
    <w:p w14:paraId="7EE786C0">
      <w:pPr>
        <w:keepNext w:val="0"/>
        <w:keepLines w:val="0"/>
        <w:pageBreakBefore w:val="0"/>
        <w:widowControl w:val="0"/>
        <w:kinsoku/>
        <w:wordWrap/>
        <w:topLinePunct w:val="0"/>
        <w:bidi w:val="0"/>
        <w:adjustRightInd w:val="0"/>
        <w:snapToGrid w:val="0"/>
        <w:spacing w:line="360" w:lineRule="auto"/>
        <w:jc w:val="center"/>
        <w:rPr>
          <w:rFonts w:ascii="宋体" w:hAnsi="宋体" w:cs="宋体"/>
          <w:b/>
          <w:bCs/>
          <w:color w:val="000000" w:themeColor="text1"/>
          <w:kern w:val="0"/>
          <w:sz w:val="44"/>
          <w:szCs w:val="44"/>
          <w:highlight w:val="none"/>
        </w:rPr>
      </w:pPr>
      <w:r>
        <w:rPr>
          <w:rFonts w:hint="eastAsia" w:ascii="宋体" w:hAnsi="宋体" w:cs="宋体"/>
          <w:b/>
          <w:bCs/>
          <w:color w:val="000000" w:themeColor="text1"/>
          <w:kern w:val="0"/>
          <w:sz w:val="44"/>
          <w:szCs w:val="44"/>
          <w:highlight w:val="none"/>
        </w:rPr>
        <w:t>专项安全现状评价报告</w:t>
      </w:r>
    </w:p>
    <w:p w14:paraId="09235ACB">
      <w:pPr>
        <w:keepNext w:val="0"/>
        <w:keepLines w:val="0"/>
        <w:pageBreakBefore w:val="0"/>
        <w:widowControl w:val="0"/>
        <w:kinsoku/>
        <w:wordWrap/>
        <w:topLinePunct w:val="0"/>
        <w:bidi w:val="0"/>
        <w:adjustRightInd w:val="0"/>
        <w:snapToGrid w:val="0"/>
        <w:spacing w:line="360" w:lineRule="auto"/>
        <w:jc w:val="center"/>
        <w:rPr>
          <w:bCs/>
          <w:color w:val="000000" w:themeColor="text1"/>
          <w:kern w:val="0"/>
          <w:sz w:val="44"/>
          <w:szCs w:val="44"/>
          <w:highlight w:val="none"/>
        </w:rPr>
      </w:pPr>
    </w:p>
    <w:p w14:paraId="5F51352E">
      <w:pPr>
        <w:keepNext w:val="0"/>
        <w:keepLines w:val="0"/>
        <w:pageBreakBefore w:val="0"/>
        <w:widowControl w:val="0"/>
        <w:kinsoku/>
        <w:wordWrap/>
        <w:topLinePunct w:val="0"/>
        <w:bidi w:val="0"/>
        <w:adjustRightInd w:val="0"/>
        <w:snapToGrid w:val="0"/>
        <w:jc w:val="center"/>
        <w:rPr>
          <w:bCs/>
          <w:color w:val="000000" w:themeColor="text1"/>
          <w:kern w:val="0"/>
          <w:szCs w:val="28"/>
          <w:highlight w:val="none"/>
        </w:rPr>
      </w:pPr>
    </w:p>
    <w:p w14:paraId="29A4BA75">
      <w:pPr>
        <w:keepNext w:val="0"/>
        <w:keepLines w:val="0"/>
        <w:pageBreakBefore w:val="0"/>
        <w:widowControl w:val="0"/>
        <w:kinsoku/>
        <w:wordWrap/>
        <w:topLinePunct w:val="0"/>
        <w:bidi w:val="0"/>
        <w:adjustRightInd w:val="0"/>
        <w:snapToGrid w:val="0"/>
        <w:jc w:val="center"/>
        <w:rPr>
          <w:bCs/>
          <w:color w:val="000000" w:themeColor="text1"/>
          <w:kern w:val="0"/>
          <w:szCs w:val="28"/>
          <w:highlight w:val="none"/>
        </w:rPr>
      </w:pPr>
    </w:p>
    <w:p w14:paraId="1870EE2B">
      <w:pPr>
        <w:keepNext w:val="0"/>
        <w:keepLines w:val="0"/>
        <w:pageBreakBefore w:val="0"/>
        <w:widowControl w:val="0"/>
        <w:kinsoku/>
        <w:wordWrap/>
        <w:topLinePunct w:val="0"/>
        <w:bidi w:val="0"/>
        <w:adjustRightInd w:val="0"/>
        <w:snapToGrid w:val="0"/>
        <w:jc w:val="center"/>
        <w:rPr>
          <w:rFonts w:ascii="宋体" w:hAnsi="宋体" w:cs="宋体"/>
          <w:bCs/>
          <w:color w:val="000000" w:themeColor="text1"/>
          <w:kern w:val="0"/>
          <w:szCs w:val="28"/>
          <w:highlight w:val="none"/>
        </w:rPr>
      </w:pPr>
    </w:p>
    <w:p w14:paraId="7A4353F9">
      <w:pPr>
        <w:keepNext w:val="0"/>
        <w:keepLines w:val="0"/>
        <w:pageBreakBefore w:val="0"/>
        <w:widowControl w:val="0"/>
        <w:kinsoku/>
        <w:wordWrap/>
        <w:topLinePunct w:val="0"/>
        <w:bidi w:val="0"/>
        <w:adjustRightInd w:val="0"/>
        <w:snapToGrid w:val="0"/>
        <w:spacing w:line="360" w:lineRule="auto"/>
        <w:jc w:val="center"/>
        <w:rPr>
          <w:rFonts w:ascii="宋体" w:hAnsi="宋体" w:cs="宋体"/>
          <w:color w:val="000000" w:themeColor="text1"/>
          <w:kern w:val="0"/>
          <w:szCs w:val="28"/>
          <w:highlight w:val="none"/>
          <w:lang w:val="zh-CN"/>
        </w:rPr>
      </w:pPr>
      <w:r>
        <w:rPr>
          <w:rFonts w:hint="eastAsia" w:ascii="宋体" w:hAnsi="宋体" w:cs="宋体"/>
          <w:color w:val="000000" w:themeColor="text1"/>
          <w:kern w:val="0"/>
          <w:szCs w:val="28"/>
          <w:highlight w:val="none"/>
          <w:lang w:val="zh-CN"/>
        </w:rPr>
        <w:t xml:space="preserve">法定代表人：任红艳 </w:t>
      </w:r>
    </w:p>
    <w:p w14:paraId="0129F395">
      <w:pPr>
        <w:keepNext w:val="0"/>
        <w:keepLines w:val="0"/>
        <w:pageBreakBefore w:val="0"/>
        <w:widowControl w:val="0"/>
        <w:kinsoku/>
        <w:wordWrap/>
        <w:topLinePunct w:val="0"/>
        <w:bidi w:val="0"/>
        <w:adjustRightInd w:val="0"/>
        <w:snapToGrid w:val="0"/>
        <w:spacing w:line="360" w:lineRule="auto"/>
        <w:jc w:val="center"/>
        <w:rPr>
          <w:rFonts w:ascii="宋体" w:hAnsi="宋体" w:cs="宋体"/>
          <w:color w:val="000000" w:themeColor="text1"/>
          <w:kern w:val="0"/>
          <w:szCs w:val="28"/>
          <w:highlight w:val="none"/>
          <w:lang w:val="zh-CN"/>
        </w:rPr>
      </w:pPr>
      <w:r>
        <w:rPr>
          <w:rFonts w:hint="eastAsia" w:ascii="宋体" w:hAnsi="宋体" w:cs="宋体"/>
          <w:color w:val="000000" w:themeColor="text1"/>
          <w:kern w:val="0"/>
          <w:szCs w:val="28"/>
          <w:highlight w:val="none"/>
          <w:lang w:val="zh-CN"/>
        </w:rPr>
        <w:t>技术负责人：</w:t>
      </w:r>
      <w:r>
        <w:rPr>
          <w:rFonts w:hint="eastAsia" w:ascii="宋体" w:hAnsi="宋体" w:cs="宋体"/>
          <w:color w:val="000000" w:themeColor="text1"/>
          <w:kern w:val="0"/>
          <w:szCs w:val="28"/>
          <w:highlight w:val="none"/>
          <w:lang w:val="en-US" w:eastAsia="zh-CN"/>
        </w:rPr>
        <w:t>吴佳东</w:t>
      </w:r>
      <w:r>
        <w:rPr>
          <w:rFonts w:hint="eastAsia" w:ascii="宋体" w:hAnsi="宋体" w:cs="宋体"/>
          <w:color w:val="000000" w:themeColor="text1"/>
          <w:kern w:val="0"/>
          <w:szCs w:val="28"/>
          <w:highlight w:val="none"/>
          <w:lang w:val="zh-CN"/>
        </w:rPr>
        <w:t xml:space="preserve">  </w:t>
      </w:r>
    </w:p>
    <w:p w14:paraId="78E00EA8">
      <w:pPr>
        <w:keepNext w:val="0"/>
        <w:keepLines w:val="0"/>
        <w:pageBreakBefore w:val="0"/>
        <w:widowControl w:val="0"/>
        <w:kinsoku/>
        <w:wordWrap/>
        <w:topLinePunct w:val="0"/>
        <w:bidi w:val="0"/>
        <w:adjustRightInd w:val="0"/>
        <w:snapToGrid w:val="0"/>
        <w:spacing w:line="360" w:lineRule="auto"/>
        <w:jc w:val="center"/>
        <w:rPr>
          <w:rFonts w:ascii="宋体" w:hAnsi="宋体" w:cs="宋体"/>
          <w:color w:val="000000" w:themeColor="text1"/>
          <w:kern w:val="0"/>
          <w:szCs w:val="28"/>
          <w:highlight w:val="none"/>
          <w:lang w:val="zh-CN"/>
        </w:rPr>
      </w:pPr>
      <w:r>
        <w:rPr>
          <w:rFonts w:hint="eastAsia" w:ascii="宋体" w:hAnsi="宋体" w:cs="宋体"/>
          <w:color w:val="000000" w:themeColor="text1"/>
          <w:kern w:val="0"/>
          <w:szCs w:val="28"/>
          <w:highlight w:val="none"/>
          <w:lang w:val="zh-CN"/>
        </w:rPr>
        <w:t>项目负责人：</w:t>
      </w:r>
      <w:r>
        <w:rPr>
          <w:rFonts w:hint="eastAsia" w:ascii="宋体" w:hAnsi="宋体" w:cs="宋体"/>
          <w:color w:val="000000" w:themeColor="text1"/>
          <w:kern w:val="0"/>
          <w:szCs w:val="28"/>
          <w:highlight w:val="none"/>
          <w:lang w:val="en-US" w:eastAsia="zh-CN"/>
        </w:rPr>
        <w:t>朱行郎</w:t>
      </w:r>
    </w:p>
    <w:p w14:paraId="327A0CAD">
      <w:pPr>
        <w:keepNext w:val="0"/>
        <w:keepLines w:val="0"/>
        <w:pageBreakBefore w:val="0"/>
        <w:widowControl w:val="0"/>
        <w:kinsoku/>
        <w:wordWrap/>
        <w:topLinePunct w:val="0"/>
        <w:bidi w:val="0"/>
        <w:adjustRightInd w:val="0"/>
        <w:snapToGrid w:val="0"/>
        <w:jc w:val="center"/>
        <w:rPr>
          <w:bCs/>
          <w:color w:val="000000" w:themeColor="text1"/>
          <w:kern w:val="0"/>
          <w:szCs w:val="28"/>
          <w:highlight w:val="none"/>
        </w:rPr>
      </w:pPr>
    </w:p>
    <w:p w14:paraId="01098574">
      <w:pPr>
        <w:keepNext w:val="0"/>
        <w:keepLines w:val="0"/>
        <w:pageBreakBefore w:val="0"/>
        <w:widowControl w:val="0"/>
        <w:kinsoku/>
        <w:wordWrap/>
        <w:topLinePunct w:val="0"/>
        <w:bidi w:val="0"/>
        <w:adjustRightInd w:val="0"/>
        <w:snapToGrid w:val="0"/>
        <w:jc w:val="center"/>
        <w:rPr>
          <w:bCs/>
          <w:color w:val="000000" w:themeColor="text1"/>
          <w:kern w:val="0"/>
          <w:szCs w:val="28"/>
          <w:highlight w:val="none"/>
        </w:rPr>
      </w:pPr>
    </w:p>
    <w:p w14:paraId="6F8A3E63">
      <w:pPr>
        <w:keepNext w:val="0"/>
        <w:keepLines w:val="0"/>
        <w:pageBreakBefore w:val="0"/>
        <w:widowControl w:val="0"/>
        <w:kinsoku/>
        <w:wordWrap/>
        <w:topLinePunct w:val="0"/>
        <w:bidi w:val="0"/>
        <w:adjustRightInd w:val="0"/>
        <w:snapToGrid w:val="0"/>
        <w:jc w:val="center"/>
        <w:rPr>
          <w:bCs/>
          <w:color w:val="000000" w:themeColor="text1"/>
          <w:kern w:val="0"/>
          <w:szCs w:val="28"/>
          <w:highlight w:val="none"/>
        </w:rPr>
      </w:pPr>
    </w:p>
    <w:p w14:paraId="3E0B0CEF">
      <w:pPr>
        <w:keepNext w:val="0"/>
        <w:keepLines w:val="0"/>
        <w:pageBreakBefore w:val="0"/>
        <w:widowControl w:val="0"/>
        <w:kinsoku/>
        <w:wordWrap/>
        <w:topLinePunct w:val="0"/>
        <w:bidi w:val="0"/>
        <w:adjustRightInd w:val="0"/>
        <w:snapToGrid w:val="0"/>
        <w:jc w:val="center"/>
        <w:rPr>
          <w:bCs/>
          <w:color w:val="000000" w:themeColor="text1"/>
          <w:kern w:val="0"/>
          <w:szCs w:val="28"/>
          <w:highlight w:val="none"/>
        </w:rPr>
      </w:pPr>
    </w:p>
    <w:p w14:paraId="6EB63519">
      <w:pPr>
        <w:keepNext w:val="0"/>
        <w:keepLines w:val="0"/>
        <w:pageBreakBefore w:val="0"/>
        <w:widowControl w:val="0"/>
        <w:kinsoku/>
        <w:wordWrap/>
        <w:topLinePunct w:val="0"/>
        <w:bidi w:val="0"/>
        <w:adjustRightInd w:val="0"/>
        <w:snapToGrid w:val="0"/>
        <w:jc w:val="center"/>
        <w:rPr>
          <w:bCs/>
          <w:color w:val="000000" w:themeColor="text1"/>
          <w:kern w:val="0"/>
          <w:szCs w:val="28"/>
          <w:highlight w:val="none"/>
        </w:rPr>
      </w:pPr>
    </w:p>
    <w:p w14:paraId="242326F8">
      <w:pPr>
        <w:pStyle w:val="26"/>
        <w:keepNext w:val="0"/>
        <w:keepLines w:val="0"/>
        <w:pageBreakBefore w:val="0"/>
        <w:widowControl w:val="0"/>
        <w:kinsoku/>
        <w:wordWrap/>
        <w:topLinePunct w:val="0"/>
        <w:bidi w:val="0"/>
        <w:adjustRightInd w:val="0"/>
        <w:snapToGrid w:val="0"/>
        <w:ind w:firstLine="280"/>
        <w:rPr>
          <w:color w:val="000000" w:themeColor="text1"/>
          <w:kern w:val="0"/>
          <w:highlight w:val="none"/>
        </w:rPr>
      </w:pPr>
    </w:p>
    <w:p w14:paraId="599D0A4D">
      <w:pPr>
        <w:keepNext w:val="0"/>
        <w:keepLines w:val="0"/>
        <w:pageBreakBefore w:val="0"/>
        <w:widowControl w:val="0"/>
        <w:kinsoku/>
        <w:wordWrap/>
        <w:topLinePunct w:val="0"/>
        <w:bidi w:val="0"/>
        <w:adjustRightInd w:val="0"/>
        <w:snapToGrid w:val="0"/>
        <w:jc w:val="center"/>
        <w:rPr>
          <w:bCs/>
          <w:color w:val="000000" w:themeColor="text1"/>
          <w:kern w:val="0"/>
          <w:szCs w:val="28"/>
          <w:highlight w:val="none"/>
        </w:rPr>
      </w:pPr>
    </w:p>
    <w:p w14:paraId="78BEEBF8">
      <w:pPr>
        <w:keepNext w:val="0"/>
        <w:keepLines w:val="0"/>
        <w:pageBreakBefore w:val="0"/>
        <w:widowControl w:val="0"/>
        <w:kinsoku/>
        <w:wordWrap/>
        <w:topLinePunct w:val="0"/>
        <w:bidi w:val="0"/>
        <w:adjustRightInd w:val="0"/>
        <w:snapToGrid w:val="0"/>
        <w:jc w:val="center"/>
        <w:rPr>
          <w:bCs/>
          <w:color w:val="000000" w:themeColor="text1"/>
          <w:kern w:val="0"/>
          <w:szCs w:val="28"/>
          <w:highlight w:val="none"/>
        </w:rPr>
      </w:pPr>
    </w:p>
    <w:p w14:paraId="275ACCC5">
      <w:pPr>
        <w:keepNext w:val="0"/>
        <w:keepLines w:val="0"/>
        <w:pageBreakBefore w:val="0"/>
        <w:widowControl w:val="0"/>
        <w:kinsoku/>
        <w:wordWrap/>
        <w:topLinePunct w:val="0"/>
        <w:bidi w:val="0"/>
        <w:adjustRightInd w:val="0"/>
        <w:snapToGrid w:val="0"/>
        <w:jc w:val="center"/>
        <w:rPr>
          <w:bCs/>
          <w:color w:val="000000" w:themeColor="text1"/>
          <w:kern w:val="0"/>
          <w:szCs w:val="28"/>
          <w:highlight w:val="none"/>
        </w:rPr>
      </w:pPr>
    </w:p>
    <w:p w14:paraId="1FE49A14">
      <w:pPr>
        <w:keepNext w:val="0"/>
        <w:keepLines w:val="0"/>
        <w:pageBreakBefore w:val="0"/>
        <w:widowControl w:val="0"/>
        <w:kinsoku/>
        <w:wordWrap/>
        <w:topLinePunct w:val="0"/>
        <w:bidi w:val="0"/>
        <w:adjustRightInd w:val="0"/>
        <w:snapToGrid w:val="0"/>
        <w:jc w:val="center"/>
        <w:rPr>
          <w:bCs/>
          <w:color w:val="000000" w:themeColor="text1"/>
          <w:kern w:val="0"/>
          <w:szCs w:val="28"/>
          <w:highlight w:val="none"/>
        </w:rPr>
      </w:pPr>
    </w:p>
    <w:p w14:paraId="4E556CF5">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6C9A6B91">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209797F5">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2019D642">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18B4BBA6">
      <w:pPr>
        <w:keepNext w:val="0"/>
        <w:keepLines w:val="0"/>
        <w:pageBreakBefore w:val="0"/>
        <w:widowControl w:val="0"/>
        <w:kinsoku/>
        <w:wordWrap/>
        <w:topLinePunct w:val="0"/>
        <w:bidi w:val="0"/>
        <w:adjustRightInd w:val="0"/>
        <w:snapToGrid w:val="0"/>
        <w:jc w:val="center"/>
        <w:rPr>
          <w:bCs/>
          <w:color w:val="000000" w:themeColor="text1"/>
          <w:kern w:val="0"/>
          <w:sz w:val="36"/>
          <w:highlight w:val="none"/>
        </w:rPr>
      </w:pPr>
    </w:p>
    <w:p w14:paraId="699FC945">
      <w:pPr>
        <w:keepNext w:val="0"/>
        <w:keepLines w:val="0"/>
        <w:pageBreakBefore w:val="0"/>
        <w:widowControl w:val="0"/>
        <w:kinsoku/>
        <w:wordWrap/>
        <w:topLinePunct w:val="0"/>
        <w:bidi w:val="0"/>
        <w:adjustRightInd w:val="0"/>
        <w:snapToGrid w:val="0"/>
        <w:spacing w:line="80" w:lineRule="exact"/>
        <w:jc w:val="center"/>
        <w:rPr>
          <w:bCs/>
          <w:color w:val="000000" w:themeColor="text1"/>
          <w:kern w:val="0"/>
          <w:sz w:val="44"/>
          <w:highlight w:val="none"/>
        </w:rPr>
      </w:pPr>
    </w:p>
    <w:p w14:paraId="73EBB11B">
      <w:pPr>
        <w:keepNext w:val="0"/>
        <w:keepLines w:val="0"/>
        <w:pageBreakBefore w:val="0"/>
        <w:widowControl w:val="0"/>
        <w:kinsoku/>
        <w:wordWrap/>
        <w:topLinePunct w:val="0"/>
        <w:bidi w:val="0"/>
        <w:adjustRightInd w:val="0"/>
        <w:snapToGrid w:val="0"/>
        <w:spacing w:line="360" w:lineRule="auto"/>
        <w:jc w:val="center"/>
        <w:rPr>
          <w:rFonts w:hint="eastAsia" w:ascii="宋体" w:hAnsi="宋体" w:eastAsia="宋体" w:cs="宋体"/>
          <w:b/>
          <w:bCs/>
          <w:color w:val="000000" w:themeColor="text1"/>
          <w:kern w:val="0"/>
          <w:sz w:val="24"/>
          <w:szCs w:val="24"/>
          <w:highlight w:val="none"/>
          <w:lang w:val="en-US" w:eastAsia="zh-CN"/>
        </w:rPr>
        <w:sectPr>
          <w:type w:val="nextColumn"/>
          <w:pgSz w:w="11907" w:h="16840"/>
          <w:pgMar w:top="1418" w:right="1134" w:bottom="1134" w:left="1588" w:header="851" w:footer="992" w:gutter="0"/>
          <w:paperSrc w:first="1261" w:other="1261"/>
          <w:pgBorders>
            <w:top w:val="none" w:sz="0" w:space="0"/>
            <w:left w:val="none" w:sz="0" w:space="0"/>
            <w:bottom w:val="none" w:sz="0" w:space="0"/>
            <w:right w:val="none" w:sz="0" w:space="0"/>
          </w:pgBorders>
          <w:pgNumType w:fmt="upperRoman"/>
          <w:cols w:space="720" w:num="1"/>
          <w:docGrid w:linePitch="435" w:charSpace="-6554"/>
        </w:sectPr>
      </w:pPr>
      <w:r>
        <w:rPr>
          <w:rFonts w:hint="eastAsia" w:ascii="宋体" w:hAnsi="宋体" w:cs="宋体"/>
          <w:b/>
          <w:bCs/>
          <w:color w:val="000000" w:themeColor="text1"/>
          <w:kern w:val="0"/>
          <w:sz w:val="24"/>
          <w:szCs w:val="24"/>
          <w:highlight w:val="none"/>
        </w:rPr>
        <w:t>202</w:t>
      </w:r>
      <w:r>
        <w:rPr>
          <w:rFonts w:hint="default" w:cs="宋体"/>
          <w:b/>
          <w:bCs/>
          <w:color w:val="000000" w:themeColor="text1"/>
          <w:kern w:val="0"/>
          <w:sz w:val="24"/>
          <w:szCs w:val="24"/>
          <w:highlight w:val="none"/>
          <w:lang w:val="en-US"/>
        </w:rPr>
        <w:t>4</w:t>
      </w:r>
      <w:r>
        <w:rPr>
          <w:rFonts w:hint="eastAsia" w:ascii="宋体" w:hAnsi="宋体" w:cs="宋体"/>
          <w:b/>
          <w:bCs/>
          <w:color w:val="000000" w:themeColor="text1"/>
          <w:kern w:val="0"/>
          <w:sz w:val="24"/>
          <w:szCs w:val="24"/>
          <w:highlight w:val="none"/>
          <w:lang w:val="zh-CN"/>
        </w:rPr>
        <w:t>年</w:t>
      </w:r>
      <w:r>
        <w:rPr>
          <w:rFonts w:hint="eastAsia" w:cs="宋体"/>
          <w:b/>
          <w:bCs/>
          <w:color w:val="000000" w:themeColor="text1"/>
          <w:kern w:val="0"/>
          <w:sz w:val="24"/>
          <w:szCs w:val="24"/>
          <w:highlight w:val="none"/>
          <w:lang w:val="en-US" w:eastAsia="zh-CN"/>
        </w:rPr>
        <w:t>5</w:t>
      </w:r>
      <w:r>
        <w:rPr>
          <w:rFonts w:hint="eastAsia" w:ascii="宋体" w:hAnsi="宋体" w:cs="宋体"/>
          <w:b/>
          <w:bCs/>
          <w:color w:val="000000" w:themeColor="text1"/>
          <w:kern w:val="0"/>
          <w:sz w:val="24"/>
          <w:szCs w:val="24"/>
          <w:highlight w:val="none"/>
          <w:lang w:val="zh-CN"/>
        </w:rPr>
        <w:t>月</w:t>
      </w:r>
      <w:r>
        <w:rPr>
          <w:rFonts w:hint="eastAsia" w:cs="宋体"/>
          <w:b/>
          <w:bCs/>
          <w:color w:val="000000" w:themeColor="text1"/>
          <w:kern w:val="0"/>
          <w:sz w:val="24"/>
          <w:szCs w:val="24"/>
          <w:highlight w:val="none"/>
          <w:lang w:val="en-US" w:eastAsia="zh-CN"/>
        </w:rPr>
        <w:t>10</w:t>
      </w:r>
      <w:r>
        <w:rPr>
          <w:rFonts w:hint="eastAsia" w:ascii="宋体" w:hAnsi="宋体" w:cs="宋体"/>
          <w:b/>
          <w:bCs/>
          <w:color w:val="000000" w:themeColor="text1"/>
          <w:kern w:val="0"/>
          <w:sz w:val="24"/>
          <w:szCs w:val="24"/>
          <w:highlight w:val="none"/>
          <w:lang w:val="en-US" w:eastAsia="zh-CN"/>
        </w:rPr>
        <w:t>日</w:t>
      </w:r>
    </w:p>
    <w:p w14:paraId="580F16D3">
      <w:pPr>
        <w:keepNext w:val="0"/>
        <w:keepLines w:val="0"/>
        <w:pageBreakBefore w:val="0"/>
        <w:widowControl w:val="0"/>
        <w:kinsoku/>
        <w:wordWrap/>
        <w:topLinePunct w:val="0"/>
        <w:bidi w:val="0"/>
        <w:adjustRightInd w:val="0"/>
        <w:snapToGrid w:val="0"/>
        <w:rPr>
          <w:b/>
          <w:color w:val="000000" w:themeColor="text1"/>
          <w:highlight w:val="none"/>
        </w:rPr>
      </w:pPr>
    </w:p>
    <w:p w14:paraId="3EDB1DDB">
      <w:pPr>
        <w:keepNext w:val="0"/>
        <w:keepLines w:val="0"/>
        <w:pageBreakBefore w:val="0"/>
        <w:widowControl w:val="0"/>
        <w:kinsoku/>
        <w:wordWrap/>
        <w:topLinePunct w:val="0"/>
        <w:bidi w:val="0"/>
        <w:adjustRightInd w:val="0"/>
        <w:snapToGrid w:val="0"/>
        <w:spacing w:line="360" w:lineRule="auto"/>
        <w:jc w:val="center"/>
        <w:rPr>
          <w:b/>
          <w:color w:val="000000" w:themeColor="text1"/>
          <w:sz w:val="32"/>
          <w:szCs w:val="32"/>
          <w:highlight w:val="none"/>
        </w:rPr>
      </w:pPr>
      <w:r>
        <w:rPr>
          <w:b/>
          <w:color w:val="000000" w:themeColor="text1"/>
          <w:highlight w:val="none"/>
        </w:rPr>
        <w:br w:type="page"/>
      </w:r>
    </w:p>
    <w:bookmarkEnd w:id="0"/>
    <w:bookmarkEnd w:id="1"/>
    <w:p w14:paraId="409A0843">
      <w:pPr>
        <w:keepNext w:val="0"/>
        <w:keepLines w:val="0"/>
        <w:pageBreakBefore w:val="0"/>
        <w:widowControl w:val="0"/>
        <w:kinsoku/>
        <w:wordWrap/>
        <w:topLinePunct w:val="0"/>
        <w:bidi w:val="0"/>
        <w:adjustRightInd w:val="0"/>
        <w:snapToGrid w:val="0"/>
        <w:jc w:val="center"/>
        <w:rPr>
          <w:color w:val="000000" w:themeColor="text1"/>
          <w:sz w:val="28"/>
          <w:szCs w:val="28"/>
          <w:highlight w:val="none"/>
        </w:rPr>
        <w:sectPr>
          <w:headerReference r:id="rId7" w:type="default"/>
          <w:type w:val="nextColumn"/>
          <w:pgSz w:w="11907" w:h="16840"/>
          <w:pgMar w:top="1418" w:right="1134" w:bottom="1134" w:left="1588" w:header="851" w:footer="992" w:gutter="0"/>
          <w:paperSrc w:first="7" w:other="7"/>
          <w:pgBorders>
            <w:top w:val="none" w:sz="0" w:space="0"/>
            <w:left w:val="none" w:sz="0" w:space="0"/>
            <w:bottom w:val="none" w:sz="0" w:space="0"/>
            <w:right w:val="none" w:sz="0" w:space="0"/>
          </w:pgBorders>
          <w:pgNumType w:fmt="upperRoman" w:start="1"/>
          <w:cols w:space="720" w:num="1"/>
          <w:docGrid w:linePitch="312" w:charSpace="0"/>
        </w:sectPr>
      </w:pPr>
    </w:p>
    <w:p w14:paraId="197B133B">
      <w:pPr>
        <w:pStyle w:val="55"/>
        <w:keepNext w:val="0"/>
        <w:keepLines w:val="0"/>
        <w:pageBreakBefore w:val="0"/>
        <w:widowControl w:val="0"/>
        <w:kinsoku/>
        <w:wordWrap/>
        <w:topLinePunct w:val="0"/>
        <w:bidi w:val="0"/>
        <w:adjustRightInd w:val="0"/>
        <w:snapToGrid w:val="0"/>
        <w:jc w:val="center"/>
        <w:rPr>
          <w:b/>
          <w:bCs/>
          <w:color w:val="000000" w:themeColor="text1"/>
          <w:sz w:val="32"/>
          <w:szCs w:val="32"/>
          <w:highlight w:val="none"/>
        </w:rPr>
      </w:pPr>
      <w:bookmarkStart w:id="4" w:name="_Toc198521452"/>
      <w:bookmarkStart w:id="5" w:name="_Toc234394463"/>
      <w:bookmarkStart w:id="6" w:name="_Toc175712643"/>
      <w:bookmarkStart w:id="7" w:name="_Toc198457524"/>
      <w:bookmarkStart w:id="8" w:name="_Toc194378079"/>
      <w:bookmarkStart w:id="9" w:name="_Toc61074077"/>
      <w:bookmarkStart w:id="10" w:name="_Toc48558461"/>
      <w:r>
        <w:rPr>
          <w:rFonts w:hint="eastAsia"/>
          <w:b/>
          <w:bCs/>
          <w:color w:val="000000" w:themeColor="text1"/>
          <w:sz w:val="32"/>
          <w:szCs w:val="32"/>
          <w:highlight w:val="none"/>
        </w:rPr>
        <w:t>评价人员</w:t>
      </w:r>
    </w:p>
    <w:bookmarkEnd w:id="4"/>
    <w:bookmarkEnd w:id="5"/>
    <w:bookmarkEnd w:id="6"/>
    <w:bookmarkEnd w:id="7"/>
    <w:bookmarkEnd w:id="8"/>
    <w:tbl>
      <w:tblPr>
        <w:tblStyle w:val="61"/>
        <w:tblW w:w="9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4"/>
        <w:gridCol w:w="1213"/>
        <w:gridCol w:w="1768"/>
        <w:gridCol w:w="2932"/>
        <w:gridCol w:w="1112"/>
        <w:gridCol w:w="1214"/>
      </w:tblGrid>
      <w:tr w14:paraId="6AD16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Align w:val="center"/>
          </w:tcPr>
          <w:p w14:paraId="66461AED">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bookmarkStart w:id="11" w:name="_Toc161042257"/>
            <w:bookmarkStart w:id="12" w:name="_Toc160859586"/>
            <w:bookmarkStart w:id="13" w:name="_Toc142894164"/>
            <w:bookmarkStart w:id="14" w:name="_Toc176576627"/>
            <w:r>
              <w:rPr>
                <w:rFonts w:hint="eastAsia" w:ascii="宋体" w:hAnsi="宋体" w:eastAsia="宋体" w:cs="宋体"/>
                <w:color w:val="000000" w:themeColor="text1"/>
                <w:kern w:val="0"/>
                <w:sz w:val="24"/>
                <w:szCs w:val="24"/>
                <w:highlight w:val="none"/>
              </w:rPr>
              <w:t>项目组</w:t>
            </w:r>
          </w:p>
        </w:tc>
        <w:tc>
          <w:tcPr>
            <w:tcW w:w="1213" w:type="dxa"/>
            <w:vAlign w:val="center"/>
          </w:tcPr>
          <w:p w14:paraId="39F646C6">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姓  名</w:t>
            </w:r>
          </w:p>
        </w:tc>
        <w:tc>
          <w:tcPr>
            <w:tcW w:w="1768" w:type="dxa"/>
            <w:vAlign w:val="center"/>
          </w:tcPr>
          <w:p w14:paraId="712DE273">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专业</w:t>
            </w:r>
          </w:p>
        </w:tc>
        <w:tc>
          <w:tcPr>
            <w:tcW w:w="2932" w:type="dxa"/>
            <w:vAlign w:val="center"/>
          </w:tcPr>
          <w:p w14:paraId="2F7DB0D9">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资格证书号</w:t>
            </w:r>
          </w:p>
        </w:tc>
        <w:tc>
          <w:tcPr>
            <w:tcW w:w="1112" w:type="dxa"/>
            <w:vAlign w:val="center"/>
          </w:tcPr>
          <w:p w14:paraId="27A7245C">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从业证书编号</w:t>
            </w:r>
          </w:p>
        </w:tc>
        <w:tc>
          <w:tcPr>
            <w:tcW w:w="1214" w:type="dxa"/>
            <w:vAlign w:val="center"/>
          </w:tcPr>
          <w:p w14:paraId="0AA430FE">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签字</w:t>
            </w:r>
          </w:p>
        </w:tc>
      </w:tr>
      <w:tr w14:paraId="4830D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Align w:val="center"/>
          </w:tcPr>
          <w:p w14:paraId="26281B4C">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项目负责人</w:t>
            </w:r>
          </w:p>
        </w:tc>
        <w:tc>
          <w:tcPr>
            <w:tcW w:w="1213" w:type="dxa"/>
            <w:vAlign w:val="center"/>
          </w:tcPr>
          <w:p w14:paraId="18AE0092">
            <w:pPr>
              <w:keepNext w:val="0"/>
              <w:keepLines w:val="0"/>
              <w:pageBreakBefore w:val="0"/>
              <w:widowControl w:val="0"/>
              <w:kinsoku/>
              <w:wordWrap/>
              <w:overflowPunct w:val="0"/>
              <w:topLinePunct w:val="0"/>
              <w:bidi w:val="0"/>
              <w:adjustRightInd w:val="0"/>
              <w:snapToGrid w:val="0"/>
              <w:spacing w:line="240" w:lineRule="auto"/>
              <w:jc w:val="center"/>
              <w:rPr>
                <w:rFonts w:hint="eastAsia" w:ascii="宋体" w:hAnsi="宋体" w:eastAsia="宋体" w:cs="宋体"/>
                <w:color w:val="000000" w:themeColor="text1"/>
                <w:kern w:val="0"/>
                <w:sz w:val="24"/>
                <w:szCs w:val="24"/>
                <w:highlight w:val="none"/>
                <w:lang w:val="en-US" w:eastAsia="zh-CN"/>
              </w:rPr>
            </w:pPr>
            <w:r>
              <w:rPr>
                <w:rFonts w:hint="eastAsia" w:ascii="宋体" w:hAnsi="宋体" w:cs="宋体"/>
                <w:color w:val="000000" w:themeColor="text1"/>
                <w:sz w:val="24"/>
                <w:highlight w:val="none"/>
              </w:rPr>
              <w:t>朱行郎</w:t>
            </w:r>
          </w:p>
        </w:tc>
        <w:tc>
          <w:tcPr>
            <w:tcW w:w="1768" w:type="dxa"/>
            <w:vAlign w:val="center"/>
          </w:tcPr>
          <w:p w14:paraId="1DB72630">
            <w:pPr>
              <w:keepNext w:val="0"/>
              <w:keepLines w:val="0"/>
              <w:pageBreakBefore w:val="0"/>
              <w:widowControl w:val="0"/>
              <w:kinsoku/>
              <w:wordWrap/>
              <w:overflowPunct w:val="0"/>
              <w:topLinePunct w:val="0"/>
              <w:bidi w:val="0"/>
              <w:adjustRightInd w:val="0"/>
              <w:snapToGrid w:val="0"/>
              <w:spacing w:line="240" w:lineRule="auto"/>
              <w:jc w:val="center"/>
              <w:rPr>
                <w:rFonts w:hint="eastAsia" w:ascii="宋体" w:hAnsi="宋体" w:eastAsia="宋体" w:cs="宋体"/>
                <w:color w:val="000000" w:themeColor="text1"/>
                <w:kern w:val="0"/>
                <w:sz w:val="24"/>
                <w:szCs w:val="24"/>
                <w:highlight w:val="none"/>
                <w:lang w:val="en-US" w:eastAsia="zh-CN"/>
              </w:rPr>
            </w:pPr>
            <w:r>
              <w:rPr>
                <w:rFonts w:hint="eastAsia" w:ascii="宋体" w:hAnsi="宋体" w:cs="宋体"/>
                <w:color w:val="000000" w:themeColor="text1"/>
                <w:sz w:val="24"/>
                <w:highlight w:val="none"/>
                <w:lang w:eastAsia="zh-CN"/>
              </w:rPr>
              <w:t>化工机械</w:t>
            </w:r>
          </w:p>
        </w:tc>
        <w:tc>
          <w:tcPr>
            <w:tcW w:w="2932" w:type="dxa"/>
            <w:vAlign w:val="center"/>
          </w:tcPr>
          <w:p w14:paraId="3C1CD558">
            <w:pPr>
              <w:keepNext w:val="0"/>
              <w:keepLines w:val="0"/>
              <w:pageBreakBefore w:val="0"/>
              <w:widowControl w:val="0"/>
              <w:kinsoku/>
              <w:wordWrap/>
              <w:overflowPunct w:val="0"/>
              <w:topLinePunct w:val="0"/>
              <w:bidi w:val="0"/>
              <w:adjustRightInd w:val="0"/>
              <w:snapToGrid w:val="0"/>
              <w:spacing w:line="240" w:lineRule="auto"/>
              <w:jc w:val="center"/>
              <w:rPr>
                <w:rFonts w:hint="eastAsia" w:ascii="宋体" w:hAnsi="宋体" w:eastAsia="宋体" w:cs="宋体"/>
                <w:color w:val="000000" w:themeColor="text1"/>
                <w:kern w:val="0"/>
                <w:sz w:val="24"/>
                <w:szCs w:val="24"/>
                <w:highlight w:val="none"/>
              </w:rPr>
            </w:pPr>
            <w:r>
              <w:rPr>
                <w:rFonts w:hint="eastAsia" w:ascii="宋体" w:hAnsi="宋体" w:cs="宋体"/>
                <w:color w:val="000000" w:themeColor="text1"/>
                <w:sz w:val="24"/>
                <w:highlight w:val="none"/>
              </w:rPr>
              <w:t>0800000000101508</w:t>
            </w:r>
          </w:p>
        </w:tc>
        <w:tc>
          <w:tcPr>
            <w:tcW w:w="1112" w:type="dxa"/>
            <w:vAlign w:val="center"/>
          </w:tcPr>
          <w:p w14:paraId="08852AFB">
            <w:pPr>
              <w:keepNext w:val="0"/>
              <w:keepLines w:val="0"/>
              <w:pageBreakBefore w:val="0"/>
              <w:widowControl w:val="0"/>
              <w:kinsoku/>
              <w:wordWrap/>
              <w:overflowPunct w:val="0"/>
              <w:topLinePunct w:val="0"/>
              <w:bidi w:val="0"/>
              <w:adjustRightInd w:val="0"/>
              <w:snapToGrid w:val="0"/>
              <w:spacing w:line="240" w:lineRule="auto"/>
              <w:jc w:val="center"/>
              <w:rPr>
                <w:rFonts w:hint="eastAsia" w:ascii="宋体" w:hAnsi="宋体" w:eastAsia="宋体" w:cs="宋体"/>
                <w:color w:val="000000" w:themeColor="text1"/>
                <w:kern w:val="0"/>
                <w:sz w:val="24"/>
                <w:szCs w:val="24"/>
                <w:highlight w:val="none"/>
              </w:rPr>
            </w:pPr>
            <w:r>
              <w:rPr>
                <w:rFonts w:hint="eastAsia" w:ascii="宋体" w:hAnsi="宋体" w:cs="宋体"/>
                <w:color w:val="000000" w:themeColor="text1"/>
                <w:sz w:val="24"/>
                <w:highlight w:val="none"/>
              </w:rPr>
              <w:t>002206</w:t>
            </w:r>
          </w:p>
        </w:tc>
        <w:tc>
          <w:tcPr>
            <w:tcW w:w="1214" w:type="dxa"/>
            <w:vAlign w:val="center"/>
          </w:tcPr>
          <w:p w14:paraId="3A437CC7">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p>
        </w:tc>
      </w:tr>
      <w:tr w14:paraId="0B253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Merge w:val="restart"/>
            <w:vAlign w:val="center"/>
          </w:tcPr>
          <w:p w14:paraId="158320E1">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项目组成员</w:t>
            </w:r>
          </w:p>
        </w:tc>
        <w:tc>
          <w:tcPr>
            <w:tcW w:w="1213" w:type="dxa"/>
            <w:vAlign w:val="center"/>
          </w:tcPr>
          <w:p w14:paraId="4C7417F9">
            <w:pPr>
              <w:keepNext w:val="0"/>
              <w:keepLines w:val="0"/>
              <w:pageBreakBefore w:val="0"/>
              <w:widowControl w:val="0"/>
              <w:kinsoku/>
              <w:wordWrap/>
              <w:topLinePunct w:val="0"/>
              <w:bidi w:val="0"/>
              <w:adjustRightInd w:val="0"/>
              <w:snapToGrid w:val="0"/>
              <w:spacing w:line="240" w:lineRule="auto"/>
              <w:jc w:val="center"/>
              <w:textAlignment w:val="baseline"/>
              <w:rPr>
                <w:rFonts w:hint="eastAsia" w:ascii="宋体" w:hAnsi="宋体" w:eastAsia="宋体" w:cs="宋体"/>
                <w:color w:val="000000" w:themeColor="text1"/>
                <w:kern w:val="0"/>
                <w:sz w:val="24"/>
                <w:szCs w:val="24"/>
                <w:highlight w:val="none"/>
                <w:lang w:val="en-US" w:eastAsia="zh-CN"/>
              </w:rPr>
            </w:pPr>
            <w:r>
              <w:rPr>
                <w:rFonts w:ascii="宋体" w:hAnsi="宋体"/>
                <w:color w:val="000000" w:themeColor="text1"/>
                <w:sz w:val="24"/>
                <w:highlight w:val="none"/>
                <w:lang w:val="zh-CN"/>
              </w:rPr>
              <w:t>唐晗箫</w:t>
            </w:r>
          </w:p>
        </w:tc>
        <w:tc>
          <w:tcPr>
            <w:tcW w:w="1768" w:type="dxa"/>
            <w:vAlign w:val="center"/>
          </w:tcPr>
          <w:p w14:paraId="7A5DBFB9">
            <w:pPr>
              <w:keepNext w:val="0"/>
              <w:keepLines w:val="0"/>
              <w:pageBreakBefore w:val="0"/>
              <w:widowControl w:val="0"/>
              <w:kinsoku/>
              <w:wordWrap/>
              <w:topLinePunct w:val="0"/>
              <w:bidi w:val="0"/>
              <w:adjustRightInd w:val="0"/>
              <w:snapToGrid w:val="0"/>
              <w:spacing w:line="240" w:lineRule="auto"/>
              <w:jc w:val="center"/>
              <w:textAlignment w:val="baseline"/>
              <w:rPr>
                <w:rFonts w:hint="eastAsia" w:ascii="宋体" w:hAnsi="宋体" w:eastAsia="宋体" w:cs="宋体"/>
                <w:color w:val="000000" w:themeColor="text1"/>
                <w:kern w:val="0"/>
                <w:sz w:val="24"/>
                <w:szCs w:val="24"/>
                <w:highlight w:val="none"/>
                <w:lang w:val="en-US" w:eastAsia="zh-CN"/>
              </w:rPr>
            </w:pPr>
            <w:r>
              <w:rPr>
                <w:rFonts w:hint="eastAsia" w:cs="宋体"/>
                <w:color w:val="000000" w:themeColor="text1"/>
                <w:kern w:val="0"/>
                <w:sz w:val="24"/>
                <w:szCs w:val="24"/>
                <w:highlight w:val="none"/>
                <w:lang w:val="en-US" w:eastAsia="zh-CN"/>
              </w:rPr>
              <w:t>化工工艺</w:t>
            </w:r>
          </w:p>
        </w:tc>
        <w:tc>
          <w:tcPr>
            <w:tcW w:w="2932" w:type="dxa"/>
            <w:vAlign w:val="center"/>
          </w:tcPr>
          <w:p w14:paraId="44FBDB5F">
            <w:pPr>
              <w:keepNext w:val="0"/>
              <w:keepLines w:val="0"/>
              <w:pageBreakBefore w:val="0"/>
              <w:widowControl w:val="0"/>
              <w:kinsoku/>
              <w:wordWrap/>
              <w:topLinePunct w:val="0"/>
              <w:bidi w:val="0"/>
              <w:adjustRightInd w:val="0"/>
              <w:snapToGrid w:val="0"/>
              <w:spacing w:line="240" w:lineRule="auto"/>
              <w:jc w:val="center"/>
              <w:textAlignment w:val="baseline"/>
              <w:rPr>
                <w:rFonts w:hint="eastAsia" w:ascii="宋体" w:hAnsi="宋体" w:eastAsia="宋体" w:cs="宋体"/>
                <w:color w:val="000000" w:themeColor="text1"/>
                <w:kern w:val="0"/>
                <w:sz w:val="24"/>
                <w:szCs w:val="24"/>
                <w:highlight w:val="none"/>
              </w:rPr>
            </w:pPr>
            <w:r>
              <w:rPr>
                <w:rFonts w:hint="eastAsia"/>
                <w:color w:val="000000" w:themeColor="text1"/>
                <w:highlight w:val="none"/>
                <w:lang w:val="zh-CN"/>
              </w:rPr>
              <w:t>CAWS350000230200201</w:t>
            </w:r>
          </w:p>
        </w:tc>
        <w:tc>
          <w:tcPr>
            <w:tcW w:w="1112" w:type="dxa"/>
            <w:vAlign w:val="center"/>
          </w:tcPr>
          <w:p w14:paraId="76D4E034">
            <w:pPr>
              <w:keepNext w:val="0"/>
              <w:keepLines w:val="0"/>
              <w:pageBreakBefore w:val="0"/>
              <w:widowControl w:val="0"/>
              <w:kinsoku/>
              <w:wordWrap/>
              <w:topLinePunct w:val="0"/>
              <w:bidi w:val="0"/>
              <w:adjustRightInd w:val="0"/>
              <w:snapToGrid w:val="0"/>
              <w:spacing w:line="240" w:lineRule="auto"/>
              <w:jc w:val="center"/>
              <w:textAlignment w:val="baseline"/>
              <w:rPr>
                <w:rFonts w:hint="eastAsia" w:ascii="宋体" w:hAnsi="宋体" w:eastAsia="宋体" w:cs="宋体"/>
                <w:color w:val="000000" w:themeColor="text1"/>
                <w:kern w:val="0"/>
                <w:sz w:val="24"/>
                <w:szCs w:val="24"/>
                <w:highlight w:val="none"/>
              </w:rPr>
            </w:pPr>
            <w:r>
              <w:rPr>
                <w:rFonts w:ascii="宋体" w:hAnsi="宋体"/>
                <w:color w:val="000000" w:themeColor="text1"/>
                <w:sz w:val="24"/>
                <w:highlight w:val="none"/>
                <w:lang w:val="zh-CN"/>
              </w:rPr>
              <w:t>030482</w:t>
            </w:r>
          </w:p>
        </w:tc>
        <w:tc>
          <w:tcPr>
            <w:tcW w:w="1214" w:type="dxa"/>
            <w:vAlign w:val="center"/>
          </w:tcPr>
          <w:p w14:paraId="14F481F7">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p>
        </w:tc>
      </w:tr>
      <w:tr w14:paraId="3701C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Merge w:val="continue"/>
            <w:vAlign w:val="center"/>
          </w:tcPr>
          <w:p w14:paraId="56094CCC">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p>
        </w:tc>
        <w:tc>
          <w:tcPr>
            <w:tcW w:w="1213" w:type="dxa"/>
            <w:vAlign w:val="center"/>
          </w:tcPr>
          <w:p w14:paraId="02A3EC4E">
            <w:pPr>
              <w:widowControl w:val="0"/>
              <w:overflowPunct w:val="0"/>
              <w:adjustRightInd w:val="0"/>
              <w:snapToGrid w:val="0"/>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lang w:val="en-US" w:eastAsia="zh-CN"/>
              </w:rPr>
              <w:t>周菲菲</w:t>
            </w:r>
          </w:p>
        </w:tc>
        <w:tc>
          <w:tcPr>
            <w:tcW w:w="1768" w:type="dxa"/>
            <w:vAlign w:val="center"/>
          </w:tcPr>
          <w:p w14:paraId="7E368632">
            <w:pPr>
              <w:widowControl w:val="0"/>
              <w:overflowPunct w:val="0"/>
              <w:adjustRightInd w:val="0"/>
              <w:snapToGrid w:val="0"/>
              <w:jc w:val="center"/>
              <w:rPr>
                <w:rFonts w:hint="eastAsia" w:ascii="宋体" w:hAnsi="宋体" w:eastAsia="宋体" w:cs="宋体"/>
                <w:color w:val="000000" w:themeColor="text1"/>
                <w:kern w:val="0"/>
                <w:sz w:val="24"/>
                <w:szCs w:val="24"/>
                <w:highlight w:val="none"/>
                <w:lang w:val="en-US" w:eastAsia="zh-CN"/>
              </w:rPr>
            </w:pPr>
            <w:r>
              <w:rPr>
                <w:rFonts w:hint="eastAsia" w:cs="宋体"/>
                <w:color w:val="000000" w:themeColor="text1"/>
                <w:kern w:val="0"/>
                <w:sz w:val="24"/>
                <w:szCs w:val="24"/>
                <w:highlight w:val="none"/>
                <w:lang w:val="en-US" w:eastAsia="zh-CN"/>
              </w:rPr>
              <w:t>自动化</w:t>
            </w:r>
          </w:p>
        </w:tc>
        <w:tc>
          <w:tcPr>
            <w:tcW w:w="2932" w:type="dxa"/>
            <w:vAlign w:val="center"/>
          </w:tcPr>
          <w:p w14:paraId="7245CDC3">
            <w:pPr>
              <w:widowControl w:val="0"/>
              <w:overflowPunct w:val="0"/>
              <w:adjustRightInd w:val="0"/>
              <w:snapToGrid w:val="0"/>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sz w:val="24"/>
                <w:szCs w:val="24"/>
                <w:highlight w:val="none"/>
              </w:rPr>
              <w:t>S011037000110192001722</w:t>
            </w:r>
          </w:p>
        </w:tc>
        <w:tc>
          <w:tcPr>
            <w:tcW w:w="1112" w:type="dxa"/>
            <w:vAlign w:val="center"/>
          </w:tcPr>
          <w:p w14:paraId="2AD91FD2">
            <w:pPr>
              <w:widowControl w:val="0"/>
              <w:overflowPunct w:val="0"/>
              <w:adjustRightInd w:val="0"/>
              <w:snapToGrid w:val="0"/>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sz w:val="24"/>
                <w:szCs w:val="24"/>
                <w:highlight w:val="none"/>
              </w:rPr>
              <w:t>025976</w:t>
            </w:r>
          </w:p>
        </w:tc>
        <w:tc>
          <w:tcPr>
            <w:tcW w:w="1214" w:type="dxa"/>
            <w:vAlign w:val="center"/>
          </w:tcPr>
          <w:p w14:paraId="4F056B63">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p>
        </w:tc>
      </w:tr>
      <w:tr w14:paraId="58695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Merge w:val="continue"/>
            <w:vAlign w:val="center"/>
          </w:tcPr>
          <w:p w14:paraId="5AE125FC">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p>
        </w:tc>
        <w:tc>
          <w:tcPr>
            <w:tcW w:w="1213" w:type="dxa"/>
            <w:vAlign w:val="center"/>
          </w:tcPr>
          <w:p w14:paraId="2865679D">
            <w:pPr>
              <w:widowControl w:val="0"/>
              <w:adjustRightInd w:val="0"/>
              <w:snapToGrid w:val="0"/>
              <w:jc w:val="center"/>
              <w:rPr>
                <w:rFonts w:hint="eastAsia" w:ascii="宋体" w:hAnsi="宋体" w:eastAsia="宋体" w:cs="宋体"/>
                <w:color w:val="000000" w:themeColor="text1"/>
                <w:kern w:val="0"/>
                <w:sz w:val="24"/>
                <w:szCs w:val="24"/>
                <w:highlight w:val="none"/>
                <w:lang w:val="en-US" w:eastAsia="zh-CN" w:bidi="ar-SA"/>
              </w:rPr>
            </w:pPr>
            <w:r>
              <w:rPr>
                <w:rFonts w:hint="eastAsia" w:ascii="宋体" w:hAnsi="宋体" w:eastAsia="宋体" w:cs="宋体"/>
                <w:color w:val="000000" w:themeColor="text1"/>
                <w:kern w:val="0"/>
                <w:sz w:val="24"/>
                <w:szCs w:val="24"/>
                <w:highlight w:val="none"/>
                <w:lang w:val="en-US" w:eastAsia="zh-CN"/>
              </w:rPr>
              <w:t>袁  梅</w:t>
            </w:r>
          </w:p>
        </w:tc>
        <w:tc>
          <w:tcPr>
            <w:tcW w:w="1768" w:type="dxa"/>
            <w:vAlign w:val="center"/>
          </w:tcPr>
          <w:p w14:paraId="5CAD6D79">
            <w:pPr>
              <w:widowControl w:val="0"/>
              <w:adjustRightInd w:val="0"/>
              <w:snapToGrid w:val="0"/>
              <w:jc w:val="center"/>
              <w:rPr>
                <w:rFonts w:hint="eastAsia" w:ascii="宋体" w:hAnsi="宋体" w:eastAsia="宋体" w:cs="宋体"/>
                <w:color w:val="000000" w:themeColor="text1"/>
                <w:kern w:val="0"/>
                <w:sz w:val="24"/>
                <w:szCs w:val="24"/>
                <w:highlight w:val="none"/>
                <w:lang w:val="en-US" w:eastAsia="zh-CN" w:bidi="ar-SA"/>
              </w:rPr>
            </w:pPr>
            <w:r>
              <w:rPr>
                <w:rFonts w:hint="eastAsia" w:ascii="宋体" w:hAnsi="宋体" w:eastAsia="宋体" w:cs="宋体"/>
                <w:color w:val="000000" w:themeColor="text1"/>
                <w:kern w:val="0"/>
                <w:sz w:val="24"/>
                <w:szCs w:val="24"/>
                <w:highlight w:val="none"/>
                <w:lang w:val="en-US" w:eastAsia="zh-CN"/>
              </w:rPr>
              <w:t>电气</w:t>
            </w:r>
          </w:p>
        </w:tc>
        <w:tc>
          <w:tcPr>
            <w:tcW w:w="2932" w:type="dxa"/>
            <w:vAlign w:val="center"/>
          </w:tcPr>
          <w:p w14:paraId="20502675">
            <w:pPr>
              <w:widowControl w:val="0"/>
              <w:adjustRightInd w:val="0"/>
              <w:snapToGrid w:val="0"/>
              <w:jc w:val="center"/>
              <w:rPr>
                <w:rFonts w:hint="eastAsia" w:ascii="宋体" w:hAnsi="宋体" w:eastAsia="宋体" w:cs="宋体"/>
                <w:color w:val="000000" w:themeColor="text1"/>
                <w:kern w:val="0"/>
                <w:sz w:val="24"/>
                <w:szCs w:val="24"/>
                <w:highlight w:val="none"/>
                <w:lang w:val="en-US" w:eastAsia="zh-CN" w:bidi="ar-SA"/>
              </w:rPr>
            </w:pPr>
            <w:r>
              <w:rPr>
                <w:rFonts w:hint="eastAsia" w:ascii="宋体" w:hAnsi="宋体" w:eastAsia="宋体" w:cs="宋体"/>
                <w:color w:val="000000" w:themeColor="text1"/>
                <w:sz w:val="24"/>
                <w:szCs w:val="24"/>
                <w:highlight w:val="none"/>
              </w:rPr>
              <w:t>S011037000110192002127</w:t>
            </w:r>
          </w:p>
        </w:tc>
        <w:tc>
          <w:tcPr>
            <w:tcW w:w="1112" w:type="dxa"/>
            <w:vAlign w:val="center"/>
          </w:tcPr>
          <w:p w14:paraId="7EE2E686">
            <w:pPr>
              <w:widowControl w:val="0"/>
              <w:adjustRightInd w:val="0"/>
              <w:snapToGrid w:val="0"/>
              <w:jc w:val="center"/>
              <w:rPr>
                <w:rFonts w:hint="eastAsia" w:ascii="宋体" w:hAnsi="宋体" w:eastAsia="宋体" w:cs="宋体"/>
                <w:color w:val="000000" w:themeColor="text1"/>
                <w:kern w:val="0"/>
                <w:sz w:val="24"/>
                <w:szCs w:val="24"/>
                <w:highlight w:val="none"/>
                <w:lang w:val="en-US" w:eastAsia="zh-CN" w:bidi="ar-SA"/>
              </w:rPr>
            </w:pPr>
            <w:r>
              <w:rPr>
                <w:rFonts w:hint="eastAsia" w:ascii="宋体" w:hAnsi="宋体" w:eastAsia="宋体" w:cs="宋体"/>
                <w:color w:val="000000" w:themeColor="text1"/>
                <w:sz w:val="24"/>
                <w:szCs w:val="24"/>
                <w:highlight w:val="none"/>
              </w:rPr>
              <w:t>025979</w:t>
            </w:r>
          </w:p>
        </w:tc>
        <w:tc>
          <w:tcPr>
            <w:tcW w:w="1214" w:type="dxa"/>
            <w:vAlign w:val="center"/>
          </w:tcPr>
          <w:p w14:paraId="2A303F7E">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p>
        </w:tc>
      </w:tr>
      <w:tr w14:paraId="6ECCC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Align w:val="center"/>
          </w:tcPr>
          <w:p w14:paraId="58CBCCD2">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编制人</w:t>
            </w:r>
          </w:p>
        </w:tc>
        <w:tc>
          <w:tcPr>
            <w:tcW w:w="1213" w:type="dxa"/>
            <w:vAlign w:val="center"/>
          </w:tcPr>
          <w:p w14:paraId="4C396F94">
            <w:pPr>
              <w:keepNext w:val="0"/>
              <w:keepLines w:val="0"/>
              <w:pageBreakBefore w:val="0"/>
              <w:widowControl w:val="0"/>
              <w:kinsoku/>
              <w:wordWrap/>
              <w:topLinePunct w:val="0"/>
              <w:bidi w:val="0"/>
              <w:adjustRightInd w:val="0"/>
              <w:snapToGrid w:val="0"/>
              <w:spacing w:line="240" w:lineRule="auto"/>
              <w:jc w:val="center"/>
              <w:textAlignment w:val="baseline"/>
              <w:rPr>
                <w:rFonts w:hint="eastAsia" w:ascii="宋体" w:hAnsi="宋体" w:eastAsia="宋体" w:cs="宋体"/>
                <w:color w:val="000000" w:themeColor="text1"/>
                <w:kern w:val="0"/>
                <w:sz w:val="24"/>
                <w:szCs w:val="24"/>
                <w:highlight w:val="none"/>
                <w:lang w:val="en-US" w:eastAsia="zh-CN"/>
              </w:rPr>
            </w:pPr>
            <w:r>
              <w:rPr>
                <w:rFonts w:ascii="宋体" w:hAnsi="宋体"/>
                <w:color w:val="000000" w:themeColor="text1"/>
                <w:sz w:val="24"/>
                <w:highlight w:val="none"/>
                <w:lang w:val="zh-CN"/>
              </w:rPr>
              <w:t>唐晗箫</w:t>
            </w:r>
          </w:p>
        </w:tc>
        <w:tc>
          <w:tcPr>
            <w:tcW w:w="1768" w:type="dxa"/>
            <w:vAlign w:val="center"/>
          </w:tcPr>
          <w:p w14:paraId="617C9922">
            <w:pPr>
              <w:keepNext w:val="0"/>
              <w:keepLines w:val="0"/>
              <w:pageBreakBefore w:val="0"/>
              <w:widowControl w:val="0"/>
              <w:kinsoku/>
              <w:wordWrap/>
              <w:topLinePunct w:val="0"/>
              <w:bidi w:val="0"/>
              <w:adjustRightInd w:val="0"/>
              <w:snapToGrid w:val="0"/>
              <w:spacing w:line="240" w:lineRule="auto"/>
              <w:jc w:val="center"/>
              <w:textAlignment w:val="baseline"/>
              <w:rPr>
                <w:rFonts w:hint="eastAsia" w:ascii="宋体" w:hAnsi="宋体" w:eastAsia="宋体" w:cs="宋体"/>
                <w:color w:val="000000" w:themeColor="text1"/>
                <w:kern w:val="0"/>
                <w:sz w:val="24"/>
                <w:szCs w:val="24"/>
                <w:highlight w:val="none"/>
                <w:lang w:val="en-US" w:eastAsia="zh-CN"/>
              </w:rPr>
            </w:pPr>
            <w:r>
              <w:rPr>
                <w:rFonts w:hint="eastAsia" w:cs="宋体"/>
                <w:color w:val="000000" w:themeColor="text1"/>
                <w:kern w:val="0"/>
                <w:sz w:val="24"/>
                <w:szCs w:val="24"/>
                <w:highlight w:val="none"/>
                <w:lang w:val="en-US" w:eastAsia="zh-CN"/>
              </w:rPr>
              <w:t>化工工艺</w:t>
            </w:r>
          </w:p>
        </w:tc>
        <w:tc>
          <w:tcPr>
            <w:tcW w:w="2932" w:type="dxa"/>
            <w:vAlign w:val="center"/>
          </w:tcPr>
          <w:p w14:paraId="3243B401">
            <w:pPr>
              <w:keepNext w:val="0"/>
              <w:keepLines w:val="0"/>
              <w:pageBreakBefore w:val="0"/>
              <w:widowControl w:val="0"/>
              <w:kinsoku/>
              <w:wordWrap/>
              <w:topLinePunct w:val="0"/>
              <w:bidi w:val="0"/>
              <w:adjustRightInd w:val="0"/>
              <w:snapToGrid w:val="0"/>
              <w:spacing w:line="240" w:lineRule="auto"/>
              <w:jc w:val="center"/>
              <w:textAlignment w:val="baseline"/>
              <w:rPr>
                <w:rFonts w:hint="eastAsia" w:ascii="宋体" w:hAnsi="宋体" w:eastAsia="宋体" w:cs="宋体"/>
                <w:color w:val="000000" w:themeColor="text1"/>
                <w:kern w:val="0"/>
                <w:sz w:val="24"/>
                <w:szCs w:val="24"/>
                <w:highlight w:val="none"/>
              </w:rPr>
            </w:pPr>
            <w:r>
              <w:rPr>
                <w:rFonts w:ascii="宋体" w:hAnsi="宋体"/>
                <w:color w:val="000000" w:themeColor="text1"/>
                <w:sz w:val="24"/>
                <w:highlight w:val="none"/>
                <w:lang w:val="zh-CN"/>
              </w:rPr>
              <w:t>1700000000300918</w:t>
            </w:r>
          </w:p>
        </w:tc>
        <w:tc>
          <w:tcPr>
            <w:tcW w:w="1112" w:type="dxa"/>
            <w:vAlign w:val="center"/>
          </w:tcPr>
          <w:p w14:paraId="7A168257">
            <w:pPr>
              <w:keepNext w:val="0"/>
              <w:keepLines w:val="0"/>
              <w:pageBreakBefore w:val="0"/>
              <w:widowControl w:val="0"/>
              <w:kinsoku/>
              <w:wordWrap/>
              <w:topLinePunct w:val="0"/>
              <w:bidi w:val="0"/>
              <w:adjustRightInd w:val="0"/>
              <w:snapToGrid w:val="0"/>
              <w:spacing w:line="240" w:lineRule="auto"/>
              <w:jc w:val="center"/>
              <w:textAlignment w:val="baseline"/>
              <w:rPr>
                <w:rFonts w:hint="eastAsia" w:ascii="宋体" w:hAnsi="宋体" w:eastAsia="宋体" w:cs="宋体"/>
                <w:color w:val="000000" w:themeColor="text1"/>
                <w:kern w:val="0"/>
                <w:sz w:val="24"/>
                <w:szCs w:val="24"/>
                <w:highlight w:val="none"/>
              </w:rPr>
            </w:pPr>
            <w:r>
              <w:rPr>
                <w:rFonts w:ascii="宋体" w:hAnsi="宋体"/>
                <w:color w:val="000000" w:themeColor="text1"/>
                <w:sz w:val="24"/>
                <w:highlight w:val="none"/>
                <w:lang w:val="zh-CN"/>
              </w:rPr>
              <w:t>030482</w:t>
            </w:r>
          </w:p>
        </w:tc>
        <w:tc>
          <w:tcPr>
            <w:tcW w:w="1214" w:type="dxa"/>
            <w:vAlign w:val="center"/>
          </w:tcPr>
          <w:p w14:paraId="150A769E">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p>
        </w:tc>
      </w:tr>
      <w:tr w14:paraId="5877E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Align w:val="center"/>
          </w:tcPr>
          <w:p w14:paraId="4C89014A">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审核人</w:t>
            </w:r>
          </w:p>
        </w:tc>
        <w:tc>
          <w:tcPr>
            <w:tcW w:w="1213" w:type="dxa"/>
            <w:vAlign w:val="center"/>
          </w:tcPr>
          <w:p w14:paraId="0061BBC8">
            <w:pPr>
              <w:widowControl w:val="0"/>
              <w:adjustRightInd w:val="0"/>
              <w:snapToGrid w:val="0"/>
              <w:spacing w:line="400" w:lineRule="exact"/>
              <w:jc w:val="center"/>
              <w:textAlignment w:val="baseline"/>
              <w:rPr>
                <w:rFonts w:hint="eastAsia" w:ascii="宋体" w:hAnsi="宋体" w:eastAsia="宋体" w:cs="宋体"/>
                <w:color w:val="000000" w:themeColor="text1"/>
                <w:kern w:val="0"/>
                <w:sz w:val="24"/>
                <w:szCs w:val="24"/>
                <w:highlight w:val="none"/>
                <w:lang w:val="en-US" w:eastAsia="zh-CN"/>
              </w:rPr>
            </w:pPr>
            <w:r>
              <w:rPr>
                <w:rFonts w:hint="eastAsia" w:ascii="宋体" w:hAnsi="宋体" w:eastAsia="宋体" w:cs="宋体"/>
                <w:color w:val="000000" w:themeColor="text1"/>
                <w:kern w:val="0"/>
                <w:sz w:val="24"/>
                <w:szCs w:val="24"/>
                <w:highlight w:val="none"/>
                <w:lang w:val="en-US" w:eastAsia="zh-CN"/>
              </w:rPr>
              <w:t>林更鹏</w:t>
            </w:r>
          </w:p>
        </w:tc>
        <w:tc>
          <w:tcPr>
            <w:tcW w:w="1768" w:type="dxa"/>
            <w:vAlign w:val="center"/>
          </w:tcPr>
          <w:p w14:paraId="204C2860">
            <w:pPr>
              <w:widowControl w:val="0"/>
              <w:adjustRightInd w:val="0"/>
              <w:snapToGrid w:val="0"/>
              <w:jc w:val="center"/>
              <w:rPr>
                <w:rFonts w:hint="eastAsia" w:ascii="宋体" w:hAnsi="宋体" w:eastAsia="宋体" w:cs="宋体"/>
                <w:color w:val="000000" w:themeColor="text1"/>
                <w:kern w:val="0"/>
                <w:sz w:val="24"/>
                <w:szCs w:val="24"/>
                <w:highlight w:val="none"/>
                <w:lang w:val="en-US" w:eastAsia="zh-CN"/>
              </w:rPr>
            </w:pPr>
            <w:r>
              <w:rPr>
                <w:rFonts w:hint="eastAsia" w:ascii="宋体" w:hAnsi="宋体" w:eastAsia="宋体" w:cs="宋体"/>
                <w:color w:val="000000" w:themeColor="text1"/>
                <w:kern w:val="0"/>
                <w:sz w:val="24"/>
                <w:szCs w:val="24"/>
                <w:highlight w:val="none"/>
                <w:lang w:val="en-US" w:eastAsia="zh-CN"/>
              </w:rPr>
              <w:t>化学工程与工艺</w:t>
            </w:r>
          </w:p>
        </w:tc>
        <w:tc>
          <w:tcPr>
            <w:tcW w:w="2932" w:type="dxa"/>
            <w:vAlign w:val="center"/>
          </w:tcPr>
          <w:p w14:paraId="4EA3420D">
            <w:pPr>
              <w:widowControl w:val="0"/>
              <w:adjustRightInd w:val="0"/>
              <w:snapToGrid w:val="0"/>
              <w:spacing w:line="400" w:lineRule="exact"/>
              <w:jc w:val="center"/>
              <w:textAlignment w:val="baseline"/>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S011037000110192001823</w:t>
            </w:r>
          </w:p>
        </w:tc>
        <w:tc>
          <w:tcPr>
            <w:tcW w:w="1112" w:type="dxa"/>
            <w:vAlign w:val="center"/>
          </w:tcPr>
          <w:p w14:paraId="0937E4AB">
            <w:pPr>
              <w:widowControl w:val="0"/>
              <w:adjustRightInd w:val="0"/>
              <w:snapToGrid w:val="0"/>
              <w:spacing w:line="400" w:lineRule="exact"/>
              <w:jc w:val="center"/>
              <w:textAlignment w:val="baseline"/>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025977</w:t>
            </w:r>
          </w:p>
        </w:tc>
        <w:tc>
          <w:tcPr>
            <w:tcW w:w="1214" w:type="dxa"/>
            <w:vAlign w:val="center"/>
          </w:tcPr>
          <w:p w14:paraId="411C9476">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p>
        </w:tc>
      </w:tr>
      <w:tr w14:paraId="378A6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Align w:val="center"/>
          </w:tcPr>
          <w:p w14:paraId="10355B05">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过程控制负责人</w:t>
            </w:r>
          </w:p>
        </w:tc>
        <w:tc>
          <w:tcPr>
            <w:tcW w:w="1213" w:type="dxa"/>
            <w:vAlign w:val="center"/>
          </w:tcPr>
          <w:p w14:paraId="52188CAB">
            <w:pPr>
              <w:keepNext w:val="0"/>
              <w:keepLines w:val="0"/>
              <w:pageBreakBefore w:val="0"/>
              <w:widowControl w:val="0"/>
              <w:kinsoku/>
              <w:wordWrap/>
              <w:topLinePunct w:val="0"/>
              <w:bidi w:val="0"/>
              <w:adjustRightInd w:val="0"/>
              <w:snapToGrid w:val="0"/>
              <w:jc w:val="center"/>
              <w:textAlignment w:val="baseline"/>
              <w:rPr>
                <w:rFonts w:hint="eastAsia" w:ascii="宋体" w:hAnsi="宋体" w:eastAsia="宋体" w:cs="宋体"/>
                <w:color w:val="000000" w:themeColor="text1"/>
                <w:kern w:val="0"/>
                <w:sz w:val="24"/>
                <w:szCs w:val="24"/>
                <w:highlight w:val="none"/>
                <w:lang w:val="en-US" w:eastAsia="zh-CN"/>
              </w:rPr>
            </w:pPr>
            <w:r>
              <w:rPr>
                <w:rFonts w:hint="eastAsia" w:ascii="宋体" w:hAnsi="宋体" w:eastAsia="宋体" w:cs="宋体"/>
                <w:color w:val="000000" w:themeColor="text1"/>
                <w:kern w:val="0"/>
                <w:sz w:val="24"/>
                <w:szCs w:val="24"/>
                <w:highlight w:val="none"/>
                <w:lang w:val="en-US" w:eastAsia="zh-CN"/>
              </w:rPr>
              <w:t>邓  清</w:t>
            </w:r>
          </w:p>
        </w:tc>
        <w:tc>
          <w:tcPr>
            <w:tcW w:w="1768" w:type="dxa"/>
            <w:vAlign w:val="center"/>
          </w:tcPr>
          <w:p w14:paraId="6D2B2280">
            <w:pPr>
              <w:keepNext w:val="0"/>
              <w:keepLines w:val="0"/>
              <w:pageBreakBefore w:val="0"/>
              <w:widowControl w:val="0"/>
              <w:kinsoku/>
              <w:wordWrap/>
              <w:topLinePunct w:val="0"/>
              <w:bidi w:val="0"/>
              <w:adjustRightInd w:val="0"/>
              <w:snapToGrid w:val="0"/>
              <w:jc w:val="center"/>
              <w:textAlignment w:val="baseline"/>
              <w:rPr>
                <w:rFonts w:hint="eastAsia" w:ascii="宋体" w:hAnsi="宋体" w:eastAsia="宋体" w:cs="宋体"/>
                <w:color w:val="000000" w:themeColor="text1"/>
                <w:kern w:val="0"/>
                <w:sz w:val="24"/>
                <w:szCs w:val="24"/>
                <w:highlight w:val="none"/>
                <w:lang w:val="en-US" w:eastAsia="zh-CN"/>
              </w:rPr>
            </w:pPr>
            <w:r>
              <w:rPr>
                <w:rFonts w:hint="eastAsia" w:ascii="宋体" w:hAnsi="宋体" w:eastAsia="宋体" w:cs="宋体"/>
                <w:color w:val="000000" w:themeColor="text1"/>
                <w:kern w:val="0"/>
                <w:sz w:val="24"/>
                <w:szCs w:val="24"/>
                <w:highlight w:val="none"/>
                <w:lang w:val="en-US" w:eastAsia="zh-CN"/>
              </w:rPr>
              <w:t>电气自动化</w:t>
            </w:r>
          </w:p>
        </w:tc>
        <w:tc>
          <w:tcPr>
            <w:tcW w:w="2932" w:type="dxa"/>
            <w:vAlign w:val="center"/>
          </w:tcPr>
          <w:p w14:paraId="70D13802">
            <w:pPr>
              <w:keepNext w:val="0"/>
              <w:keepLines w:val="0"/>
              <w:pageBreakBefore w:val="0"/>
              <w:widowControl w:val="0"/>
              <w:kinsoku/>
              <w:wordWrap/>
              <w:topLinePunct w:val="0"/>
              <w:bidi w:val="0"/>
              <w:adjustRightInd w:val="0"/>
              <w:snapToGrid w:val="0"/>
              <w:jc w:val="center"/>
              <w:textAlignment w:val="baseline"/>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sz w:val="24"/>
                <w:szCs w:val="24"/>
                <w:highlight w:val="none"/>
              </w:rPr>
              <w:t>S011037000110191000752</w:t>
            </w:r>
          </w:p>
        </w:tc>
        <w:tc>
          <w:tcPr>
            <w:tcW w:w="1112" w:type="dxa"/>
            <w:vAlign w:val="center"/>
          </w:tcPr>
          <w:p w14:paraId="515D015A">
            <w:pPr>
              <w:keepNext w:val="0"/>
              <w:keepLines w:val="0"/>
              <w:pageBreakBefore w:val="0"/>
              <w:widowControl w:val="0"/>
              <w:kinsoku/>
              <w:wordWrap/>
              <w:topLinePunct w:val="0"/>
              <w:bidi w:val="0"/>
              <w:adjustRightInd w:val="0"/>
              <w:snapToGrid w:val="0"/>
              <w:jc w:val="center"/>
              <w:textAlignment w:val="baseline"/>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sz w:val="24"/>
                <w:szCs w:val="24"/>
                <w:highlight w:val="none"/>
              </w:rPr>
              <w:t>019130</w:t>
            </w:r>
          </w:p>
        </w:tc>
        <w:tc>
          <w:tcPr>
            <w:tcW w:w="1214" w:type="dxa"/>
            <w:vAlign w:val="center"/>
          </w:tcPr>
          <w:p w14:paraId="6A7E27F3">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p>
        </w:tc>
      </w:tr>
      <w:tr w14:paraId="30B9D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154" w:type="dxa"/>
            <w:vAlign w:val="center"/>
          </w:tcPr>
          <w:p w14:paraId="256776E5">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技术负责人</w:t>
            </w:r>
          </w:p>
        </w:tc>
        <w:tc>
          <w:tcPr>
            <w:tcW w:w="1213" w:type="dxa"/>
            <w:vAlign w:val="center"/>
          </w:tcPr>
          <w:p w14:paraId="74EA72B7">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lang w:val="en-US" w:eastAsia="zh-CN"/>
              </w:rPr>
            </w:pPr>
            <w:r>
              <w:rPr>
                <w:rFonts w:hint="eastAsia" w:ascii="宋体" w:hAnsi="宋体" w:eastAsia="宋体" w:cs="宋体"/>
                <w:color w:val="000000" w:themeColor="text1"/>
                <w:kern w:val="0"/>
                <w:sz w:val="24"/>
                <w:szCs w:val="24"/>
                <w:highlight w:val="none"/>
                <w:lang w:val="en-US" w:eastAsia="zh-CN"/>
              </w:rPr>
              <w:t>吴佳东</w:t>
            </w:r>
          </w:p>
        </w:tc>
        <w:tc>
          <w:tcPr>
            <w:tcW w:w="1768" w:type="dxa"/>
            <w:vAlign w:val="center"/>
          </w:tcPr>
          <w:p w14:paraId="31DCA9EC">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lang w:val="en-US" w:eastAsia="zh-CN"/>
              </w:rPr>
            </w:pPr>
            <w:r>
              <w:rPr>
                <w:rFonts w:hint="eastAsia" w:ascii="宋体" w:hAnsi="宋体" w:eastAsia="宋体" w:cs="宋体"/>
                <w:color w:val="000000" w:themeColor="text1"/>
                <w:kern w:val="0"/>
                <w:sz w:val="24"/>
                <w:szCs w:val="24"/>
                <w:highlight w:val="none"/>
                <w:lang w:val="en-US" w:eastAsia="zh-CN"/>
              </w:rPr>
              <w:t>安全工程</w:t>
            </w:r>
          </w:p>
        </w:tc>
        <w:tc>
          <w:tcPr>
            <w:tcW w:w="2932" w:type="dxa"/>
            <w:vAlign w:val="center"/>
          </w:tcPr>
          <w:p w14:paraId="16A96098">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S011037000110191000859</w:t>
            </w:r>
          </w:p>
        </w:tc>
        <w:tc>
          <w:tcPr>
            <w:tcW w:w="1112" w:type="dxa"/>
            <w:vAlign w:val="center"/>
          </w:tcPr>
          <w:p w14:paraId="0D588388">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025862</w:t>
            </w:r>
          </w:p>
        </w:tc>
        <w:tc>
          <w:tcPr>
            <w:tcW w:w="1214" w:type="dxa"/>
            <w:vAlign w:val="center"/>
          </w:tcPr>
          <w:p w14:paraId="15AAC0CE">
            <w:pPr>
              <w:keepNext w:val="0"/>
              <w:keepLines w:val="0"/>
              <w:pageBreakBefore w:val="0"/>
              <w:widowControl w:val="0"/>
              <w:kinsoku/>
              <w:wordWrap/>
              <w:overflowPunct w:val="0"/>
              <w:topLinePunct w:val="0"/>
              <w:bidi w:val="0"/>
              <w:adjustRightInd w:val="0"/>
              <w:snapToGrid w:val="0"/>
              <w:jc w:val="center"/>
              <w:rPr>
                <w:rFonts w:hint="eastAsia" w:ascii="宋体" w:hAnsi="宋体" w:eastAsia="宋体" w:cs="宋体"/>
                <w:color w:val="000000" w:themeColor="text1"/>
                <w:kern w:val="0"/>
                <w:sz w:val="24"/>
                <w:szCs w:val="24"/>
                <w:highlight w:val="none"/>
              </w:rPr>
            </w:pPr>
          </w:p>
        </w:tc>
      </w:tr>
    </w:tbl>
    <w:p w14:paraId="30FEE78B">
      <w:pPr>
        <w:keepNext w:val="0"/>
        <w:keepLines w:val="0"/>
        <w:pageBreakBefore w:val="0"/>
        <w:widowControl w:val="0"/>
        <w:kinsoku/>
        <w:wordWrap/>
        <w:topLinePunct w:val="0"/>
        <w:bidi w:val="0"/>
        <w:adjustRightInd w:val="0"/>
        <w:snapToGrid w:val="0"/>
        <w:spacing w:line="360" w:lineRule="auto"/>
        <w:jc w:val="center"/>
        <w:rPr>
          <w:rFonts w:ascii="黑体" w:eastAsia="黑体"/>
          <w:b/>
          <w:color w:val="000000" w:themeColor="text1"/>
          <w:sz w:val="32"/>
          <w:szCs w:val="32"/>
          <w:highlight w:val="none"/>
        </w:rPr>
      </w:pPr>
    </w:p>
    <w:p w14:paraId="24A91D84">
      <w:pPr>
        <w:keepNext w:val="0"/>
        <w:keepLines w:val="0"/>
        <w:pageBreakBefore w:val="0"/>
        <w:widowControl w:val="0"/>
        <w:kinsoku/>
        <w:wordWrap/>
        <w:topLinePunct w:val="0"/>
        <w:bidi w:val="0"/>
        <w:adjustRightInd w:val="0"/>
        <w:snapToGrid w:val="0"/>
        <w:rPr>
          <w:rFonts w:ascii="黑体" w:eastAsia="黑体"/>
          <w:b/>
          <w:color w:val="000000" w:themeColor="text1"/>
          <w:sz w:val="32"/>
          <w:szCs w:val="32"/>
          <w:highlight w:val="none"/>
        </w:rPr>
      </w:pPr>
      <w:r>
        <w:rPr>
          <w:rFonts w:ascii="黑体" w:eastAsia="黑体"/>
          <w:b/>
          <w:color w:val="000000" w:themeColor="text1"/>
          <w:sz w:val="32"/>
          <w:szCs w:val="32"/>
          <w:highlight w:val="none"/>
        </w:rPr>
        <w:br w:type="page"/>
      </w:r>
    </w:p>
    <w:p w14:paraId="3C290222">
      <w:pPr>
        <w:keepNext w:val="0"/>
        <w:keepLines w:val="0"/>
        <w:pageBreakBefore w:val="0"/>
        <w:widowControl w:val="0"/>
        <w:kinsoku/>
        <w:wordWrap/>
        <w:topLinePunct w:val="0"/>
        <w:bidi w:val="0"/>
        <w:adjustRightInd w:val="0"/>
        <w:snapToGrid w:val="0"/>
        <w:spacing w:line="360" w:lineRule="auto"/>
        <w:jc w:val="center"/>
        <w:rPr>
          <w:rFonts w:ascii="黑体" w:eastAsia="黑体"/>
          <w:b/>
          <w:color w:val="000000" w:themeColor="text1"/>
          <w:sz w:val="32"/>
          <w:szCs w:val="32"/>
          <w:highlight w:val="none"/>
        </w:rPr>
        <w:sectPr>
          <w:footerReference r:id="rId8" w:type="default"/>
          <w:type w:val="nextColumn"/>
          <w:pgSz w:w="11907" w:h="16840"/>
          <w:pgMar w:top="1418" w:right="1134" w:bottom="1134" w:left="1588" w:header="851" w:footer="992" w:gutter="0"/>
          <w:paperSrc w:first="7" w:other="7"/>
          <w:pgBorders>
            <w:top w:val="none" w:sz="0" w:space="0"/>
            <w:left w:val="none" w:sz="0" w:space="0"/>
            <w:bottom w:val="none" w:sz="0" w:space="0"/>
            <w:right w:val="none" w:sz="0" w:space="0"/>
          </w:pgBorders>
          <w:pgNumType w:fmt="upperRoman" w:start="1"/>
          <w:cols w:space="720" w:num="1"/>
          <w:docGrid w:linePitch="312" w:charSpace="0"/>
        </w:sectPr>
      </w:pPr>
      <w:r>
        <w:rPr>
          <w:rFonts w:ascii="黑体" w:eastAsia="黑体"/>
          <w:b/>
          <w:color w:val="000000" w:themeColor="text1"/>
          <w:sz w:val="32"/>
          <w:szCs w:val="32"/>
          <w:highlight w:val="none"/>
        </w:rPr>
        <w:br w:type="page"/>
      </w:r>
    </w:p>
    <w:bookmarkEnd w:id="11"/>
    <w:bookmarkEnd w:id="12"/>
    <w:bookmarkEnd w:id="13"/>
    <w:bookmarkEnd w:id="14"/>
    <w:p w14:paraId="6F618C45">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outlineLvl w:val="0"/>
        <w:rPr>
          <w:rFonts w:ascii="黑体" w:eastAsia="黑体"/>
          <w:b/>
          <w:color w:val="000000" w:themeColor="text1"/>
          <w:sz w:val="32"/>
          <w:szCs w:val="32"/>
          <w:highlight w:val="none"/>
        </w:rPr>
      </w:pPr>
      <w:bookmarkStart w:id="15" w:name="_Toc25226"/>
      <w:bookmarkStart w:id="16" w:name="_Toc4159"/>
      <w:bookmarkStart w:id="17" w:name="_Toc14355"/>
      <w:bookmarkStart w:id="18" w:name="_Toc7579"/>
      <w:bookmarkStart w:id="19" w:name="_Toc14497"/>
      <w:bookmarkStart w:id="20" w:name="_Toc8120"/>
      <w:bookmarkStart w:id="21" w:name="_Toc28285"/>
      <w:r>
        <w:rPr>
          <w:rFonts w:hint="eastAsia" w:ascii="黑体" w:eastAsia="黑体"/>
          <w:b/>
          <w:color w:val="000000" w:themeColor="text1"/>
          <w:sz w:val="32"/>
          <w:szCs w:val="32"/>
          <w:highlight w:val="none"/>
        </w:rPr>
        <w:t>前  言</w:t>
      </w:r>
      <w:bookmarkEnd w:id="15"/>
      <w:bookmarkEnd w:id="16"/>
      <w:bookmarkEnd w:id="17"/>
      <w:bookmarkEnd w:id="18"/>
      <w:bookmarkEnd w:id="19"/>
      <w:bookmarkEnd w:id="20"/>
      <w:bookmarkEnd w:id="21"/>
    </w:p>
    <w:p w14:paraId="51BEF56F">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ascii="宋体" w:hAnsi="宋体" w:eastAsia="宋体" w:cs="宋体"/>
          <w:snapToGrid w:val="0"/>
          <w:color w:val="000000" w:themeColor="text1"/>
          <w:sz w:val="28"/>
          <w:szCs w:val="28"/>
          <w:highlight w:val="none"/>
        </w:rPr>
      </w:pPr>
      <w:r>
        <w:rPr>
          <w:rFonts w:hint="eastAsia" w:ascii="宋体" w:hAnsi="宋体" w:eastAsia="宋体" w:cs="宋体"/>
          <w:color w:val="000000" w:themeColor="text1"/>
          <w:sz w:val="28"/>
          <w:szCs w:val="28"/>
          <w:highlight w:val="none"/>
        </w:rPr>
        <w:t xml:space="preserve">华美线业有限公司（以下简称“华美线业”） </w:t>
      </w:r>
      <w:r>
        <w:rPr>
          <w:rFonts w:hint="eastAsia" w:ascii="宋体" w:hAnsi="宋体" w:eastAsia="宋体" w:cs="宋体"/>
          <w:color w:val="000000" w:themeColor="text1"/>
          <w:sz w:val="28"/>
          <w:szCs w:val="28"/>
          <w:highlight w:val="none"/>
          <w:lang w:eastAsia="zh-CN"/>
        </w:rPr>
        <w:t>成立于</w:t>
      </w:r>
      <w:r>
        <w:rPr>
          <w:rFonts w:hint="eastAsia" w:ascii="宋体" w:hAnsi="宋体" w:eastAsia="宋体" w:cs="宋体"/>
          <w:color w:val="000000" w:themeColor="text1"/>
          <w:sz w:val="28"/>
          <w:szCs w:val="28"/>
          <w:highlight w:val="none"/>
          <w:lang w:val="en-US" w:eastAsia="zh-CN"/>
        </w:rPr>
        <w:t>2003年4月30日，</w:t>
      </w:r>
      <w:r>
        <w:rPr>
          <w:rFonts w:hint="eastAsia" w:ascii="宋体" w:hAnsi="宋体" w:eastAsia="宋体" w:cs="宋体"/>
          <w:color w:val="000000" w:themeColor="text1"/>
          <w:sz w:val="28"/>
          <w:szCs w:val="28"/>
          <w:highlight w:val="none"/>
        </w:rPr>
        <w:t>位于浙江省宁波市镇海区庄市</w:t>
      </w:r>
      <w:r>
        <w:rPr>
          <w:rFonts w:hint="eastAsia" w:ascii="宋体" w:hAnsi="宋体" w:eastAsia="宋体" w:cs="宋体"/>
          <w:color w:val="000000" w:themeColor="text1"/>
          <w:sz w:val="28"/>
          <w:szCs w:val="28"/>
          <w:highlight w:val="none"/>
          <w:lang w:eastAsia="zh-CN"/>
        </w:rPr>
        <w:t>兆龙路</w:t>
      </w:r>
      <w:r>
        <w:rPr>
          <w:rFonts w:hint="eastAsia" w:ascii="宋体" w:hAnsi="宋体" w:eastAsia="宋体" w:cs="宋体"/>
          <w:color w:val="000000" w:themeColor="text1"/>
          <w:sz w:val="28"/>
          <w:szCs w:val="28"/>
          <w:highlight w:val="none"/>
          <w:lang w:val="en-US" w:eastAsia="zh-CN"/>
        </w:rPr>
        <w:t>195号</w:t>
      </w:r>
      <w:r>
        <w:rPr>
          <w:rFonts w:hint="eastAsia" w:ascii="宋体" w:hAnsi="宋体" w:eastAsia="宋体" w:cs="宋体"/>
          <w:color w:val="000000" w:themeColor="text1"/>
          <w:sz w:val="28"/>
          <w:szCs w:val="28"/>
          <w:highlight w:val="none"/>
        </w:rPr>
        <w:t>，</w:t>
      </w:r>
      <w:r>
        <w:rPr>
          <w:rFonts w:hint="eastAsia" w:ascii="宋体" w:hAnsi="宋体" w:eastAsia="宋体" w:cs="宋体"/>
          <w:color w:val="000000" w:themeColor="text1"/>
          <w:sz w:val="28"/>
          <w:szCs w:val="28"/>
          <w:highlight w:val="none"/>
          <w:lang w:eastAsia="zh-CN"/>
        </w:rPr>
        <w:t>注册资本</w:t>
      </w:r>
      <w:r>
        <w:rPr>
          <w:rFonts w:hint="eastAsia" w:ascii="宋体" w:hAnsi="宋体" w:eastAsia="宋体" w:cs="宋体"/>
          <w:color w:val="000000" w:themeColor="text1"/>
          <w:sz w:val="28"/>
          <w:szCs w:val="28"/>
          <w:highlight w:val="none"/>
          <w:lang w:val="en-US" w:eastAsia="zh-CN"/>
        </w:rPr>
        <w:t>10732万元</w:t>
      </w:r>
      <w:r>
        <w:rPr>
          <w:rFonts w:hint="eastAsia" w:ascii="宋体" w:hAnsi="宋体" w:eastAsia="宋体" w:cs="宋体"/>
          <w:color w:val="000000" w:themeColor="text1"/>
          <w:sz w:val="28"/>
          <w:szCs w:val="28"/>
          <w:highlight w:val="none"/>
        </w:rPr>
        <w:t>，专注于提供最专业的纺织类产品缝制解决方案</w:t>
      </w:r>
      <w:r>
        <w:rPr>
          <w:rFonts w:hint="eastAsia" w:cs="宋体"/>
          <w:color w:val="000000" w:themeColor="text1"/>
          <w:sz w:val="28"/>
          <w:szCs w:val="28"/>
          <w:highlight w:val="none"/>
          <w:lang w:eastAsia="zh-CN"/>
        </w:rPr>
        <w:t>，</w:t>
      </w:r>
      <w:r>
        <w:rPr>
          <w:rFonts w:hint="eastAsia" w:ascii="宋体" w:hAnsi="宋体" w:eastAsia="宋体" w:cs="宋体"/>
          <w:snapToGrid w:val="0"/>
          <w:color w:val="000000" w:themeColor="text1"/>
          <w:sz w:val="28"/>
          <w:szCs w:val="28"/>
          <w:highlight w:val="none"/>
        </w:rPr>
        <w:t>华美线业年产涤纶缝纫线近万吨，涤纶绣花线近千吨。</w:t>
      </w:r>
    </w:p>
    <w:p w14:paraId="0DFA8792">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依据《危险化学品目录》（原国家安全生产监督管理局等部局公告2015年第5号，十部委公告2022年第8号修改）辨识，华美线业生产过程中所使用的</w:t>
      </w:r>
      <w:r>
        <w:rPr>
          <w:rFonts w:hint="eastAsia" w:ascii="宋体" w:hAnsi="宋体" w:eastAsia="宋体" w:cs="宋体"/>
          <w:color w:val="000000" w:themeColor="text1"/>
          <w:sz w:val="28"/>
          <w:szCs w:val="28"/>
          <w:highlight w:val="none"/>
          <w:vertAlign w:val="baseline"/>
          <w:lang w:val="en-US" w:eastAsia="zh-CN"/>
        </w:rPr>
        <w:t>乙酸</w:t>
      </w:r>
      <w:r>
        <w:rPr>
          <w:rFonts w:hint="eastAsia" w:ascii="宋体" w:hAnsi="宋体" w:eastAsia="宋体" w:cs="宋体"/>
          <w:color w:val="000000" w:themeColor="text1"/>
          <w:sz w:val="28"/>
          <w:szCs w:val="28"/>
          <w:highlight w:val="none"/>
        </w:rPr>
        <w:t>、过碳酸钠</w:t>
      </w:r>
      <w:r>
        <w:rPr>
          <w:rFonts w:hint="eastAsia" w:ascii="宋体" w:hAnsi="宋体" w:eastAsia="宋体"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保险粉、氢氧化钠溶液</w:t>
      </w:r>
      <w:r>
        <w:rPr>
          <w:rFonts w:hint="eastAsia" w:ascii="宋体" w:hAnsi="宋体" w:eastAsia="宋体" w:cs="宋体"/>
          <w:color w:val="000000" w:themeColor="text1"/>
          <w:sz w:val="28"/>
          <w:szCs w:val="28"/>
          <w:highlight w:val="none"/>
          <w:lang w:eastAsia="zh-CN"/>
        </w:rPr>
        <w:t>和</w:t>
      </w:r>
      <w:r>
        <w:rPr>
          <w:rFonts w:hint="eastAsia" w:ascii="宋体" w:hAnsi="宋体" w:eastAsia="宋体" w:cs="宋体"/>
          <w:color w:val="000000" w:themeColor="text1"/>
          <w:sz w:val="28"/>
          <w:szCs w:val="28"/>
          <w:highlight w:val="none"/>
        </w:rPr>
        <w:t>次氯酸钠</w:t>
      </w:r>
      <w:r>
        <w:rPr>
          <w:rFonts w:hint="eastAsia" w:ascii="宋体" w:hAnsi="宋体" w:eastAsia="宋体" w:cs="宋体"/>
          <w:color w:val="000000" w:themeColor="text1"/>
          <w:sz w:val="28"/>
          <w:szCs w:val="28"/>
          <w:highlight w:val="none"/>
          <w:lang w:eastAsia="zh-CN"/>
        </w:rPr>
        <w:t>溶液</w:t>
      </w:r>
      <w:r>
        <w:rPr>
          <w:rFonts w:hint="eastAsia" w:ascii="宋体" w:hAnsi="宋体" w:eastAsia="宋体" w:cs="宋体"/>
          <w:color w:val="000000" w:themeColor="text1"/>
          <w:sz w:val="28"/>
          <w:szCs w:val="28"/>
          <w:highlight w:val="none"/>
        </w:rPr>
        <w:t>属于危险化学品。</w:t>
      </w:r>
    </w:p>
    <w:p w14:paraId="0893E5FF">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华美线业</w:t>
      </w:r>
      <w:r>
        <w:rPr>
          <w:rFonts w:hint="eastAsia" w:cs="宋体"/>
          <w:color w:val="000000" w:themeColor="text1"/>
          <w:sz w:val="28"/>
          <w:szCs w:val="28"/>
          <w:highlight w:val="none"/>
          <w:lang w:eastAsia="zh-CN"/>
        </w:rPr>
        <w:t>属于工贸行业，不列入</w:t>
      </w:r>
      <w:r>
        <w:rPr>
          <w:rFonts w:hint="eastAsia"/>
          <w:color w:val="000000" w:themeColor="text1"/>
          <w:sz w:val="28"/>
          <w:szCs w:val="28"/>
          <w:highlight w:val="none"/>
        </w:rPr>
        <w:t>危险化学品安全使用许可适用行业目录、使用危险化学品从事生产</w:t>
      </w:r>
      <w:r>
        <w:rPr>
          <w:rFonts w:hint="eastAsia"/>
          <w:color w:val="000000" w:themeColor="text1"/>
          <w:sz w:val="28"/>
          <w:szCs w:val="28"/>
          <w:highlight w:val="none"/>
          <w:lang w:eastAsia="zh-CN"/>
        </w:rPr>
        <w:t>但</w:t>
      </w:r>
      <w:r>
        <w:rPr>
          <w:rFonts w:hint="eastAsia"/>
          <w:color w:val="000000" w:themeColor="text1"/>
          <w:sz w:val="28"/>
          <w:szCs w:val="28"/>
          <w:highlight w:val="none"/>
        </w:rPr>
        <w:t>未达到危险化学品使用量的数量标准，依据《危险化学品安全使用许可证实施办法》（原国家安全生产监督管理总局令〔2012〕第57号、〔2015〕第79号令修正、〔2017〕第89号令修正、应急部公告〔2019〕11号修正）的要求，</w:t>
      </w:r>
      <w:r>
        <w:rPr>
          <w:rFonts w:hint="eastAsia" w:ascii="宋体" w:hAnsi="宋体" w:eastAsia="宋体" w:cs="宋体"/>
          <w:color w:val="000000" w:themeColor="text1"/>
          <w:sz w:val="28"/>
          <w:szCs w:val="28"/>
          <w:highlight w:val="none"/>
        </w:rPr>
        <w:t>华美线业</w:t>
      </w:r>
      <w:r>
        <w:rPr>
          <w:rFonts w:hint="eastAsia"/>
          <w:color w:val="000000" w:themeColor="text1"/>
          <w:sz w:val="28"/>
          <w:szCs w:val="28"/>
          <w:highlight w:val="none"/>
        </w:rPr>
        <w:t>无需领取安全使用许可证。</w:t>
      </w:r>
    </w:p>
    <w:p w14:paraId="23542549">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按照《危险化学品安全管理条例</w:t>
      </w:r>
      <w:r>
        <w:rPr>
          <w:rFonts w:hint="eastAsia" w:cs="宋体"/>
          <w:color w:val="000000" w:themeColor="text1"/>
          <w:sz w:val="28"/>
          <w:szCs w:val="28"/>
          <w:highlight w:val="none"/>
          <w:lang w:eastAsia="zh-CN"/>
        </w:rPr>
        <w:t>》、</w:t>
      </w:r>
      <w:r>
        <w:rPr>
          <w:rFonts w:hint="eastAsia"/>
          <w:color w:val="000000" w:themeColor="text1"/>
          <w:sz w:val="28"/>
          <w:szCs w:val="28"/>
          <w:highlight w:val="none"/>
        </w:rPr>
        <w:t>《浙江省安全生产条例》</w:t>
      </w:r>
      <w:r>
        <w:rPr>
          <w:rFonts w:hint="eastAsia"/>
          <w:color w:val="000000" w:themeColor="text1"/>
          <w:sz w:val="28"/>
          <w:szCs w:val="28"/>
          <w:highlight w:val="none"/>
          <w:lang w:eastAsia="zh-CN"/>
        </w:rPr>
        <w:t>、</w:t>
      </w:r>
      <w:r>
        <w:rPr>
          <w:rFonts w:hint="eastAsia"/>
          <w:color w:val="000000" w:themeColor="text1"/>
          <w:sz w:val="28"/>
          <w:szCs w:val="28"/>
          <w:highlight w:val="none"/>
        </w:rPr>
        <w:t>《</w:t>
      </w:r>
      <w:r>
        <w:rPr>
          <w:color w:val="000000" w:themeColor="text1"/>
          <w:sz w:val="28"/>
          <w:szCs w:val="28"/>
          <w:highlight w:val="none"/>
        </w:rPr>
        <w:t>宁波市生产经营单位安全生产主体责任规定</w:t>
      </w:r>
      <w:r>
        <w:rPr>
          <w:rFonts w:hint="eastAsia"/>
          <w:color w:val="000000" w:themeColor="text1"/>
          <w:sz w:val="28"/>
          <w:szCs w:val="28"/>
          <w:highlight w:val="none"/>
        </w:rPr>
        <w:t>》</w:t>
      </w:r>
      <w:r>
        <w:rPr>
          <w:rFonts w:hint="eastAsia"/>
          <w:color w:val="000000" w:themeColor="text1"/>
          <w:sz w:val="28"/>
          <w:szCs w:val="28"/>
          <w:highlight w:val="none"/>
          <w:lang w:eastAsia="zh-CN"/>
        </w:rPr>
        <w:t>、</w:t>
      </w:r>
      <w:r>
        <w:rPr>
          <w:rFonts w:hint="eastAsia"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宁波市使用危险化学品从事生产的企业专项安全评价暂行办法》</w:t>
      </w:r>
      <w:r>
        <w:rPr>
          <w:rFonts w:hint="eastAsia"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甬应急〔2020〕9号</w:t>
      </w:r>
      <w:r>
        <w:rPr>
          <w:rFonts w:hint="eastAsia"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、《宁波市使用危险化学品工业企业安全生产基本规范（试行）》</w:t>
      </w:r>
      <w:r>
        <w:rPr>
          <w:rFonts w:hint="eastAsia"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甬应急〔2020〕10号</w:t>
      </w:r>
      <w:r>
        <w:rPr>
          <w:rFonts w:hint="eastAsia"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等</w:t>
      </w:r>
      <w:r>
        <w:rPr>
          <w:rFonts w:hint="eastAsia" w:cs="宋体"/>
          <w:color w:val="000000" w:themeColor="text1"/>
          <w:sz w:val="28"/>
          <w:szCs w:val="28"/>
          <w:highlight w:val="none"/>
          <w:lang w:eastAsia="zh-CN"/>
        </w:rPr>
        <w:t>相关</w:t>
      </w:r>
      <w:r>
        <w:rPr>
          <w:rFonts w:hint="eastAsia" w:ascii="宋体" w:hAnsi="宋体" w:eastAsia="宋体" w:cs="宋体"/>
          <w:color w:val="000000" w:themeColor="text1"/>
          <w:sz w:val="28"/>
          <w:szCs w:val="28"/>
          <w:highlight w:val="none"/>
        </w:rPr>
        <w:t>规定，华美线业委托山东实华安全技术有限公司对其危险化学品使用进行专项安全</w:t>
      </w:r>
      <w:r>
        <w:rPr>
          <w:rFonts w:hint="eastAsia" w:cs="宋体"/>
          <w:color w:val="000000" w:themeColor="text1"/>
          <w:sz w:val="28"/>
          <w:szCs w:val="28"/>
          <w:highlight w:val="none"/>
          <w:lang w:eastAsia="zh-CN"/>
        </w:rPr>
        <w:t>现状</w:t>
      </w:r>
      <w:r>
        <w:rPr>
          <w:rFonts w:hint="eastAsia" w:ascii="宋体" w:hAnsi="宋体" w:eastAsia="宋体" w:cs="宋体"/>
          <w:color w:val="000000" w:themeColor="text1"/>
          <w:sz w:val="28"/>
          <w:szCs w:val="28"/>
          <w:highlight w:val="none"/>
        </w:rPr>
        <w:t>评价。</w:t>
      </w:r>
    </w:p>
    <w:p w14:paraId="29BD21B0">
      <w:pPr>
        <w:keepNext w:val="0"/>
        <w:keepLines w:val="0"/>
        <w:pageBreakBefore w:val="0"/>
        <w:widowControl w:val="0"/>
        <w:kinsoku/>
        <w:wordWrap/>
        <w:topLinePunct w:val="0"/>
        <w:autoSpaceDE w:val="0"/>
        <w:autoSpaceDN w:val="0"/>
        <w:bidi w:val="0"/>
        <w:adjustRightInd w:val="0"/>
        <w:snapToGrid w:val="0"/>
        <w:spacing w:line="360" w:lineRule="auto"/>
        <w:ind w:firstLine="560" w:firstLineChars="200"/>
        <w:jc w:val="left"/>
        <w:rPr>
          <w:rFonts w:hint="eastAsia" w:ascii="宋体" w:hAnsi="宋体" w:eastAsia="宋体" w:cs="宋体"/>
          <w:color w:val="000000" w:themeColor="text1"/>
          <w:sz w:val="28"/>
          <w:szCs w:val="28"/>
          <w:highlight w:val="none"/>
        </w:rPr>
        <w:sectPr>
          <w:headerReference r:id="rId9" w:type="default"/>
          <w:footerReference r:id="rId10" w:type="default"/>
          <w:type w:val="nextColumn"/>
          <w:pgSz w:w="11907" w:h="16840"/>
          <w:pgMar w:top="1418" w:right="1134" w:bottom="1134" w:left="1588" w:header="794" w:footer="794" w:gutter="0"/>
          <w:paperSrc w:first="7" w:other="7"/>
          <w:pgBorders>
            <w:top w:val="none" w:sz="0" w:space="0"/>
            <w:left w:val="none" w:sz="0" w:space="0"/>
            <w:bottom w:val="none" w:sz="0" w:space="0"/>
            <w:right w:val="none" w:sz="0" w:space="0"/>
          </w:pgBorders>
          <w:pgNumType w:fmt="upperRoman" w:start="1"/>
          <w:cols w:space="720" w:num="1"/>
          <w:docGrid w:linePitch="312" w:charSpace="0"/>
        </w:sectPr>
      </w:pPr>
      <w:r>
        <w:rPr>
          <w:rFonts w:hint="eastAsia" w:ascii="宋体" w:hAnsi="宋体" w:eastAsia="宋体" w:cs="宋体"/>
          <w:color w:val="000000" w:themeColor="text1"/>
          <w:sz w:val="28"/>
          <w:szCs w:val="28"/>
          <w:highlight w:val="none"/>
        </w:rPr>
        <w:t>山东实华安全技术有限公司接受任务后成立了评价小组</w:t>
      </w:r>
      <w:r>
        <w:rPr>
          <w:rFonts w:hint="eastAsia" w:ascii="宋体" w:hAnsi="宋体" w:eastAsia="宋体"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评价小组根据国家现行有关安全生产的法律法规和标准，通过现场勘查、收集查阅有关资料、征求相关人员的意见，</w:t>
      </w:r>
      <w:r>
        <w:rPr>
          <w:rFonts w:hint="eastAsia" w:ascii="宋体" w:hAnsi="宋体" w:eastAsia="宋体" w:cs="宋体"/>
          <w:color w:val="000000" w:themeColor="text1"/>
          <w:sz w:val="28"/>
          <w:szCs w:val="28"/>
          <w:highlight w:val="none"/>
          <w:lang w:eastAsia="zh-CN"/>
        </w:rPr>
        <w:t>对危险化学品储存和使用场所</w:t>
      </w:r>
      <w:r>
        <w:rPr>
          <w:rFonts w:hint="eastAsia" w:ascii="宋体" w:hAnsi="宋体" w:eastAsia="宋体" w:cs="宋体"/>
          <w:color w:val="000000" w:themeColor="text1"/>
          <w:sz w:val="28"/>
          <w:szCs w:val="28"/>
          <w:highlight w:val="none"/>
        </w:rPr>
        <w:t>的总体布局、危化品特性、使用工艺、设备设施等方面进行分析论证，找出</w:t>
      </w:r>
      <w:r>
        <w:rPr>
          <w:rFonts w:hint="eastAsia" w:ascii="宋体" w:hAnsi="宋体" w:eastAsia="宋体" w:cs="宋体"/>
          <w:color w:val="000000" w:themeColor="text1"/>
          <w:sz w:val="28"/>
          <w:szCs w:val="28"/>
          <w:highlight w:val="none"/>
          <w:lang w:eastAsia="zh-CN"/>
        </w:rPr>
        <w:t>危险化学品储存和使用</w:t>
      </w:r>
      <w:r>
        <w:rPr>
          <w:rFonts w:hint="eastAsia" w:ascii="宋体" w:hAnsi="宋体" w:eastAsia="宋体" w:cs="宋体"/>
          <w:color w:val="000000" w:themeColor="text1"/>
          <w:sz w:val="28"/>
          <w:szCs w:val="28"/>
          <w:highlight w:val="none"/>
        </w:rPr>
        <w:t>过程中存在的危险、有害因素，对可能产生的危害，提出了消除、预防或降低危险性的对策措施。在此基础上，编制完成了本评价报告。</w:t>
      </w:r>
    </w:p>
    <w:p w14:paraId="6AAA2394">
      <w:pPr>
        <w:pStyle w:val="2"/>
        <w:rPr>
          <w:rFonts w:hint="eastAsia"/>
        </w:rPr>
        <w:sectPr>
          <w:pgSz w:w="11907" w:h="16840"/>
          <w:pgMar w:top="1418" w:right="1134" w:bottom="1134" w:left="1588" w:header="794" w:footer="794" w:gutter="0"/>
          <w:paperSrc w:first="7" w:other="7"/>
          <w:pgBorders>
            <w:top w:val="none" w:sz="0" w:space="0"/>
            <w:left w:val="none" w:sz="0" w:space="0"/>
            <w:bottom w:val="none" w:sz="0" w:space="0"/>
            <w:right w:val="none" w:sz="0" w:space="0"/>
          </w:pgBorders>
          <w:pgNumType w:fmt="upperRoman"/>
          <w:cols w:space="720" w:num="1"/>
          <w:docGrid w:linePitch="312" w:charSpace="0"/>
        </w:sectPr>
      </w:pPr>
    </w:p>
    <w:p w14:paraId="5C5F1D94">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rPr>
          <w:rFonts w:ascii="黑体" w:hAnsi="黑体" w:eastAsia="黑体"/>
          <w:b/>
          <w:bCs/>
          <w:color w:val="000000" w:themeColor="text1"/>
          <w:sz w:val="32"/>
          <w:szCs w:val="32"/>
          <w:highlight w:val="none"/>
        </w:rPr>
      </w:pPr>
      <w:r>
        <w:rPr>
          <w:rFonts w:hint="eastAsia" w:ascii="黑体" w:hAnsi="黑体" w:eastAsia="黑体"/>
          <w:b/>
          <w:bCs/>
          <w:color w:val="000000" w:themeColor="text1"/>
          <w:sz w:val="32"/>
          <w:szCs w:val="32"/>
          <w:highlight w:val="none"/>
        </w:rPr>
        <w:t>目</w:t>
      </w:r>
      <w:r>
        <w:rPr>
          <w:rFonts w:ascii="黑体" w:hAnsi="黑体" w:eastAsia="黑体"/>
          <w:b/>
          <w:bCs/>
          <w:color w:val="000000" w:themeColor="text1"/>
          <w:sz w:val="32"/>
          <w:szCs w:val="32"/>
          <w:highlight w:val="none"/>
        </w:rPr>
        <w:t xml:space="preserve">   </w:t>
      </w:r>
      <w:r>
        <w:rPr>
          <w:rFonts w:hint="eastAsia" w:ascii="黑体" w:hAnsi="黑体" w:eastAsia="黑体"/>
          <w:b/>
          <w:bCs/>
          <w:color w:val="000000" w:themeColor="text1"/>
          <w:sz w:val="32"/>
          <w:szCs w:val="32"/>
          <w:highlight w:val="none"/>
        </w:rPr>
        <w:t>录</w:t>
      </w:r>
      <w:bookmarkStart w:id="984" w:name="_GoBack"/>
      <w:bookmarkEnd w:id="984"/>
    </w:p>
    <w:bookmarkEnd w:id="9"/>
    <w:bookmarkEnd w:id="10"/>
    <w:p w14:paraId="7395A9DB">
      <w:pPr>
        <w:pStyle w:val="42"/>
        <w:tabs>
          <w:tab w:val="right" w:leader="dot" w:pos="9185"/>
        </w:tabs>
        <w:spacing w:line="360" w:lineRule="auto"/>
        <w:rPr>
          <w:rFonts w:hint="eastAsia" w:ascii="宋体" w:hAnsi="宋体" w:eastAsia="宋体" w:cs="宋体"/>
          <w:sz w:val="28"/>
          <w:szCs w:val="28"/>
        </w:rPr>
      </w:pPr>
      <w:r>
        <w:rPr>
          <w:rFonts w:hint="eastAsia" w:ascii="宋体" w:hAnsi="宋体" w:eastAsia="宋体" w:cs="宋体"/>
          <w:b w:val="0"/>
          <w:bCs w:val="0"/>
          <w:caps w:val="0"/>
          <w:color w:val="000000" w:themeColor="text1"/>
          <w:sz w:val="28"/>
          <w:szCs w:val="28"/>
          <w:highlight w:val="none"/>
        </w:rPr>
        <w:fldChar w:fldCharType="begin"/>
      </w:r>
      <w:r>
        <w:rPr>
          <w:rFonts w:hint="eastAsia" w:ascii="宋体" w:hAnsi="宋体" w:eastAsia="宋体" w:cs="宋体"/>
          <w:b w:val="0"/>
          <w:bCs w:val="0"/>
          <w:caps w:val="0"/>
          <w:color w:val="000000" w:themeColor="text1"/>
          <w:sz w:val="28"/>
          <w:szCs w:val="28"/>
          <w:highlight w:val="none"/>
        </w:rPr>
        <w:instrText xml:space="preserve"> TOC \o "1-3" \h \z \u </w:instrText>
      </w:r>
      <w:r>
        <w:rPr>
          <w:rFonts w:hint="eastAsia" w:ascii="宋体" w:hAnsi="宋体" w:eastAsia="宋体" w:cs="宋体"/>
          <w:b w:val="0"/>
          <w:bCs w:val="0"/>
          <w:caps w:val="0"/>
          <w:color w:val="000000" w:themeColor="text1"/>
          <w:sz w:val="28"/>
          <w:szCs w:val="28"/>
          <w:highlight w:val="none"/>
        </w:rPr>
        <w:fldChar w:fldCharType="separate"/>
      </w: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_Toc30314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kern w:val="0"/>
          <w:sz w:val="28"/>
          <w:szCs w:val="28"/>
          <w:highlight w:val="none"/>
        </w:rPr>
        <w:t>1  危险化学品使用专项安全</w:t>
      </w:r>
      <w:r>
        <w:rPr>
          <w:rFonts w:hint="eastAsia" w:ascii="宋体" w:hAnsi="宋体" w:eastAsia="宋体" w:cs="宋体"/>
          <w:kern w:val="0"/>
          <w:sz w:val="28"/>
          <w:szCs w:val="28"/>
          <w:highlight w:val="none"/>
          <w:lang w:eastAsia="zh-CN"/>
        </w:rPr>
        <w:t>现状</w:t>
      </w:r>
      <w:r>
        <w:rPr>
          <w:rFonts w:hint="eastAsia" w:ascii="宋体" w:hAnsi="宋体" w:eastAsia="宋体" w:cs="宋体"/>
          <w:kern w:val="0"/>
          <w:sz w:val="28"/>
          <w:szCs w:val="28"/>
          <w:highlight w:val="none"/>
        </w:rPr>
        <w:t>评价工作经过</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_Toc30314 \h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08103AFB">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_Toc22823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1.1 危险化学品使用专项安全</w:t>
      </w:r>
      <w:r>
        <w:rPr>
          <w:rFonts w:hint="eastAsia" w:ascii="宋体" w:hAnsi="宋体" w:eastAsia="宋体" w:cs="宋体"/>
          <w:sz w:val="28"/>
          <w:szCs w:val="28"/>
          <w:highlight w:val="none"/>
          <w:lang w:eastAsia="zh-CN"/>
        </w:rPr>
        <w:t>现状</w:t>
      </w:r>
      <w:r>
        <w:rPr>
          <w:rFonts w:hint="eastAsia" w:ascii="宋体" w:hAnsi="宋体" w:eastAsia="宋体" w:cs="宋体"/>
          <w:sz w:val="28"/>
          <w:szCs w:val="28"/>
          <w:highlight w:val="none"/>
        </w:rPr>
        <w:t>评价目的</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_Toc22823 \h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638C1A68">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_Toc9648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1.2 危险化学品使用专项安全</w:t>
      </w:r>
      <w:r>
        <w:rPr>
          <w:rFonts w:hint="eastAsia" w:ascii="宋体" w:hAnsi="宋体" w:eastAsia="宋体" w:cs="宋体"/>
          <w:sz w:val="28"/>
          <w:szCs w:val="28"/>
          <w:highlight w:val="none"/>
          <w:lang w:eastAsia="zh-CN"/>
        </w:rPr>
        <w:t>现状</w:t>
      </w:r>
      <w:r>
        <w:rPr>
          <w:rFonts w:hint="eastAsia" w:ascii="宋体" w:hAnsi="宋体" w:eastAsia="宋体" w:cs="宋体"/>
          <w:sz w:val="28"/>
          <w:szCs w:val="28"/>
          <w:highlight w:val="none"/>
        </w:rPr>
        <w:t>评价依据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_Toc9648 \h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15A63685">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_Toc22222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1.2.1 主要</w:t>
      </w:r>
      <w:r>
        <w:rPr>
          <w:rFonts w:hint="eastAsia" w:ascii="宋体" w:hAnsi="宋体" w:eastAsia="宋体" w:cs="宋体"/>
          <w:sz w:val="28"/>
          <w:szCs w:val="28"/>
          <w:highlight w:val="none"/>
          <w:lang w:eastAsia="zh-CN"/>
        </w:rPr>
        <w:t>法律法规</w:t>
      </w:r>
      <w:r>
        <w:rPr>
          <w:rFonts w:hint="eastAsia" w:ascii="宋体" w:hAnsi="宋体" w:eastAsia="宋体" w:cs="宋体"/>
          <w:sz w:val="28"/>
          <w:szCs w:val="28"/>
          <w:highlight w:val="none"/>
        </w:rPr>
        <w:t>、规章和规范性文件</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_Toc22222 \h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1C6ED65E">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_Toc19014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1.2.2 主要国家标准和行业标准</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_Toc19014 \h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2FB87D22">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_Toc10391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1.2.3 有关技术文件、资料</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_Toc10391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6377D24B">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_Toc15331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1.3 评价原则</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_Toc15331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1981C220">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_Toc11766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1.4 评价范围</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_Toc11766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3FF17E09">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_Toc28618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1.5 评价程序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_Toc28618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5D85EB32">
      <w:pPr>
        <w:pStyle w:val="42"/>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_Toc20055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kern w:val="0"/>
          <w:sz w:val="28"/>
          <w:szCs w:val="28"/>
          <w:highlight w:val="none"/>
        </w:rPr>
        <w:t>2  项目概况</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_Toc20055 \h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4E61632A">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_Toc16904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2.1 企业情况简介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_Toc16904 \h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49DFC1D6">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_Toc1693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2.2 地理位置、自然条件及周边环境</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_Toc1693 \h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6E24225A">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_Toc12500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2.2.1 地理位置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_Toc12500 \h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5677261F">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_Toc1406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2.2.</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 xml:space="preserve"> 周边环境</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_Toc1406 \h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326B3924">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_Toc12217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2.2.</w:t>
      </w: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rPr>
        <w:t xml:space="preserve"> 自然条件</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_Toc12217 \h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4362EF3E">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_Toc28878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w:t>
      </w: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rPr>
        <w:t>总平面布置及建</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构</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筑物</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_Toc28878 \h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72C8A68D">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_Toc29413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w:t>
      </w:r>
      <w:r>
        <w:rPr>
          <w:rFonts w:hint="eastAsia" w:ascii="宋体" w:hAnsi="宋体" w:eastAsia="宋体" w:cs="宋体"/>
          <w:sz w:val="28"/>
          <w:szCs w:val="28"/>
          <w:highlight w:val="none"/>
          <w:lang w:val="en-US" w:eastAsia="zh-CN"/>
        </w:rPr>
        <w:t>4</w:t>
      </w:r>
      <w:r>
        <w:rPr>
          <w:rFonts w:hint="eastAsia" w:ascii="宋体" w:hAnsi="宋体" w:eastAsia="宋体" w:cs="宋体"/>
          <w:sz w:val="28"/>
          <w:szCs w:val="28"/>
          <w:highlight w:val="none"/>
        </w:rPr>
        <w:t>危险化学品</w:t>
      </w:r>
      <w:r>
        <w:rPr>
          <w:rFonts w:hint="eastAsia" w:ascii="宋体" w:hAnsi="宋体" w:eastAsia="宋体" w:cs="宋体"/>
          <w:sz w:val="28"/>
          <w:szCs w:val="28"/>
          <w:highlight w:val="none"/>
          <w:lang w:eastAsia="zh-CN"/>
        </w:rPr>
        <w:t>储存和使用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_Toc29413 \h </w:instrText>
      </w:r>
      <w:r>
        <w:rPr>
          <w:rFonts w:hint="eastAsia" w:ascii="宋体" w:hAnsi="宋体" w:eastAsia="宋体" w:cs="宋体"/>
          <w:sz w:val="28"/>
          <w:szCs w:val="28"/>
        </w:rPr>
        <w:fldChar w:fldCharType="separate"/>
      </w:r>
      <w:r>
        <w:rPr>
          <w:rFonts w:hint="eastAsia" w:ascii="宋体" w:hAnsi="宋体" w:eastAsia="宋体" w:cs="宋体"/>
          <w:sz w:val="28"/>
          <w:szCs w:val="28"/>
        </w:rPr>
        <w:t>15</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09A615C0">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_Toc11790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lang w:val="en-US" w:eastAsia="zh-CN"/>
        </w:rPr>
        <w:t>2.4.1危险化学品储存</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_Toc11790 \h </w:instrText>
      </w:r>
      <w:r>
        <w:rPr>
          <w:rFonts w:hint="eastAsia" w:ascii="宋体" w:hAnsi="宋体" w:eastAsia="宋体" w:cs="宋体"/>
          <w:sz w:val="28"/>
          <w:szCs w:val="28"/>
        </w:rPr>
        <w:fldChar w:fldCharType="separate"/>
      </w:r>
      <w:r>
        <w:rPr>
          <w:rFonts w:hint="eastAsia" w:ascii="宋体" w:hAnsi="宋体" w:eastAsia="宋体" w:cs="宋体"/>
          <w:sz w:val="28"/>
          <w:szCs w:val="28"/>
        </w:rPr>
        <w:t>15</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20A07796">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_Toc17397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lang w:val="en-US" w:eastAsia="zh-CN"/>
        </w:rPr>
        <w:t>2.4.2危险化学品使用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_Toc17397 \h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3C9D6F9C">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_Toc18696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主要设备</w:t>
      </w:r>
      <w:r>
        <w:rPr>
          <w:rFonts w:hint="eastAsia" w:ascii="宋体" w:hAnsi="宋体" w:eastAsia="宋体" w:cs="宋体"/>
          <w:sz w:val="28"/>
          <w:szCs w:val="28"/>
          <w:highlight w:val="none"/>
          <w:lang w:eastAsia="zh-CN"/>
        </w:rPr>
        <w:t>和安全设施</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_Toc18696 \h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189B0F08">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_Toc20133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lang w:val="en-US" w:eastAsia="zh-CN"/>
        </w:rPr>
        <w:t>2.5.1主要设备</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_Toc20133 \h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02269CE9">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_Toc956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lang w:val="en-US" w:eastAsia="zh-CN"/>
        </w:rPr>
        <w:t>2.5.2安全设施</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_Toc956 \h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1A682EBA">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_Toc17762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w:t>
      </w:r>
      <w:r>
        <w:rPr>
          <w:rFonts w:hint="eastAsia" w:ascii="宋体" w:hAnsi="宋体" w:eastAsia="宋体" w:cs="宋体"/>
          <w:sz w:val="28"/>
          <w:szCs w:val="28"/>
          <w:highlight w:val="none"/>
          <w:lang w:val="en-US" w:eastAsia="zh-CN"/>
        </w:rPr>
        <w:t>6</w:t>
      </w:r>
      <w:r>
        <w:rPr>
          <w:rFonts w:hint="eastAsia" w:ascii="宋体" w:hAnsi="宋体" w:eastAsia="宋体" w:cs="宋体"/>
          <w:sz w:val="28"/>
          <w:szCs w:val="28"/>
          <w:highlight w:val="none"/>
        </w:rPr>
        <w:t xml:space="preserve"> 公司管理情况</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_Toc17762 \h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6C52CDCE">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_Toc1443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w:t>
      </w:r>
      <w:r>
        <w:rPr>
          <w:rFonts w:hint="eastAsia" w:ascii="宋体" w:hAnsi="宋体" w:eastAsia="宋体" w:cs="宋体"/>
          <w:sz w:val="28"/>
          <w:szCs w:val="28"/>
          <w:highlight w:val="none"/>
          <w:lang w:val="en-US" w:eastAsia="zh-CN"/>
        </w:rPr>
        <w:t>6</w:t>
      </w:r>
      <w:r>
        <w:rPr>
          <w:rFonts w:hint="eastAsia" w:ascii="宋体" w:hAnsi="宋体" w:eastAsia="宋体" w:cs="宋体"/>
          <w:sz w:val="28"/>
          <w:szCs w:val="28"/>
          <w:highlight w:val="none"/>
        </w:rPr>
        <w:t>.1 工作制度与劳动定员</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_Toc1443 \h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42B14A4F">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_Toc32114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w:t>
      </w:r>
      <w:r>
        <w:rPr>
          <w:rFonts w:hint="eastAsia" w:ascii="宋体" w:hAnsi="宋体" w:eastAsia="宋体" w:cs="宋体"/>
          <w:sz w:val="28"/>
          <w:szCs w:val="28"/>
          <w:highlight w:val="none"/>
          <w:lang w:val="en-US" w:eastAsia="zh-CN"/>
        </w:rPr>
        <w:t>6</w:t>
      </w:r>
      <w:r>
        <w:rPr>
          <w:rFonts w:hint="eastAsia" w:ascii="宋体" w:hAnsi="宋体" w:eastAsia="宋体" w:cs="宋体"/>
          <w:sz w:val="28"/>
          <w:szCs w:val="28"/>
          <w:highlight w:val="none"/>
        </w:rPr>
        <w:t>.2 安全管理组织机构</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_Toc32114 \h </w:instrText>
      </w:r>
      <w:r>
        <w:rPr>
          <w:rFonts w:hint="eastAsia" w:ascii="宋体" w:hAnsi="宋体" w:eastAsia="宋体" w:cs="宋体"/>
          <w:sz w:val="28"/>
          <w:szCs w:val="28"/>
        </w:rPr>
        <w:fldChar w:fldCharType="separate"/>
      </w:r>
      <w:r>
        <w:rPr>
          <w:rFonts w:hint="eastAsia" w:ascii="宋体" w:hAnsi="宋体" w:eastAsia="宋体" w:cs="宋体"/>
          <w:sz w:val="28"/>
          <w:szCs w:val="28"/>
        </w:rPr>
        <w:t>19</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7929B033">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_Toc21436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w:t>
      </w:r>
      <w:r>
        <w:rPr>
          <w:rFonts w:hint="eastAsia" w:ascii="宋体" w:hAnsi="宋体" w:eastAsia="宋体" w:cs="宋体"/>
          <w:sz w:val="28"/>
          <w:szCs w:val="28"/>
          <w:highlight w:val="none"/>
          <w:lang w:val="en-US" w:eastAsia="zh-CN"/>
        </w:rPr>
        <w:t>6</w:t>
      </w:r>
      <w:r>
        <w:rPr>
          <w:rFonts w:hint="eastAsia" w:ascii="宋体" w:hAnsi="宋体" w:eastAsia="宋体" w:cs="宋体"/>
          <w:sz w:val="28"/>
          <w:szCs w:val="28"/>
          <w:highlight w:val="none"/>
        </w:rPr>
        <w:t>.3 从业人员资质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_Toc21436 \h </w:instrText>
      </w:r>
      <w:r>
        <w:rPr>
          <w:rFonts w:hint="eastAsia" w:ascii="宋体" w:hAnsi="宋体" w:eastAsia="宋体" w:cs="宋体"/>
          <w:sz w:val="28"/>
          <w:szCs w:val="28"/>
        </w:rPr>
        <w:fldChar w:fldCharType="separate"/>
      </w:r>
      <w:r>
        <w:rPr>
          <w:rFonts w:hint="eastAsia" w:ascii="宋体" w:hAnsi="宋体" w:eastAsia="宋体" w:cs="宋体"/>
          <w:sz w:val="28"/>
          <w:szCs w:val="28"/>
        </w:rPr>
        <w:t>19</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26AEE0C3">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_Toc8553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w:t>
      </w:r>
      <w:r>
        <w:rPr>
          <w:rFonts w:hint="eastAsia" w:ascii="宋体" w:hAnsi="宋体" w:eastAsia="宋体" w:cs="宋体"/>
          <w:sz w:val="28"/>
          <w:szCs w:val="28"/>
          <w:highlight w:val="none"/>
          <w:lang w:val="en-US" w:eastAsia="zh-CN"/>
        </w:rPr>
        <w:t>6</w:t>
      </w:r>
      <w:r>
        <w:rPr>
          <w:rFonts w:hint="eastAsia" w:ascii="宋体" w:hAnsi="宋体" w:eastAsia="宋体" w:cs="宋体"/>
          <w:sz w:val="28"/>
          <w:szCs w:val="28"/>
          <w:highlight w:val="none"/>
        </w:rPr>
        <w:t>.4 安全管理制度与安全操作规程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_Toc8553 \h </w:instrText>
      </w:r>
      <w:r>
        <w:rPr>
          <w:rFonts w:hint="eastAsia" w:ascii="宋体" w:hAnsi="宋体" w:eastAsia="宋体" w:cs="宋体"/>
          <w:sz w:val="28"/>
          <w:szCs w:val="28"/>
        </w:rPr>
        <w:fldChar w:fldCharType="separate"/>
      </w:r>
      <w:r>
        <w:rPr>
          <w:rFonts w:hint="eastAsia" w:ascii="宋体" w:hAnsi="宋体" w:eastAsia="宋体" w:cs="宋体"/>
          <w:sz w:val="28"/>
          <w:szCs w:val="28"/>
        </w:rPr>
        <w:t>20</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57526A27">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_Toc27055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w:t>
      </w:r>
      <w:r>
        <w:rPr>
          <w:rFonts w:hint="eastAsia" w:ascii="宋体" w:hAnsi="宋体" w:eastAsia="宋体" w:cs="宋体"/>
          <w:sz w:val="28"/>
          <w:szCs w:val="28"/>
          <w:highlight w:val="none"/>
          <w:lang w:val="en-US" w:eastAsia="zh-CN"/>
        </w:rPr>
        <w:t>6</w:t>
      </w:r>
      <w:r>
        <w:rPr>
          <w:rFonts w:hint="eastAsia" w:ascii="宋体" w:hAnsi="宋体" w:eastAsia="宋体" w:cs="宋体"/>
          <w:sz w:val="28"/>
          <w:szCs w:val="28"/>
          <w:highlight w:val="none"/>
        </w:rPr>
        <w:t>.5 应急管理</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_Toc27055 \h </w:instrText>
      </w:r>
      <w:r>
        <w:rPr>
          <w:rFonts w:hint="eastAsia" w:ascii="宋体" w:hAnsi="宋体" w:eastAsia="宋体" w:cs="宋体"/>
          <w:sz w:val="28"/>
          <w:szCs w:val="28"/>
        </w:rPr>
        <w:fldChar w:fldCharType="separate"/>
      </w:r>
      <w:r>
        <w:rPr>
          <w:rFonts w:hint="eastAsia" w:ascii="宋体" w:hAnsi="宋体" w:eastAsia="宋体" w:cs="宋体"/>
          <w:sz w:val="28"/>
          <w:szCs w:val="28"/>
        </w:rPr>
        <w:t>21</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7D5912B7">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_Toc21547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w:t>
      </w:r>
      <w:r>
        <w:rPr>
          <w:rFonts w:hint="eastAsia" w:ascii="宋体" w:hAnsi="宋体" w:eastAsia="宋体" w:cs="宋体"/>
          <w:sz w:val="28"/>
          <w:szCs w:val="28"/>
          <w:highlight w:val="none"/>
          <w:lang w:val="en-US" w:eastAsia="zh-CN"/>
        </w:rPr>
        <w:t>7</w:t>
      </w:r>
      <w:r>
        <w:rPr>
          <w:rFonts w:hint="eastAsia" w:ascii="宋体" w:hAnsi="宋体" w:eastAsia="宋体" w:cs="宋体"/>
          <w:sz w:val="28"/>
          <w:szCs w:val="28"/>
          <w:highlight w:val="none"/>
        </w:rPr>
        <w:t xml:space="preserve"> 公用工程及辅助设施</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_Toc21547 \h </w:instrText>
      </w:r>
      <w:r>
        <w:rPr>
          <w:rFonts w:hint="eastAsia" w:ascii="宋体" w:hAnsi="宋体" w:eastAsia="宋体" w:cs="宋体"/>
          <w:sz w:val="28"/>
          <w:szCs w:val="28"/>
        </w:rPr>
        <w:fldChar w:fldCharType="separate"/>
      </w:r>
      <w:r>
        <w:rPr>
          <w:rFonts w:hint="eastAsia" w:ascii="宋体" w:hAnsi="宋体" w:eastAsia="宋体" w:cs="宋体"/>
          <w:sz w:val="28"/>
          <w:szCs w:val="28"/>
        </w:rPr>
        <w:t>24</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13E1CF86">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_Toc1347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w:t>
      </w:r>
      <w:r>
        <w:rPr>
          <w:rFonts w:hint="eastAsia" w:ascii="宋体" w:hAnsi="宋体" w:eastAsia="宋体" w:cs="宋体"/>
          <w:sz w:val="28"/>
          <w:szCs w:val="28"/>
          <w:highlight w:val="none"/>
          <w:lang w:val="en-US" w:eastAsia="zh-CN"/>
        </w:rPr>
        <w:t>7</w:t>
      </w:r>
      <w:r>
        <w:rPr>
          <w:rFonts w:hint="eastAsia" w:ascii="宋体" w:hAnsi="宋体" w:eastAsia="宋体" w:cs="宋体"/>
          <w:sz w:val="28"/>
          <w:szCs w:val="28"/>
          <w:highlight w:val="none"/>
        </w:rPr>
        <w:t>.1 给排水</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_Toc1347 \h </w:instrText>
      </w:r>
      <w:r>
        <w:rPr>
          <w:rFonts w:hint="eastAsia" w:ascii="宋体" w:hAnsi="宋体" w:eastAsia="宋体" w:cs="宋体"/>
          <w:sz w:val="28"/>
          <w:szCs w:val="28"/>
        </w:rPr>
        <w:fldChar w:fldCharType="separate"/>
      </w:r>
      <w:r>
        <w:rPr>
          <w:rFonts w:hint="eastAsia" w:ascii="宋体" w:hAnsi="宋体" w:eastAsia="宋体" w:cs="宋体"/>
          <w:sz w:val="28"/>
          <w:szCs w:val="28"/>
        </w:rPr>
        <w:t>24</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10BAE33A">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_Toc12549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w:t>
      </w:r>
      <w:r>
        <w:rPr>
          <w:rFonts w:hint="eastAsia" w:ascii="宋体" w:hAnsi="宋体" w:eastAsia="宋体" w:cs="宋体"/>
          <w:sz w:val="28"/>
          <w:szCs w:val="28"/>
          <w:highlight w:val="none"/>
          <w:lang w:val="en-US" w:eastAsia="zh-CN"/>
        </w:rPr>
        <w:t>7</w:t>
      </w:r>
      <w:r>
        <w:rPr>
          <w:rFonts w:hint="eastAsia" w:ascii="宋体" w:hAnsi="宋体" w:eastAsia="宋体" w:cs="宋体"/>
          <w:sz w:val="28"/>
          <w:szCs w:val="28"/>
          <w:highlight w:val="none"/>
        </w:rPr>
        <w:t>.2 供电</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_Toc12549 \h </w:instrText>
      </w:r>
      <w:r>
        <w:rPr>
          <w:rFonts w:hint="eastAsia" w:ascii="宋体" w:hAnsi="宋体" w:eastAsia="宋体" w:cs="宋体"/>
          <w:sz w:val="28"/>
          <w:szCs w:val="28"/>
        </w:rPr>
        <w:fldChar w:fldCharType="separate"/>
      </w:r>
      <w:r>
        <w:rPr>
          <w:rFonts w:hint="eastAsia" w:ascii="宋体" w:hAnsi="宋体" w:eastAsia="宋体" w:cs="宋体"/>
          <w:sz w:val="28"/>
          <w:szCs w:val="28"/>
        </w:rPr>
        <w:t>24</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5BF32689">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_Toc32400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val="0"/>
          <w:sz w:val="28"/>
          <w:szCs w:val="28"/>
          <w:highlight w:val="none"/>
          <w:lang w:val="en-GB"/>
        </w:rPr>
        <w:t>2.</w:t>
      </w:r>
      <w:r>
        <w:rPr>
          <w:rFonts w:hint="eastAsia" w:ascii="宋体" w:hAnsi="宋体" w:eastAsia="宋体" w:cs="宋体"/>
          <w:bCs w:val="0"/>
          <w:sz w:val="28"/>
          <w:szCs w:val="28"/>
          <w:highlight w:val="none"/>
          <w:lang w:val="en-US" w:eastAsia="zh-CN"/>
        </w:rPr>
        <w:t>7</w:t>
      </w:r>
      <w:r>
        <w:rPr>
          <w:rFonts w:hint="eastAsia" w:ascii="宋体" w:hAnsi="宋体" w:eastAsia="宋体" w:cs="宋体"/>
          <w:bCs w:val="0"/>
          <w:sz w:val="28"/>
          <w:szCs w:val="28"/>
          <w:highlight w:val="none"/>
          <w:lang w:val="en-GB"/>
        </w:rPr>
        <w:t>.</w:t>
      </w:r>
      <w:r>
        <w:rPr>
          <w:rFonts w:hint="eastAsia" w:ascii="宋体" w:hAnsi="宋体" w:eastAsia="宋体" w:cs="宋体"/>
          <w:bCs w:val="0"/>
          <w:sz w:val="28"/>
          <w:szCs w:val="28"/>
          <w:highlight w:val="none"/>
          <w:lang w:val="en-US" w:eastAsia="zh-CN"/>
        </w:rPr>
        <w:t xml:space="preserve">4 </w:t>
      </w:r>
      <w:r>
        <w:rPr>
          <w:rFonts w:hint="eastAsia" w:ascii="宋体" w:hAnsi="宋体" w:eastAsia="宋体" w:cs="宋体"/>
          <w:bCs w:val="0"/>
          <w:sz w:val="28"/>
          <w:szCs w:val="28"/>
          <w:highlight w:val="none"/>
          <w:lang w:val="en-GB"/>
        </w:rPr>
        <w:t>消防</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_Toc32400 \h </w:instrText>
      </w:r>
      <w:r>
        <w:rPr>
          <w:rFonts w:hint="eastAsia" w:ascii="宋体" w:hAnsi="宋体" w:eastAsia="宋体" w:cs="宋体"/>
          <w:sz w:val="28"/>
          <w:szCs w:val="28"/>
        </w:rPr>
        <w:fldChar w:fldCharType="separate"/>
      </w:r>
      <w:r>
        <w:rPr>
          <w:rFonts w:hint="eastAsia" w:ascii="宋体" w:hAnsi="宋体" w:eastAsia="宋体" w:cs="宋体"/>
          <w:sz w:val="28"/>
          <w:szCs w:val="28"/>
        </w:rPr>
        <w:t>24</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6530A794">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_Toc14766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2.</w:t>
      </w:r>
      <w:r>
        <w:rPr>
          <w:rFonts w:hint="eastAsia" w:ascii="宋体" w:hAnsi="宋体" w:eastAsia="宋体" w:cs="宋体"/>
          <w:sz w:val="28"/>
          <w:szCs w:val="28"/>
          <w:highlight w:val="none"/>
          <w:lang w:val="en-US" w:eastAsia="zh-CN"/>
        </w:rPr>
        <w:t>8</w:t>
      </w:r>
      <w:r>
        <w:rPr>
          <w:rFonts w:hint="eastAsia" w:ascii="宋体" w:hAnsi="宋体" w:eastAsia="宋体" w:cs="宋体"/>
          <w:sz w:val="28"/>
          <w:szCs w:val="28"/>
          <w:highlight w:val="none"/>
        </w:rPr>
        <w:t>个体防护</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_Toc14766 \h </w:instrText>
      </w:r>
      <w:r>
        <w:rPr>
          <w:rFonts w:hint="eastAsia" w:ascii="宋体" w:hAnsi="宋体" w:eastAsia="宋体" w:cs="宋体"/>
          <w:sz w:val="28"/>
          <w:szCs w:val="28"/>
        </w:rPr>
        <w:fldChar w:fldCharType="separate"/>
      </w:r>
      <w:r>
        <w:rPr>
          <w:rFonts w:hint="eastAsia" w:ascii="宋体" w:hAnsi="宋体" w:eastAsia="宋体" w:cs="宋体"/>
          <w:sz w:val="28"/>
          <w:szCs w:val="28"/>
        </w:rPr>
        <w:t>26</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4ED6754E">
      <w:pPr>
        <w:pStyle w:val="42"/>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_Toc6785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kern w:val="0"/>
          <w:sz w:val="28"/>
          <w:szCs w:val="28"/>
          <w:highlight w:val="none"/>
        </w:rPr>
        <w:t>3  危险、有害因素的辨识及依据说明</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_Toc6785 \h </w:instrText>
      </w:r>
      <w:r>
        <w:rPr>
          <w:rFonts w:hint="eastAsia" w:ascii="宋体" w:hAnsi="宋体" w:eastAsia="宋体" w:cs="宋体"/>
          <w:sz w:val="28"/>
          <w:szCs w:val="28"/>
        </w:rPr>
        <w:fldChar w:fldCharType="separate"/>
      </w:r>
      <w:r>
        <w:rPr>
          <w:rFonts w:hint="eastAsia" w:ascii="宋体" w:hAnsi="宋体" w:eastAsia="宋体" w:cs="宋体"/>
          <w:sz w:val="28"/>
          <w:szCs w:val="28"/>
        </w:rPr>
        <w:t>28</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0CCFB49F">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_Toc2351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3.1危险、有害因素辨识的依据说明（辨识过程说明）</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_Toc2351 \h </w:instrText>
      </w:r>
      <w:r>
        <w:rPr>
          <w:rFonts w:hint="eastAsia" w:ascii="宋体" w:hAnsi="宋体" w:eastAsia="宋体" w:cs="宋体"/>
          <w:sz w:val="28"/>
          <w:szCs w:val="28"/>
        </w:rPr>
        <w:fldChar w:fldCharType="separate"/>
      </w:r>
      <w:r>
        <w:rPr>
          <w:rFonts w:hint="eastAsia" w:ascii="宋体" w:hAnsi="宋体" w:eastAsia="宋体" w:cs="宋体"/>
          <w:sz w:val="28"/>
          <w:szCs w:val="28"/>
        </w:rPr>
        <w:t>28</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51345F02">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_Toc29350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3.1.1 危险、有害因素定义</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_Toc29350 \h </w:instrText>
      </w:r>
      <w:r>
        <w:rPr>
          <w:rFonts w:hint="eastAsia" w:ascii="宋体" w:hAnsi="宋体" w:eastAsia="宋体" w:cs="宋体"/>
          <w:sz w:val="28"/>
          <w:szCs w:val="28"/>
        </w:rPr>
        <w:fldChar w:fldCharType="separate"/>
      </w:r>
      <w:r>
        <w:rPr>
          <w:rFonts w:hint="eastAsia" w:ascii="宋体" w:hAnsi="宋体" w:eastAsia="宋体" w:cs="宋体"/>
          <w:sz w:val="28"/>
          <w:szCs w:val="28"/>
        </w:rPr>
        <w:t>28</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1F5EEE59">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_Toc6897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3.1.2 危险、有害因素辨识依据说明</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_Toc6897 \h </w:instrText>
      </w:r>
      <w:r>
        <w:rPr>
          <w:rFonts w:hint="eastAsia" w:ascii="宋体" w:hAnsi="宋体" w:eastAsia="宋体" w:cs="宋体"/>
          <w:sz w:val="28"/>
          <w:szCs w:val="28"/>
        </w:rPr>
        <w:fldChar w:fldCharType="separate"/>
      </w:r>
      <w:r>
        <w:rPr>
          <w:rFonts w:hint="eastAsia" w:ascii="宋体" w:hAnsi="宋体" w:eastAsia="宋体" w:cs="宋体"/>
          <w:sz w:val="28"/>
          <w:szCs w:val="28"/>
        </w:rPr>
        <w:t>28</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59473FEA">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_Toc9323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3.2危险、有害因素辨识</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_Toc9323 \h </w:instrText>
      </w:r>
      <w:r>
        <w:rPr>
          <w:rFonts w:hint="eastAsia" w:ascii="宋体" w:hAnsi="宋体" w:eastAsia="宋体" w:cs="宋体"/>
          <w:sz w:val="28"/>
          <w:szCs w:val="28"/>
        </w:rPr>
        <w:fldChar w:fldCharType="separate"/>
      </w:r>
      <w:r>
        <w:rPr>
          <w:rFonts w:hint="eastAsia" w:ascii="宋体" w:hAnsi="宋体" w:eastAsia="宋体" w:cs="宋体"/>
          <w:sz w:val="28"/>
          <w:szCs w:val="28"/>
        </w:rPr>
        <w:t>28</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7C0650B6">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_Toc12185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kern w:val="0"/>
          <w:sz w:val="28"/>
          <w:szCs w:val="28"/>
          <w:highlight w:val="none"/>
          <w:lang w:val="en-GB"/>
        </w:rPr>
        <w:t>3.</w:t>
      </w:r>
      <w:r>
        <w:rPr>
          <w:rFonts w:hint="eastAsia" w:ascii="宋体" w:hAnsi="宋体" w:eastAsia="宋体" w:cs="宋体"/>
          <w:bCs/>
          <w:kern w:val="0"/>
          <w:sz w:val="28"/>
          <w:szCs w:val="28"/>
          <w:highlight w:val="none"/>
          <w:lang w:val="en-GB" w:eastAsia="zh-CN"/>
        </w:rPr>
        <w:t>2.1</w:t>
      </w:r>
      <w:r>
        <w:rPr>
          <w:rFonts w:hint="eastAsia" w:ascii="宋体" w:hAnsi="宋体" w:eastAsia="宋体" w:cs="宋体"/>
          <w:bCs/>
          <w:kern w:val="0"/>
          <w:sz w:val="28"/>
          <w:szCs w:val="28"/>
          <w:highlight w:val="none"/>
          <w:lang w:val="en-GB"/>
        </w:rPr>
        <w:t xml:space="preserve"> </w:t>
      </w:r>
      <w:r>
        <w:rPr>
          <w:rFonts w:hint="eastAsia" w:ascii="宋体" w:hAnsi="宋体" w:eastAsia="宋体" w:cs="宋体"/>
          <w:bCs/>
          <w:kern w:val="0"/>
          <w:sz w:val="28"/>
          <w:szCs w:val="28"/>
          <w:highlight w:val="none"/>
          <w:lang w:val="en-GB" w:eastAsia="zh-CN"/>
        </w:rPr>
        <w:t>危险化学品</w:t>
      </w:r>
      <w:r>
        <w:rPr>
          <w:rFonts w:hint="eastAsia" w:ascii="宋体" w:hAnsi="宋体" w:eastAsia="宋体" w:cs="宋体"/>
          <w:bCs/>
          <w:kern w:val="0"/>
          <w:sz w:val="28"/>
          <w:szCs w:val="28"/>
          <w:highlight w:val="none"/>
          <w:lang w:val="en-GB"/>
        </w:rPr>
        <w:t>固有的危险、有害因素分析</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_Toc12185 \h </w:instrText>
      </w:r>
      <w:r>
        <w:rPr>
          <w:rFonts w:hint="eastAsia" w:ascii="宋体" w:hAnsi="宋体" w:eastAsia="宋体" w:cs="宋体"/>
          <w:sz w:val="28"/>
          <w:szCs w:val="28"/>
        </w:rPr>
        <w:fldChar w:fldCharType="separate"/>
      </w:r>
      <w:r>
        <w:rPr>
          <w:rFonts w:hint="eastAsia" w:ascii="宋体" w:hAnsi="宋体" w:eastAsia="宋体" w:cs="宋体"/>
          <w:sz w:val="28"/>
          <w:szCs w:val="28"/>
        </w:rPr>
        <w:t>28</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44C7BD57">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_Toc19245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kern w:val="0"/>
          <w:sz w:val="28"/>
          <w:szCs w:val="28"/>
          <w:highlight w:val="none"/>
          <w:lang w:val="en-GB"/>
        </w:rPr>
        <w:t>3.</w:t>
      </w:r>
      <w:r>
        <w:rPr>
          <w:rFonts w:hint="eastAsia" w:ascii="宋体" w:hAnsi="宋体" w:eastAsia="宋体" w:cs="宋体"/>
          <w:bCs/>
          <w:kern w:val="0"/>
          <w:sz w:val="28"/>
          <w:szCs w:val="28"/>
          <w:highlight w:val="none"/>
          <w:lang w:val="en-US" w:eastAsia="zh-CN"/>
        </w:rPr>
        <w:t xml:space="preserve">2.2 </w:t>
      </w:r>
      <w:r>
        <w:rPr>
          <w:rFonts w:hint="eastAsia" w:ascii="宋体" w:hAnsi="宋体" w:eastAsia="宋体" w:cs="宋体"/>
          <w:bCs/>
          <w:kern w:val="0"/>
          <w:sz w:val="28"/>
          <w:szCs w:val="28"/>
          <w:highlight w:val="none"/>
          <w:lang w:val="en-GB" w:eastAsia="zh-CN"/>
        </w:rPr>
        <w:t>危险化学品</w:t>
      </w:r>
      <w:r>
        <w:rPr>
          <w:rFonts w:hint="eastAsia" w:ascii="宋体" w:hAnsi="宋体" w:eastAsia="宋体" w:cs="宋体"/>
          <w:bCs/>
          <w:kern w:val="0"/>
          <w:sz w:val="28"/>
          <w:szCs w:val="28"/>
          <w:highlight w:val="none"/>
          <w:lang w:val="en-GB"/>
        </w:rPr>
        <w:t>装卸过程危险、有害因素分析</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_Toc19245 \h </w:instrText>
      </w:r>
      <w:r>
        <w:rPr>
          <w:rFonts w:hint="eastAsia" w:ascii="宋体" w:hAnsi="宋体" w:eastAsia="宋体" w:cs="宋体"/>
          <w:sz w:val="28"/>
          <w:szCs w:val="28"/>
        </w:rPr>
        <w:fldChar w:fldCharType="separate"/>
      </w:r>
      <w:r>
        <w:rPr>
          <w:rFonts w:hint="eastAsia" w:ascii="宋体" w:hAnsi="宋体" w:eastAsia="宋体" w:cs="宋体"/>
          <w:sz w:val="28"/>
          <w:szCs w:val="28"/>
        </w:rPr>
        <w:t>32</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2FE90D7E">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_Toc25935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kern w:val="0"/>
          <w:sz w:val="28"/>
          <w:szCs w:val="28"/>
          <w:highlight w:val="none"/>
          <w:lang w:val="en-GB"/>
        </w:rPr>
        <w:t>3.</w:t>
      </w:r>
      <w:r>
        <w:rPr>
          <w:rFonts w:hint="eastAsia" w:ascii="宋体" w:hAnsi="宋体" w:eastAsia="宋体" w:cs="宋体"/>
          <w:bCs/>
          <w:kern w:val="0"/>
          <w:sz w:val="28"/>
          <w:szCs w:val="28"/>
          <w:highlight w:val="none"/>
          <w:lang w:val="en-US" w:eastAsia="zh-CN"/>
        </w:rPr>
        <w:t>2.3</w:t>
      </w:r>
      <w:r>
        <w:rPr>
          <w:rFonts w:hint="eastAsia" w:ascii="宋体" w:hAnsi="宋体" w:eastAsia="宋体" w:cs="宋体"/>
          <w:bCs/>
          <w:kern w:val="0"/>
          <w:sz w:val="28"/>
          <w:szCs w:val="28"/>
          <w:highlight w:val="none"/>
          <w:lang w:val="en-GB" w:eastAsia="zh-CN"/>
        </w:rPr>
        <w:t>危险化学品储存</w:t>
      </w:r>
      <w:r>
        <w:rPr>
          <w:rFonts w:hint="eastAsia" w:ascii="宋体" w:hAnsi="宋体" w:eastAsia="宋体" w:cs="宋体"/>
          <w:bCs/>
          <w:kern w:val="0"/>
          <w:sz w:val="28"/>
          <w:szCs w:val="28"/>
          <w:highlight w:val="none"/>
          <w:lang w:val="en-GB"/>
        </w:rPr>
        <w:t>过程的主要危险、有害因素辨识</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_Toc25935 \h </w:instrText>
      </w:r>
      <w:r>
        <w:rPr>
          <w:rFonts w:hint="eastAsia" w:ascii="宋体" w:hAnsi="宋体" w:eastAsia="宋体" w:cs="宋体"/>
          <w:sz w:val="28"/>
          <w:szCs w:val="28"/>
        </w:rPr>
        <w:fldChar w:fldCharType="separate"/>
      </w:r>
      <w:r>
        <w:rPr>
          <w:rFonts w:hint="eastAsia" w:ascii="宋体" w:hAnsi="宋体" w:eastAsia="宋体" w:cs="宋体"/>
          <w:sz w:val="28"/>
          <w:szCs w:val="28"/>
        </w:rPr>
        <w:t>32</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2667CBD0">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_Toc9150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kern w:val="0"/>
          <w:sz w:val="28"/>
          <w:szCs w:val="28"/>
          <w:highlight w:val="none"/>
          <w:lang w:val="en-US" w:eastAsia="zh-CN"/>
        </w:rPr>
        <w:t>3.2.4</w:t>
      </w:r>
      <w:r>
        <w:rPr>
          <w:rFonts w:hint="eastAsia" w:ascii="宋体" w:hAnsi="宋体" w:eastAsia="宋体" w:cs="宋体"/>
          <w:bCs/>
          <w:kern w:val="0"/>
          <w:sz w:val="28"/>
          <w:szCs w:val="28"/>
          <w:highlight w:val="none"/>
          <w:lang w:val="en-GB"/>
        </w:rPr>
        <w:t>危险化学品搬运过程危险、有害因素分析</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_Toc9150 \h </w:instrText>
      </w:r>
      <w:r>
        <w:rPr>
          <w:rFonts w:hint="eastAsia" w:ascii="宋体" w:hAnsi="宋体" w:eastAsia="宋体" w:cs="宋体"/>
          <w:sz w:val="28"/>
          <w:szCs w:val="28"/>
        </w:rPr>
        <w:fldChar w:fldCharType="separate"/>
      </w:r>
      <w:r>
        <w:rPr>
          <w:rFonts w:hint="eastAsia" w:ascii="宋体" w:hAnsi="宋体" w:eastAsia="宋体" w:cs="宋体"/>
          <w:sz w:val="28"/>
          <w:szCs w:val="28"/>
        </w:rPr>
        <w:t>34</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3EC9A32F">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_Toc1950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kern w:val="0"/>
          <w:sz w:val="28"/>
          <w:szCs w:val="28"/>
          <w:highlight w:val="none"/>
          <w:lang w:val="en-US" w:eastAsia="zh-CN"/>
        </w:rPr>
        <w:t>3.2.5</w:t>
      </w:r>
      <w:r>
        <w:rPr>
          <w:rFonts w:hint="eastAsia" w:ascii="宋体" w:hAnsi="宋体" w:eastAsia="宋体" w:cs="宋体"/>
          <w:bCs/>
          <w:kern w:val="0"/>
          <w:sz w:val="28"/>
          <w:szCs w:val="28"/>
          <w:highlight w:val="none"/>
          <w:lang w:val="en-GB" w:eastAsia="zh-CN"/>
        </w:rPr>
        <w:t>危险化学品</w:t>
      </w:r>
      <w:r>
        <w:rPr>
          <w:rFonts w:hint="eastAsia" w:ascii="宋体" w:hAnsi="宋体" w:eastAsia="宋体" w:cs="宋体"/>
          <w:bCs/>
          <w:kern w:val="0"/>
          <w:sz w:val="28"/>
          <w:szCs w:val="28"/>
          <w:highlight w:val="none"/>
          <w:lang w:val="en-US" w:eastAsia="zh-CN"/>
        </w:rPr>
        <w:t>使用过程的危险、有害因素辨识</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_Toc1950 \h </w:instrText>
      </w:r>
      <w:r>
        <w:rPr>
          <w:rFonts w:hint="eastAsia" w:ascii="宋体" w:hAnsi="宋体" w:eastAsia="宋体" w:cs="宋体"/>
          <w:sz w:val="28"/>
          <w:szCs w:val="28"/>
        </w:rPr>
        <w:fldChar w:fldCharType="separate"/>
      </w:r>
      <w:r>
        <w:rPr>
          <w:rFonts w:hint="eastAsia" w:ascii="宋体" w:hAnsi="宋体" w:eastAsia="宋体" w:cs="宋体"/>
          <w:sz w:val="28"/>
          <w:szCs w:val="28"/>
        </w:rPr>
        <w:t>35</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5B651D0F">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_Toc28001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kern w:val="0"/>
          <w:sz w:val="28"/>
          <w:szCs w:val="28"/>
          <w:highlight w:val="none"/>
          <w:lang w:val="en-GB"/>
        </w:rPr>
        <w:t>3.</w:t>
      </w:r>
      <w:r>
        <w:rPr>
          <w:rFonts w:hint="eastAsia" w:ascii="宋体" w:hAnsi="宋体" w:eastAsia="宋体" w:cs="宋体"/>
          <w:bCs/>
          <w:kern w:val="0"/>
          <w:sz w:val="28"/>
          <w:szCs w:val="28"/>
          <w:highlight w:val="none"/>
          <w:lang w:val="en-US" w:eastAsia="zh-CN"/>
        </w:rPr>
        <w:t>2.6</w:t>
      </w:r>
      <w:r>
        <w:rPr>
          <w:rFonts w:hint="eastAsia" w:ascii="宋体" w:hAnsi="宋体" w:eastAsia="宋体" w:cs="宋体"/>
          <w:bCs/>
          <w:kern w:val="0"/>
          <w:sz w:val="28"/>
          <w:szCs w:val="28"/>
          <w:highlight w:val="none"/>
          <w:lang w:val="en-GB"/>
        </w:rPr>
        <w:t xml:space="preserve"> 建</w:t>
      </w:r>
      <w:r>
        <w:rPr>
          <w:rFonts w:hint="eastAsia" w:ascii="宋体" w:hAnsi="宋体" w:eastAsia="宋体" w:cs="宋体"/>
          <w:bCs/>
          <w:kern w:val="0"/>
          <w:sz w:val="28"/>
          <w:szCs w:val="28"/>
          <w:highlight w:val="none"/>
          <w:lang w:val="en-GB" w:eastAsia="zh-CN"/>
        </w:rPr>
        <w:t>（</w:t>
      </w:r>
      <w:r>
        <w:rPr>
          <w:rFonts w:hint="eastAsia" w:ascii="宋体" w:hAnsi="宋体" w:eastAsia="宋体" w:cs="宋体"/>
          <w:bCs/>
          <w:kern w:val="0"/>
          <w:sz w:val="28"/>
          <w:szCs w:val="28"/>
          <w:highlight w:val="none"/>
          <w:lang w:val="en-GB"/>
        </w:rPr>
        <w:t>构</w:t>
      </w:r>
      <w:r>
        <w:rPr>
          <w:rFonts w:hint="eastAsia" w:ascii="宋体" w:hAnsi="宋体" w:eastAsia="宋体" w:cs="宋体"/>
          <w:bCs/>
          <w:kern w:val="0"/>
          <w:sz w:val="28"/>
          <w:szCs w:val="28"/>
          <w:highlight w:val="none"/>
          <w:lang w:val="en-GB" w:eastAsia="zh-CN"/>
        </w:rPr>
        <w:t>）</w:t>
      </w:r>
      <w:r>
        <w:rPr>
          <w:rFonts w:hint="eastAsia" w:ascii="宋体" w:hAnsi="宋体" w:eastAsia="宋体" w:cs="宋体"/>
          <w:bCs/>
          <w:kern w:val="0"/>
          <w:sz w:val="28"/>
          <w:szCs w:val="28"/>
          <w:highlight w:val="none"/>
          <w:lang w:val="en-GB"/>
        </w:rPr>
        <w:t>筑物危险、有害因素分析</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_Toc28001 \h </w:instrText>
      </w:r>
      <w:r>
        <w:rPr>
          <w:rFonts w:hint="eastAsia" w:ascii="宋体" w:hAnsi="宋体" w:eastAsia="宋体" w:cs="宋体"/>
          <w:sz w:val="28"/>
          <w:szCs w:val="28"/>
        </w:rPr>
        <w:fldChar w:fldCharType="separate"/>
      </w:r>
      <w:r>
        <w:rPr>
          <w:rFonts w:hint="eastAsia" w:ascii="宋体" w:hAnsi="宋体" w:eastAsia="宋体" w:cs="宋体"/>
          <w:sz w:val="28"/>
          <w:szCs w:val="28"/>
        </w:rPr>
        <w:t>35</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3741FE78">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_Toc31519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kern w:val="0"/>
          <w:sz w:val="28"/>
          <w:szCs w:val="28"/>
          <w:highlight w:val="none"/>
          <w:lang w:val="en-GB"/>
        </w:rPr>
        <w:t>3.</w:t>
      </w:r>
      <w:r>
        <w:rPr>
          <w:rFonts w:hint="eastAsia" w:ascii="宋体" w:hAnsi="宋体" w:eastAsia="宋体" w:cs="宋体"/>
          <w:bCs/>
          <w:kern w:val="0"/>
          <w:sz w:val="28"/>
          <w:szCs w:val="28"/>
          <w:highlight w:val="none"/>
          <w:lang w:val="en-US" w:eastAsia="zh-CN"/>
        </w:rPr>
        <w:t>2.7</w:t>
      </w:r>
      <w:r>
        <w:rPr>
          <w:rFonts w:hint="eastAsia" w:ascii="宋体" w:hAnsi="宋体" w:eastAsia="宋体" w:cs="宋体"/>
          <w:bCs/>
          <w:kern w:val="0"/>
          <w:sz w:val="28"/>
          <w:szCs w:val="28"/>
          <w:highlight w:val="none"/>
          <w:lang w:val="en-GB"/>
        </w:rPr>
        <w:t>设备设施的危险、有害因素</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_Toc31519 \h </w:instrText>
      </w:r>
      <w:r>
        <w:rPr>
          <w:rFonts w:hint="eastAsia" w:ascii="宋体" w:hAnsi="宋体" w:eastAsia="宋体" w:cs="宋体"/>
          <w:sz w:val="28"/>
          <w:szCs w:val="28"/>
        </w:rPr>
        <w:fldChar w:fldCharType="separate"/>
      </w:r>
      <w:r>
        <w:rPr>
          <w:rFonts w:hint="eastAsia" w:ascii="宋体" w:hAnsi="宋体" w:eastAsia="宋体" w:cs="宋体"/>
          <w:sz w:val="28"/>
          <w:szCs w:val="28"/>
        </w:rPr>
        <w:t>36</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2CA19C1B">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_Toc31553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kern w:val="0"/>
          <w:sz w:val="28"/>
          <w:szCs w:val="28"/>
          <w:highlight w:val="none"/>
          <w:lang w:val="en-GB"/>
        </w:rPr>
        <w:t>3.</w:t>
      </w:r>
      <w:r>
        <w:rPr>
          <w:rFonts w:hint="eastAsia" w:ascii="宋体" w:hAnsi="宋体" w:eastAsia="宋体" w:cs="宋体"/>
          <w:bCs/>
          <w:kern w:val="0"/>
          <w:sz w:val="28"/>
          <w:szCs w:val="28"/>
          <w:highlight w:val="none"/>
          <w:lang w:val="en-US" w:eastAsia="zh-CN"/>
        </w:rPr>
        <w:t>2.8</w:t>
      </w:r>
      <w:r>
        <w:rPr>
          <w:rFonts w:hint="eastAsia" w:ascii="宋体" w:hAnsi="宋体" w:eastAsia="宋体" w:cs="宋体"/>
          <w:bCs/>
          <w:kern w:val="0"/>
          <w:sz w:val="28"/>
          <w:szCs w:val="28"/>
          <w:highlight w:val="none"/>
          <w:lang w:val="en-GB"/>
        </w:rPr>
        <w:t>检维修作业的危险、有害因素</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_Toc31553 \h </w:instrText>
      </w:r>
      <w:r>
        <w:rPr>
          <w:rFonts w:hint="eastAsia" w:ascii="宋体" w:hAnsi="宋体" w:eastAsia="宋体" w:cs="宋体"/>
          <w:sz w:val="28"/>
          <w:szCs w:val="28"/>
        </w:rPr>
        <w:fldChar w:fldCharType="separate"/>
      </w:r>
      <w:r>
        <w:rPr>
          <w:rFonts w:hint="eastAsia" w:ascii="宋体" w:hAnsi="宋体" w:eastAsia="宋体" w:cs="宋体"/>
          <w:sz w:val="28"/>
          <w:szCs w:val="28"/>
        </w:rPr>
        <w:t>37</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29783122">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_Toc2937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kern w:val="0"/>
          <w:sz w:val="28"/>
          <w:szCs w:val="28"/>
          <w:highlight w:val="none"/>
          <w:lang w:val="en-GB"/>
        </w:rPr>
        <w:t>3.</w:t>
      </w:r>
      <w:r>
        <w:rPr>
          <w:rFonts w:hint="eastAsia" w:ascii="宋体" w:hAnsi="宋体" w:eastAsia="宋体" w:cs="宋体"/>
          <w:bCs/>
          <w:kern w:val="0"/>
          <w:sz w:val="28"/>
          <w:szCs w:val="28"/>
          <w:highlight w:val="none"/>
          <w:lang w:val="en-US" w:eastAsia="zh-CN"/>
        </w:rPr>
        <w:t>2.9</w:t>
      </w:r>
      <w:r>
        <w:rPr>
          <w:rFonts w:hint="eastAsia" w:ascii="宋体" w:hAnsi="宋体" w:eastAsia="宋体" w:cs="宋体"/>
          <w:bCs/>
          <w:kern w:val="0"/>
          <w:sz w:val="28"/>
          <w:szCs w:val="28"/>
          <w:highlight w:val="none"/>
          <w:lang w:val="en-GB"/>
        </w:rPr>
        <w:t>安全生产管理的危险、有害因素</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_Toc2937 \h </w:instrText>
      </w:r>
      <w:r>
        <w:rPr>
          <w:rFonts w:hint="eastAsia" w:ascii="宋体" w:hAnsi="宋体" w:eastAsia="宋体" w:cs="宋体"/>
          <w:sz w:val="28"/>
          <w:szCs w:val="28"/>
        </w:rPr>
        <w:fldChar w:fldCharType="separate"/>
      </w:r>
      <w:r>
        <w:rPr>
          <w:rFonts w:hint="eastAsia" w:ascii="宋体" w:hAnsi="宋体" w:eastAsia="宋体" w:cs="宋体"/>
          <w:sz w:val="28"/>
          <w:szCs w:val="28"/>
        </w:rPr>
        <w:t>37</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747543CF">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_Toc17126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kern w:val="0"/>
          <w:sz w:val="28"/>
          <w:szCs w:val="28"/>
          <w:highlight w:val="none"/>
          <w:lang w:val="en-US" w:eastAsia="zh-CN"/>
        </w:rPr>
        <w:t>3.2.10其他危险、有害因素分析</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_Toc17126 \h </w:instrText>
      </w:r>
      <w:r>
        <w:rPr>
          <w:rFonts w:hint="eastAsia" w:ascii="宋体" w:hAnsi="宋体" w:eastAsia="宋体" w:cs="宋体"/>
          <w:sz w:val="28"/>
          <w:szCs w:val="28"/>
        </w:rPr>
        <w:fldChar w:fldCharType="separate"/>
      </w:r>
      <w:r>
        <w:rPr>
          <w:rFonts w:hint="eastAsia" w:ascii="宋体" w:hAnsi="宋体" w:eastAsia="宋体" w:cs="宋体"/>
          <w:sz w:val="28"/>
          <w:szCs w:val="28"/>
        </w:rPr>
        <w:t>38</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532954CC">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_Toc22155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kern w:val="0"/>
          <w:sz w:val="28"/>
          <w:szCs w:val="28"/>
          <w:highlight w:val="none"/>
          <w:lang w:val="en-US" w:eastAsia="zh-CN"/>
        </w:rPr>
        <w:t>3.2.11 职业病危害</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_Toc22155 \h </w:instrText>
      </w:r>
      <w:r>
        <w:rPr>
          <w:rFonts w:hint="eastAsia" w:ascii="宋体" w:hAnsi="宋体" w:eastAsia="宋体" w:cs="宋体"/>
          <w:sz w:val="28"/>
          <w:szCs w:val="28"/>
        </w:rPr>
        <w:fldChar w:fldCharType="separate"/>
      </w:r>
      <w:r>
        <w:rPr>
          <w:rFonts w:hint="eastAsia" w:ascii="宋体" w:hAnsi="宋体" w:eastAsia="宋体" w:cs="宋体"/>
          <w:sz w:val="28"/>
          <w:szCs w:val="28"/>
        </w:rPr>
        <w:t>38</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451698BE">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_Toc22346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kern w:val="0"/>
          <w:sz w:val="28"/>
          <w:szCs w:val="28"/>
          <w:highlight w:val="none"/>
          <w:lang w:val="en-US" w:eastAsia="zh-CN"/>
        </w:rPr>
        <w:t>3.2.12 危险化学品重大危险源辨识</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_Toc22346 \h </w:instrText>
      </w:r>
      <w:r>
        <w:rPr>
          <w:rFonts w:hint="eastAsia" w:ascii="宋体" w:hAnsi="宋体" w:eastAsia="宋体" w:cs="宋体"/>
          <w:sz w:val="28"/>
          <w:szCs w:val="28"/>
        </w:rPr>
        <w:fldChar w:fldCharType="separate"/>
      </w:r>
      <w:r>
        <w:rPr>
          <w:rFonts w:hint="eastAsia" w:ascii="宋体" w:hAnsi="宋体" w:eastAsia="宋体" w:cs="宋体"/>
          <w:sz w:val="28"/>
          <w:szCs w:val="28"/>
        </w:rPr>
        <w:t>39</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5F20B5F8">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_Toc9654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kern w:val="0"/>
          <w:sz w:val="28"/>
          <w:szCs w:val="28"/>
          <w:highlight w:val="none"/>
          <w:lang w:val="en-US" w:eastAsia="zh-CN"/>
        </w:rPr>
        <w:t>3.2.13事故案例分析</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_Toc9654 \h </w:instrText>
      </w:r>
      <w:r>
        <w:rPr>
          <w:rFonts w:hint="eastAsia" w:ascii="宋体" w:hAnsi="宋体" w:eastAsia="宋体" w:cs="宋体"/>
          <w:sz w:val="28"/>
          <w:szCs w:val="28"/>
        </w:rPr>
        <w:fldChar w:fldCharType="separate"/>
      </w:r>
      <w:r>
        <w:rPr>
          <w:rFonts w:hint="eastAsia" w:ascii="宋体" w:hAnsi="宋体" w:eastAsia="宋体" w:cs="宋体"/>
          <w:sz w:val="28"/>
          <w:szCs w:val="28"/>
        </w:rPr>
        <w:t>40</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5010AD00">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_Toc32104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3.3危险、有害因素</w:t>
      </w:r>
      <w:r>
        <w:rPr>
          <w:rFonts w:hint="eastAsia" w:ascii="宋体" w:hAnsi="宋体" w:eastAsia="宋体" w:cs="宋体"/>
          <w:sz w:val="28"/>
          <w:szCs w:val="28"/>
          <w:highlight w:val="none"/>
          <w:lang w:eastAsia="zh-CN"/>
        </w:rPr>
        <w:t>辨识小结</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_Toc32104 \h </w:instrText>
      </w:r>
      <w:r>
        <w:rPr>
          <w:rFonts w:hint="eastAsia" w:ascii="宋体" w:hAnsi="宋体" w:eastAsia="宋体" w:cs="宋体"/>
          <w:sz w:val="28"/>
          <w:szCs w:val="28"/>
        </w:rPr>
        <w:fldChar w:fldCharType="separate"/>
      </w:r>
      <w:r>
        <w:rPr>
          <w:rFonts w:hint="eastAsia" w:ascii="宋体" w:hAnsi="宋体" w:eastAsia="宋体" w:cs="宋体"/>
          <w:sz w:val="28"/>
          <w:szCs w:val="28"/>
        </w:rPr>
        <w:t>43</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54E16FFD">
      <w:pPr>
        <w:pStyle w:val="42"/>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_Toc20128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kern w:val="0"/>
          <w:sz w:val="28"/>
          <w:szCs w:val="28"/>
          <w:highlight w:val="none"/>
        </w:rPr>
        <w:t>4  评价单元及评价方法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_Toc20128 \h </w:instrText>
      </w:r>
      <w:r>
        <w:rPr>
          <w:rFonts w:hint="eastAsia" w:ascii="宋体" w:hAnsi="宋体" w:eastAsia="宋体" w:cs="宋体"/>
          <w:sz w:val="28"/>
          <w:szCs w:val="28"/>
        </w:rPr>
        <w:fldChar w:fldCharType="separate"/>
      </w:r>
      <w:r>
        <w:rPr>
          <w:rFonts w:hint="eastAsia" w:ascii="宋体" w:hAnsi="宋体" w:eastAsia="宋体" w:cs="宋体"/>
          <w:sz w:val="28"/>
          <w:szCs w:val="28"/>
        </w:rPr>
        <w:t>44</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17D7C052">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_Toc11907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4.1 评价方法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_Toc11907 \h </w:instrText>
      </w:r>
      <w:r>
        <w:rPr>
          <w:rFonts w:hint="eastAsia" w:ascii="宋体" w:hAnsi="宋体" w:eastAsia="宋体" w:cs="宋体"/>
          <w:sz w:val="28"/>
          <w:szCs w:val="28"/>
        </w:rPr>
        <w:fldChar w:fldCharType="separate"/>
      </w:r>
      <w:r>
        <w:rPr>
          <w:rFonts w:hint="eastAsia" w:ascii="宋体" w:hAnsi="宋体" w:eastAsia="宋体" w:cs="宋体"/>
          <w:sz w:val="28"/>
          <w:szCs w:val="28"/>
        </w:rPr>
        <w:t>44</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4BB50672">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_Toc16103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4.1.1 安全检查表法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_Toc16103 \h </w:instrText>
      </w:r>
      <w:r>
        <w:rPr>
          <w:rFonts w:hint="eastAsia" w:ascii="宋体" w:hAnsi="宋体" w:eastAsia="宋体" w:cs="宋体"/>
          <w:sz w:val="28"/>
          <w:szCs w:val="28"/>
        </w:rPr>
        <w:fldChar w:fldCharType="separate"/>
      </w:r>
      <w:r>
        <w:rPr>
          <w:rFonts w:hint="eastAsia" w:ascii="宋体" w:hAnsi="宋体" w:eastAsia="宋体" w:cs="宋体"/>
          <w:sz w:val="28"/>
          <w:szCs w:val="28"/>
        </w:rPr>
        <w:t>44</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3A143FCB">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_Toc15743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4.1.2 作业条件危险性分析法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_Toc15743 \h </w:instrText>
      </w:r>
      <w:r>
        <w:rPr>
          <w:rFonts w:hint="eastAsia" w:ascii="宋体" w:hAnsi="宋体" w:eastAsia="宋体" w:cs="宋体"/>
          <w:sz w:val="28"/>
          <w:szCs w:val="28"/>
        </w:rPr>
        <w:fldChar w:fldCharType="separate"/>
      </w:r>
      <w:r>
        <w:rPr>
          <w:rFonts w:hint="eastAsia" w:ascii="宋体" w:hAnsi="宋体" w:eastAsia="宋体" w:cs="宋体"/>
          <w:sz w:val="28"/>
          <w:szCs w:val="28"/>
        </w:rPr>
        <w:t>44</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0D7C9B30">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_Toc12961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4.2 评价单元</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_Toc12961 \h </w:instrText>
      </w:r>
      <w:r>
        <w:rPr>
          <w:rFonts w:hint="eastAsia" w:ascii="宋体" w:hAnsi="宋体" w:eastAsia="宋体" w:cs="宋体"/>
          <w:sz w:val="28"/>
          <w:szCs w:val="28"/>
        </w:rPr>
        <w:fldChar w:fldCharType="separate"/>
      </w:r>
      <w:r>
        <w:rPr>
          <w:rFonts w:hint="eastAsia" w:ascii="宋体" w:hAnsi="宋体" w:eastAsia="宋体" w:cs="宋体"/>
          <w:sz w:val="28"/>
          <w:szCs w:val="28"/>
        </w:rPr>
        <w:t>45</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6243E5C4">
      <w:pPr>
        <w:pStyle w:val="42"/>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_Toc16366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kern w:val="0"/>
          <w:sz w:val="28"/>
          <w:szCs w:val="28"/>
        </w:rPr>
        <w:t xml:space="preserve">5 </w:t>
      </w:r>
      <w:r>
        <w:rPr>
          <w:rFonts w:hint="eastAsia" w:ascii="宋体" w:hAnsi="宋体" w:eastAsia="宋体" w:cs="宋体"/>
          <w:kern w:val="0"/>
          <w:sz w:val="28"/>
          <w:szCs w:val="28"/>
          <w:highlight w:val="none"/>
        </w:rPr>
        <w:t>定性、定量评价</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_Toc16366 \h </w:instrText>
      </w:r>
      <w:r>
        <w:rPr>
          <w:rFonts w:hint="eastAsia" w:ascii="宋体" w:hAnsi="宋体" w:eastAsia="宋体" w:cs="宋体"/>
          <w:sz w:val="28"/>
          <w:szCs w:val="28"/>
        </w:rPr>
        <w:fldChar w:fldCharType="separate"/>
      </w:r>
      <w:r>
        <w:rPr>
          <w:rFonts w:hint="eastAsia" w:ascii="宋体" w:hAnsi="宋体" w:eastAsia="宋体" w:cs="宋体"/>
          <w:sz w:val="28"/>
          <w:szCs w:val="28"/>
        </w:rPr>
        <w:t>47</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47396BB2">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_Toc8405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5.1安全生产检查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_Toc8405 \h </w:instrText>
      </w:r>
      <w:r>
        <w:rPr>
          <w:rFonts w:hint="eastAsia" w:ascii="宋体" w:hAnsi="宋体" w:eastAsia="宋体" w:cs="宋体"/>
          <w:sz w:val="28"/>
          <w:szCs w:val="28"/>
        </w:rPr>
        <w:fldChar w:fldCharType="separate"/>
      </w:r>
      <w:r>
        <w:rPr>
          <w:rFonts w:hint="eastAsia" w:ascii="宋体" w:hAnsi="宋体" w:eastAsia="宋体" w:cs="宋体"/>
          <w:sz w:val="28"/>
          <w:szCs w:val="28"/>
        </w:rPr>
        <w:t>47</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4A382815">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_Toc12193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kern w:val="0"/>
          <w:sz w:val="28"/>
          <w:szCs w:val="28"/>
          <w:highlight w:val="none"/>
          <w:lang w:val="en-GB"/>
        </w:rPr>
        <w:t>5.1.1建筑物评价</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_Toc12193 \h </w:instrText>
      </w:r>
      <w:r>
        <w:rPr>
          <w:rFonts w:hint="eastAsia" w:ascii="宋体" w:hAnsi="宋体" w:eastAsia="宋体" w:cs="宋体"/>
          <w:sz w:val="28"/>
          <w:szCs w:val="28"/>
        </w:rPr>
        <w:fldChar w:fldCharType="separate"/>
      </w:r>
      <w:r>
        <w:rPr>
          <w:rFonts w:hint="eastAsia" w:ascii="宋体" w:hAnsi="宋体" w:eastAsia="宋体" w:cs="宋体"/>
          <w:sz w:val="28"/>
          <w:szCs w:val="28"/>
        </w:rPr>
        <w:t>47</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015F66A2">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_Toc12839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kern w:val="0"/>
          <w:sz w:val="28"/>
          <w:szCs w:val="28"/>
          <w:highlight w:val="none"/>
          <w:lang w:val="en-GB"/>
        </w:rPr>
        <w:t>5.1.</w:t>
      </w:r>
      <w:r>
        <w:rPr>
          <w:rFonts w:hint="eastAsia" w:ascii="宋体" w:hAnsi="宋体" w:eastAsia="宋体" w:cs="宋体"/>
          <w:bCs/>
          <w:kern w:val="0"/>
          <w:sz w:val="28"/>
          <w:szCs w:val="28"/>
          <w:highlight w:val="none"/>
          <w:lang w:val="en-US" w:eastAsia="zh-CN"/>
        </w:rPr>
        <w:t>2</w:t>
      </w:r>
      <w:r>
        <w:rPr>
          <w:rFonts w:hint="eastAsia" w:ascii="宋体" w:hAnsi="宋体" w:eastAsia="宋体" w:cs="宋体"/>
          <w:bCs/>
          <w:kern w:val="0"/>
          <w:sz w:val="28"/>
          <w:szCs w:val="28"/>
          <w:highlight w:val="none"/>
          <w:lang w:val="en-GB"/>
        </w:rPr>
        <w:t>工贸企业危险化学品使用安全管理评价</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_Toc12839 \h </w:instrText>
      </w:r>
      <w:r>
        <w:rPr>
          <w:rFonts w:hint="eastAsia" w:ascii="宋体" w:hAnsi="宋体" w:eastAsia="宋体" w:cs="宋体"/>
          <w:sz w:val="28"/>
          <w:szCs w:val="28"/>
        </w:rPr>
        <w:fldChar w:fldCharType="separate"/>
      </w:r>
      <w:r>
        <w:rPr>
          <w:rFonts w:hint="eastAsia" w:ascii="宋体" w:hAnsi="宋体" w:eastAsia="宋体" w:cs="宋体"/>
          <w:sz w:val="28"/>
          <w:szCs w:val="28"/>
        </w:rPr>
        <w:t>50</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0CEFDFE1">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_Toc9861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kern w:val="0"/>
          <w:sz w:val="28"/>
          <w:szCs w:val="28"/>
          <w:highlight w:val="none"/>
          <w:lang w:val="en-GB"/>
        </w:rPr>
        <w:t>5.1.</w:t>
      </w:r>
      <w:r>
        <w:rPr>
          <w:rFonts w:hint="eastAsia" w:ascii="宋体" w:hAnsi="宋体" w:eastAsia="宋体" w:cs="宋体"/>
          <w:bCs/>
          <w:kern w:val="0"/>
          <w:sz w:val="28"/>
          <w:szCs w:val="28"/>
          <w:highlight w:val="none"/>
          <w:lang w:val="en-US" w:eastAsia="zh-CN"/>
        </w:rPr>
        <w:t>3</w:t>
      </w:r>
      <w:r>
        <w:rPr>
          <w:rFonts w:hint="eastAsia" w:ascii="宋体" w:hAnsi="宋体" w:eastAsia="宋体" w:cs="宋体"/>
          <w:bCs/>
          <w:kern w:val="0"/>
          <w:sz w:val="28"/>
          <w:szCs w:val="28"/>
          <w:highlight w:val="none"/>
          <w:lang w:val="en-GB"/>
        </w:rPr>
        <w:t>使用危险化学品工业企业安全生产基本规范评价</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_Toc9861 \h </w:instrText>
      </w:r>
      <w:r>
        <w:rPr>
          <w:rFonts w:hint="eastAsia" w:ascii="宋体" w:hAnsi="宋体" w:eastAsia="宋体" w:cs="宋体"/>
          <w:sz w:val="28"/>
          <w:szCs w:val="28"/>
        </w:rPr>
        <w:fldChar w:fldCharType="separate"/>
      </w:r>
      <w:r>
        <w:rPr>
          <w:rFonts w:hint="eastAsia" w:ascii="宋体" w:hAnsi="宋体" w:eastAsia="宋体" w:cs="宋体"/>
          <w:sz w:val="28"/>
          <w:szCs w:val="28"/>
        </w:rPr>
        <w:t>53</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6BE2D93B">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_Toc31626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5.1.</w:t>
      </w:r>
      <w:r>
        <w:rPr>
          <w:rFonts w:hint="eastAsia" w:ascii="宋体" w:hAnsi="宋体" w:eastAsia="宋体" w:cs="宋体"/>
          <w:sz w:val="28"/>
          <w:szCs w:val="28"/>
          <w:highlight w:val="none"/>
          <w:lang w:val="en-US" w:eastAsia="zh-CN"/>
        </w:rPr>
        <w:t>4</w:t>
      </w:r>
      <w:r>
        <w:rPr>
          <w:rFonts w:hint="eastAsia" w:ascii="宋体" w:hAnsi="宋体" w:eastAsia="宋体" w:cs="宋体"/>
          <w:sz w:val="28"/>
          <w:szCs w:val="28"/>
          <w:highlight w:val="none"/>
        </w:rPr>
        <w:t>危险化学品储存</w:t>
      </w:r>
      <w:r>
        <w:rPr>
          <w:rFonts w:hint="eastAsia" w:ascii="宋体" w:hAnsi="宋体" w:eastAsia="宋体" w:cs="宋体"/>
          <w:sz w:val="28"/>
          <w:szCs w:val="28"/>
          <w:highlight w:val="none"/>
          <w:lang w:eastAsia="zh-CN"/>
        </w:rPr>
        <w:t>评价</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_Toc31626 \h </w:instrText>
      </w:r>
      <w:r>
        <w:rPr>
          <w:rFonts w:hint="eastAsia" w:ascii="宋体" w:hAnsi="宋体" w:eastAsia="宋体" w:cs="宋体"/>
          <w:sz w:val="28"/>
          <w:szCs w:val="28"/>
        </w:rPr>
        <w:fldChar w:fldCharType="separate"/>
      </w:r>
      <w:r>
        <w:rPr>
          <w:rFonts w:hint="eastAsia" w:ascii="宋体" w:hAnsi="宋体" w:eastAsia="宋体" w:cs="宋体"/>
          <w:sz w:val="28"/>
          <w:szCs w:val="28"/>
        </w:rPr>
        <w:t>57</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058765E4">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_Toc13392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bCs w:val="0"/>
          <w:sz w:val="28"/>
          <w:szCs w:val="28"/>
          <w:highlight w:val="none"/>
        </w:rPr>
        <w:t>5.1.</w:t>
      </w:r>
      <w:r>
        <w:rPr>
          <w:rFonts w:hint="eastAsia" w:ascii="宋体" w:hAnsi="宋体" w:eastAsia="宋体" w:cs="宋体"/>
          <w:bCs w:val="0"/>
          <w:sz w:val="28"/>
          <w:szCs w:val="28"/>
          <w:highlight w:val="none"/>
          <w:lang w:val="en-US" w:eastAsia="zh-CN"/>
        </w:rPr>
        <w:t>5防火</w:t>
      </w:r>
      <w:r>
        <w:rPr>
          <w:rFonts w:hint="eastAsia" w:ascii="宋体" w:hAnsi="宋体" w:eastAsia="宋体" w:cs="宋体"/>
          <w:bCs w:val="0"/>
          <w:sz w:val="28"/>
          <w:szCs w:val="28"/>
          <w:highlight w:val="none"/>
          <w:lang w:eastAsia="zh-CN"/>
        </w:rPr>
        <w:t>防爆设施</w:t>
      </w:r>
      <w:r>
        <w:rPr>
          <w:rFonts w:hint="eastAsia" w:ascii="宋体" w:hAnsi="宋体" w:eastAsia="宋体" w:cs="宋体"/>
          <w:bCs w:val="0"/>
          <w:sz w:val="28"/>
          <w:szCs w:val="28"/>
          <w:highlight w:val="none"/>
        </w:rPr>
        <w:t>评价</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_Toc13392 \h </w:instrText>
      </w:r>
      <w:r>
        <w:rPr>
          <w:rFonts w:hint="eastAsia" w:ascii="宋体" w:hAnsi="宋体" w:eastAsia="宋体" w:cs="宋体"/>
          <w:sz w:val="28"/>
          <w:szCs w:val="28"/>
        </w:rPr>
        <w:fldChar w:fldCharType="separate"/>
      </w:r>
      <w:r>
        <w:rPr>
          <w:rFonts w:hint="eastAsia" w:ascii="宋体" w:hAnsi="宋体" w:eastAsia="宋体" w:cs="宋体"/>
          <w:sz w:val="28"/>
          <w:szCs w:val="28"/>
        </w:rPr>
        <w:t>62</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76067237">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_Toc14314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5.1.</w:t>
      </w:r>
      <w:r>
        <w:rPr>
          <w:rFonts w:hint="eastAsia" w:ascii="宋体" w:hAnsi="宋体" w:eastAsia="宋体" w:cs="宋体"/>
          <w:sz w:val="28"/>
          <w:szCs w:val="28"/>
          <w:highlight w:val="none"/>
          <w:lang w:val="en-US" w:eastAsia="zh-CN"/>
        </w:rPr>
        <w:t>6</w:t>
      </w:r>
      <w:r>
        <w:rPr>
          <w:rFonts w:hint="eastAsia" w:ascii="宋体" w:hAnsi="宋体" w:eastAsia="宋体" w:cs="宋体"/>
          <w:sz w:val="28"/>
          <w:szCs w:val="28"/>
          <w:highlight w:val="none"/>
        </w:rPr>
        <w:t>消防设施评价</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_Toc14314 \h </w:instrText>
      </w:r>
      <w:r>
        <w:rPr>
          <w:rFonts w:hint="eastAsia" w:ascii="宋体" w:hAnsi="宋体" w:eastAsia="宋体" w:cs="宋体"/>
          <w:sz w:val="28"/>
          <w:szCs w:val="28"/>
        </w:rPr>
        <w:fldChar w:fldCharType="separate"/>
      </w:r>
      <w:r>
        <w:rPr>
          <w:rFonts w:hint="eastAsia" w:ascii="宋体" w:hAnsi="宋体" w:eastAsia="宋体" w:cs="宋体"/>
          <w:sz w:val="28"/>
          <w:szCs w:val="28"/>
        </w:rPr>
        <w:t>65</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5E7D9308">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_Toc25354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5.1.</w:t>
      </w:r>
      <w:r>
        <w:rPr>
          <w:rFonts w:hint="eastAsia" w:ascii="宋体" w:hAnsi="宋体" w:eastAsia="宋体" w:cs="宋体"/>
          <w:sz w:val="28"/>
          <w:szCs w:val="28"/>
          <w:highlight w:val="none"/>
          <w:lang w:val="en-US" w:eastAsia="zh-CN"/>
        </w:rPr>
        <w:t>7</w:t>
      </w:r>
      <w:r>
        <w:rPr>
          <w:rFonts w:hint="eastAsia" w:ascii="宋体" w:hAnsi="宋体" w:eastAsia="宋体" w:cs="宋体"/>
          <w:sz w:val="28"/>
          <w:szCs w:val="28"/>
          <w:highlight w:val="none"/>
        </w:rPr>
        <w:t>工贸企业重大事故隐患判定</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_Toc25354 \h </w:instrText>
      </w:r>
      <w:r>
        <w:rPr>
          <w:rFonts w:hint="eastAsia" w:ascii="宋体" w:hAnsi="宋体" w:eastAsia="宋体" w:cs="宋体"/>
          <w:sz w:val="28"/>
          <w:szCs w:val="28"/>
        </w:rPr>
        <w:fldChar w:fldCharType="separate"/>
      </w:r>
      <w:r>
        <w:rPr>
          <w:rFonts w:hint="eastAsia" w:ascii="宋体" w:hAnsi="宋体" w:eastAsia="宋体" w:cs="宋体"/>
          <w:sz w:val="28"/>
          <w:szCs w:val="28"/>
        </w:rPr>
        <w:t>68</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3348F3F1">
      <w:pPr>
        <w:pStyle w:val="3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_Toc16599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5.1.</w:t>
      </w:r>
      <w:r>
        <w:rPr>
          <w:rFonts w:hint="eastAsia" w:ascii="宋体" w:hAnsi="宋体" w:eastAsia="宋体" w:cs="宋体"/>
          <w:sz w:val="28"/>
          <w:szCs w:val="28"/>
          <w:highlight w:val="none"/>
          <w:lang w:val="en-US" w:eastAsia="zh-CN"/>
        </w:rPr>
        <w:t>8</w:t>
      </w:r>
      <w:r>
        <w:rPr>
          <w:rFonts w:hint="eastAsia" w:ascii="宋体" w:hAnsi="宋体" w:eastAsia="宋体" w:cs="宋体"/>
          <w:sz w:val="28"/>
          <w:szCs w:val="28"/>
          <w:highlight w:val="none"/>
          <w:lang w:eastAsia="zh-CN"/>
        </w:rPr>
        <w:t>其他</w:t>
      </w:r>
      <w:r>
        <w:rPr>
          <w:rFonts w:hint="eastAsia" w:ascii="宋体" w:hAnsi="宋体" w:eastAsia="宋体" w:cs="宋体"/>
          <w:sz w:val="28"/>
          <w:szCs w:val="28"/>
          <w:highlight w:val="none"/>
        </w:rPr>
        <w:t>安全管理</w:t>
      </w:r>
      <w:r>
        <w:rPr>
          <w:rFonts w:hint="eastAsia" w:ascii="宋体" w:hAnsi="宋体" w:eastAsia="宋体" w:cs="宋体"/>
          <w:sz w:val="28"/>
          <w:szCs w:val="28"/>
          <w:highlight w:val="none"/>
          <w:lang w:eastAsia="zh-CN"/>
        </w:rPr>
        <w:t>评价</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_Toc16599 \h </w:instrText>
      </w:r>
      <w:r>
        <w:rPr>
          <w:rFonts w:hint="eastAsia" w:ascii="宋体" w:hAnsi="宋体" w:eastAsia="宋体" w:cs="宋体"/>
          <w:sz w:val="28"/>
          <w:szCs w:val="28"/>
        </w:rPr>
        <w:fldChar w:fldCharType="separate"/>
      </w:r>
      <w:r>
        <w:rPr>
          <w:rFonts w:hint="eastAsia" w:ascii="宋体" w:hAnsi="宋体" w:eastAsia="宋体" w:cs="宋体"/>
          <w:sz w:val="28"/>
          <w:szCs w:val="28"/>
        </w:rPr>
        <w:t>70</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1DA849D4">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_Toc18198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5.2作业条件危险性评价法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_Toc18198 \h </w:instrText>
      </w:r>
      <w:r>
        <w:rPr>
          <w:rFonts w:hint="eastAsia" w:ascii="宋体" w:hAnsi="宋体" w:eastAsia="宋体" w:cs="宋体"/>
          <w:sz w:val="28"/>
          <w:szCs w:val="28"/>
        </w:rPr>
        <w:fldChar w:fldCharType="separate"/>
      </w:r>
      <w:r>
        <w:rPr>
          <w:rFonts w:hint="eastAsia" w:ascii="宋体" w:hAnsi="宋体" w:eastAsia="宋体" w:cs="宋体"/>
          <w:sz w:val="28"/>
          <w:szCs w:val="28"/>
        </w:rPr>
        <w:t>72</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01056126">
      <w:pPr>
        <w:pStyle w:val="42"/>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_Toc24020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kern w:val="0"/>
          <w:sz w:val="28"/>
          <w:szCs w:val="28"/>
          <w:highlight w:val="none"/>
        </w:rPr>
        <w:t>6  安全对策措施</w:t>
      </w:r>
      <w:r>
        <w:rPr>
          <w:rFonts w:hint="eastAsia" w:ascii="宋体" w:hAnsi="宋体" w:eastAsia="宋体" w:cs="宋体"/>
          <w:kern w:val="0"/>
          <w:sz w:val="28"/>
          <w:szCs w:val="28"/>
          <w:highlight w:val="none"/>
          <w:lang w:eastAsia="zh-CN"/>
        </w:rPr>
        <w:t>与建议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_Toc24020 \h </w:instrText>
      </w:r>
      <w:r>
        <w:rPr>
          <w:rFonts w:hint="eastAsia" w:ascii="宋体" w:hAnsi="宋体" w:eastAsia="宋体" w:cs="宋体"/>
          <w:sz w:val="28"/>
          <w:szCs w:val="28"/>
        </w:rPr>
        <w:fldChar w:fldCharType="separate"/>
      </w:r>
      <w:r>
        <w:rPr>
          <w:rFonts w:hint="eastAsia" w:ascii="宋体" w:hAnsi="宋体" w:eastAsia="宋体" w:cs="宋体"/>
          <w:sz w:val="28"/>
          <w:szCs w:val="28"/>
        </w:rPr>
        <w:t>76</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34CF58CA">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_Toc17370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6.1存在问题及整改</w:t>
      </w:r>
      <w:r>
        <w:rPr>
          <w:rFonts w:hint="eastAsia" w:ascii="宋体" w:hAnsi="宋体" w:eastAsia="宋体" w:cs="宋体"/>
          <w:sz w:val="28"/>
          <w:szCs w:val="28"/>
          <w:highlight w:val="none"/>
          <w:lang w:eastAsia="zh-CN"/>
        </w:rPr>
        <w:t>落实情况</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_Toc17370 \h </w:instrText>
      </w:r>
      <w:r>
        <w:rPr>
          <w:rFonts w:hint="eastAsia" w:ascii="宋体" w:hAnsi="宋体" w:eastAsia="宋体" w:cs="宋体"/>
          <w:sz w:val="28"/>
          <w:szCs w:val="28"/>
        </w:rPr>
        <w:fldChar w:fldCharType="separate"/>
      </w:r>
      <w:r>
        <w:rPr>
          <w:rFonts w:hint="eastAsia" w:ascii="宋体" w:hAnsi="宋体" w:eastAsia="宋体" w:cs="宋体"/>
          <w:sz w:val="28"/>
          <w:szCs w:val="28"/>
        </w:rPr>
        <w:t>76</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2E8BF3AE">
      <w:pPr>
        <w:pStyle w:val="53"/>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_Toc24306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sz w:val="28"/>
          <w:szCs w:val="28"/>
          <w:highlight w:val="none"/>
        </w:rPr>
        <w:t>6.</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建议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_Toc24306 \h </w:instrText>
      </w:r>
      <w:r>
        <w:rPr>
          <w:rFonts w:hint="eastAsia" w:ascii="宋体" w:hAnsi="宋体" w:eastAsia="宋体" w:cs="宋体"/>
          <w:sz w:val="28"/>
          <w:szCs w:val="28"/>
        </w:rPr>
        <w:fldChar w:fldCharType="separate"/>
      </w:r>
      <w:r>
        <w:rPr>
          <w:rFonts w:hint="eastAsia" w:ascii="宋体" w:hAnsi="宋体" w:eastAsia="宋体" w:cs="宋体"/>
          <w:sz w:val="28"/>
          <w:szCs w:val="28"/>
        </w:rPr>
        <w:t>77</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2809449D">
      <w:pPr>
        <w:pStyle w:val="42"/>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_Toc606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kern w:val="0"/>
          <w:sz w:val="28"/>
          <w:szCs w:val="28"/>
          <w:highlight w:val="none"/>
        </w:rPr>
        <w:t>7  评价结论</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_Toc606 \h </w:instrText>
      </w:r>
      <w:r>
        <w:rPr>
          <w:rFonts w:hint="eastAsia" w:ascii="宋体" w:hAnsi="宋体" w:eastAsia="宋体" w:cs="宋体"/>
          <w:sz w:val="28"/>
          <w:szCs w:val="28"/>
        </w:rPr>
        <w:fldChar w:fldCharType="separate"/>
      </w:r>
      <w:r>
        <w:rPr>
          <w:rFonts w:hint="eastAsia" w:ascii="宋体" w:hAnsi="宋体" w:eastAsia="宋体" w:cs="宋体"/>
          <w:sz w:val="28"/>
          <w:szCs w:val="28"/>
        </w:rPr>
        <w:t>79</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6B9F1AEE">
      <w:pPr>
        <w:pStyle w:val="42"/>
        <w:tabs>
          <w:tab w:val="right" w:leader="dot" w:pos="9185"/>
        </w:tabs>
        <w:spacing w:line="360" w:lineRule="auto"/>
        <w:rPr>
          <w:rFonts w:hint="eastAsia" w:ascii="宋体" w:hAnsi="宋体" w:eastAsia="宋体" w:cs="宋体"/>
          <w:sz w:val="28"/>
          <w:szCs w:val="28"/>
        </w:rPr>
      </w:pPr>
      <w:r>
        <w:rPr>
          <w:rFonts w:hint="eastAsia" w:ascii="宋体" w:hAnsi="宋体" w:eastAsia="宋体" w:cs="宋体"/>
          <w:bCs w:val="0"/>
          <w:caps w:val="0"/>
          <w:color w:val="000000" w:themeColor="text1"/>
          <w:sz w:val="28"/>
          <w:szCs w:val="28"/>
          <w:highlight w:val="none"/>
        </w:rPr>
        <w:fldChar w:fldCharType="begin"/>
      </w:r>
      <w:r>
        <w:rPr>
          <w:rFonts w:hint="eastAsia" w:ascii="宋体" w:hAnsi="宋体" w:eastAsia="宋体" w:cs="宋体"/>
          <w:bCs w:val="0"/>
          <w:caps w:val="0"/>
          <w:sz w:val="28"/>
          <w:szCs w:val="28"/>
          <w:highlight w:val="none"/>
        </w:rPr>
        <w:instrText xml:space="preserve"> HYPERLINK \l _Toc25966 </w:instrText>
      </w:r>
      <w:r>
        <w:rPr>
          <w:rFonts w:hint="eastAsia" w:ascii="宋体" w:hAnsi="宋体" w:eastAsia="宋体" w:cs="宋体"/>
          <w:bCs w:val="0"/>
          <w:caps w:val="0"/>
          <w:sz w:val="28"/>
          <w:szCs w:val="28"/>
          <w:highlight w:val="none"/>
        </w:rPr>
        <w:fldChar w:fldCharType="separate"/>
      </w:r>
      <w:r>
        <w:rPr>
          <w:rFonts w:hint="eastAsia" w:ascii="宋体" w:hAnsi="宋体" w:eastAsia="宋体" w:cs="宋体"/>
          <w:kern w:val="0"/>
          <w:sz w:val="28"/>
          <w:szCs w:val="28"/>
        </w:rPr>
        <w:t xml:space="preserve">8 </w:t>
      </w:r>
      <w:r>
        <w:rPr>
          <w:rFonts w:hint="eastAsia" w:ascii="宋体" w:hAnsi="宋体" w:eastAsia="宋体" w:cs="宋体"/>
          <w:kern w:val="0"/>
          <w:sz w:val="28"/>
          <w:szCs w:val="28"/>
          <w:highlight w:val="none"/>
        </w:rPr>
        <w:t>附件</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_Toc25966 \h </w:instrText>
      </w:r>
      <w:r>
        <w:rPr>
          <w:rFonts w:hint="eastAsia" w:ascii="宋体" w:hAnsi="宋体" w:eastAsia="宋体" w:cs="宋体"/>
          <w:sz w:val="28"/>
          <w:szCs w:val="28"/>
        </w:rPr>
        <w:fldChar w:fldCharType="separate"/>
      </w:r>
      <w:r>
        <w:rPr>
          <w:rFonts w:hint="eastAsia" w:ascii="宋体" w:hAnsi="宋体" w:eastAsia="宋体" w:cs="宋体"/>
          <w:sz w:val="28"/>
          <w:szCs w:val="28"/>
        </w:rPr>
        <w:t>80</w:t>
      </w:r>
      <w:r>
        <w:rPr>
          <w:rFonts w:hint="eastAsia" w:ascii="宋体" w:hAnsi="宋体" w:eastAsia="宋体" w:cs="宋体"/>
          <w:sz w:val="28"/>
          <w:szCs w:val="28"/>
        </w:rPr>
        <w:fldChar w:fldCharType="end"/>
      </w:r>
      <w:r>
        <w:rPr>
          <w:rFonts w:hint="eastAsia" w:ascii="宋体" w:hAnsi="宋体" w:eastAsia="宋体" w:cs="宋体"/>
          <w:bCs w:val="0"/>
          <w:caps w:val="0"/>
          <w:color w:val="000000" w:themeColor="text1"/>
          <w:sz w:val="28"/>
          <w:szCs w:val="28"/>
          <w:highlight w:val="none"/>
        </w:rPr>
        <w:fldChar w:fldCharType="end"/>
      </w:r>
    </w:p>
    <w:p w14:paraId="7FC5FB35">
      <w:pPr>
        <w:keepNext w:val="0"/>
        <w:keepLines w:val="0"/>
        <w:pageBreakBefore w:val="0"/>
        <w:widowControl w:val="0"/>
        <w:kinsoku/>
        <w:wordWrap/>
        <w:overflowPunct/>
        <w:topLinePunct w:val="0"/>
        <w:autoSpaceDE/>
        <w:autoSpaceDN/>
        <w:bidi w:val="0"/>
        <w:adjustRightInd w:val="0"/>
        <w:snapToGrid w:val="0"/>
        <w:spacing w:line="360" w:lineRule="auto"/>
        <w:ind w:left="480" w:leftChars="200"/>
        <w:textAlignment w:val="auto"/>
        <w:rPr>
          <w:bCs/>
          <w:color w:val="000000" w:themeColor="text1"/>
          <w:highlight w:val="none"/>
        </w:rPr>
      </w:pPr>
      <w:r>
        <w:rPr>
          <w:rFonts w:hint="eastAsia" w:ascii="宋体" w:hAnsi="宋体" w:eastAsia="宋体" w:cs="宋体"/>
          <w:b w:val="0"/>
          <w:bCs w:val="0"/>
          <w:caps w:val="0"/>
          <w:color w:val="000000" w:themeColor="text1"/>
          <w:sz w:val="28"/>
          <w:szCs w:val="28"/>
          <w:highlight w:val="none"/>
        </w:rPr>
        <w:fldChar w:fldCharType="end"/>
      </w:r>
    </w:p>
    <w:p w14:paraId="04AAF5B7">
      <w:pPr>
        <w:keepNext w:val="0"/>
        <w:keepLines w:val="0"/>
        <w:pageBreakBefore w:val="0"/>
        <w:widowControl w:val="0"/>
        <w:kinsoku/>
        <w:wordWrap/>
        <w:topLinePunct w:val="0"/>
        <w:bidi w:val="0"/>
        <w:adjustRightInd w:val="0"/>
        <w:snapToGrid w:val="0"/>
        <w:rPr>
          <w:color w:val="000000" w:themeColor="text1"/>
          <w:highlight w:val="none"/>
        </w:rPr>
      </w:pPr>
    </w:p>
    <w:p w14:paraId="10E7BC12">
      <w:pPr>
        <w:keepNext w:val="0"/>
        <w:keepLines w:val="0"/>
        <w:pageBreakBefore w:val="0"/>
        <w:widowControl w:val="0"/>
        <w:tabs>
          <w:tab w:val="left" w:pos="2100"/>
        </w:tabs>
        <w:kinsoku/>
        <w:wordWrap/>
        <w:topLinePunct w:val="0"/>
        <w:bidi w:val="0"/>
        <w:adjustRightInd w:val="0"/>
        <w:snapToGrid w:val="0"/>
        <w:rPr>
          <w:color w:val="000000" w:themeColor="text1"/>
          <w:highlight w:val="none"/>
        </w:rPr>
      </w:pPr>
      <w:r>
        <w:rPr>
          <w:color w:val="000000" w:themeColor="text1"/>
          <w:highlight w:val="none"/>
        </w:rPr>
        <w:tab/>
      </w:r>
    </w:p>
    <w:p w14:paraId="788DBBC7">
      <w:pPr>
        <w:keepNext w:val="0"/>
        <w:keepLines w:val="0"/>
        <w:pageBreakBefore w:val="0"/>
        <w:widowControl w:val="0"/>
        <w:kinsoku/>
        <w:wordWrap/>
        <w:topLinePunct w:val="0"/>
        <w:bidi w:val="0"/>
        <w:adjustRightInd w:val="0"/>
        <w:snapToGrid w:val="0"/>
        <w:rPr>
          <w:color w:val="000000" w:themeColor="text1"/>
          <w:highlight w:val="none"/>
        </w:rPr>
      </w:pPr>
    </w:p>
    <w:p w14:paraId="674CAEC0">
      <w:pPr>
        <w:keepNext w:val="0"/>
        <w:keepLines w:val="0"/>
        <w:pageBreakBefore w:val="0"/>
        <w:widowControl w:val="0"/>
        <w:kinsoku/>
        <w:wordWrap/>
        <w:topLinePunct w:val="0"/>
        <w:bidi w:val="0"/>
        <w:adjustRightInd w:val="0"/>
        <w:snapToGrid w:val="0"/>
        <w:rPr>
          <w:color w:val="000000" w:themeColor="text1"/>
          <w:highlight w:val="none"/>
        </w:rPr>
        <w:sectPr>
          <w:pgSz w:w="11907" w:h="16840"/>
          <w:pgMar w:top="1418" w:right="1134" w:bottom="1134" w:left="1588" w:header="794" w:footer="794" w:gutter="0"/>
          <w:paperSrc w:first="7" w:other="7"/>
          <w:pgBorders>
            <w:top w:val="none" w:sz="0" w:space="0"/>
            <w:left w:val="none" w:sz="0" w:space="0"/>
            <w:bottom w:val="none" w:sz="0" w:space="0"/>
            <w:right w:val="none" w:sz="0" w:space="0"/>
          </w:pgBorders>
          <w:pgNumType w:fmt="upperRoman" w:start="1"/>
          <w:cols w:space="720" w:num="1"/>
          <w:docGrid w:linePitch="312" w:charSpace="0"/>
        </w:sectPr>
      </w:pPr>
    </w:p>
    <w:p w14:paraId="749A4082">
      <w:pPr>
        <w:keepNext w:val="0"/>
        <w:keepLines w:val="0"/>
        <w:pageBreakBefore w:val="0"/>
        <w:widowControl w:val="0"/>
        <w:kinsoku/>
        <w:wordWrap/>
        <w:topLinePunct w:val="0"/>
        <w:bidi w:val="0"/>
        <w:adjustRightInd w:val="0"/>
        <w:snapToGrid w:val="0"/>
        <w:rPr>
          <w:color w:val="000000" w:themeColor="text1"/>
          <w:highlight w:val="none"/>
        </w:rPr>
        <w:sectPr>
          <w:pgSz w:w="11907" w:h="16840"/>
          <w:pgMar w:top="1418" w:right="1134" w:bottom="1134" w:left="1588" w:header="794" w:footer="794" w:gutter="0"/>
          <w:paperSrc w:first="7" w:other="7"/>
          <w:pgBorders>
            <w:top w:val="none" w:sz="0" w:space="0"/>
            <w:left w:val="none" w:sz="0" w:space="0"/>
            <w:bottom w:val="none" w:sz="0" w:space="0"/>
            <w:right w:val="none" w:sz="0" w:space="0"/>
          </w:pgBorders>
          <w:pgNumType w:fmt="upperRoman"/>
          <w:cols w:space="720" w:num="1"/>
          <w:docGrid w:linePitch="312" w:charSpace="0"/>
        </w:sectPr>
      </w:pPr>
    </w:p>
    <w:p w14:paraId="01797BAA">
      <w:pPr>
        <w:pStyle w:val="5"/>
        <w:keepNext w:val="0"/>
        <w:keepLines w:val="0"/>
        <w:pageBreakBefore w:val="0"/>
        <w:widowControl w:val="0"/>
        <w:kinsoku/>
        <w:wordWrap/>
        <w:overflowPunct/>
        <w:topLinePunct w:val="0"/>
        <w:autoSpaceDE/>
        <w:autoSpaceDN/>
        <w:bidi w:val="0"/>
        <w:adjustRightInd w:val="0"/>
        <w:snapToGrid w:val="0"/>
        <w:spacing w:before="240" w:after="240"/>
        <w:textAlignment w:val="auto"/>
        <w:rPr>
          <w:color w:val="000000" w:themeColor="text1"/>
          <w:kern w:val="0"/>
          <w:highlight w:val="none"/>
        </w:rPr>
      </w:pPr>
      <w:bookmarkStart w:id="22" w:name="_Toc148429055"/>
      <w:bookmarkStart w:id="23" w:name="_Toc160859579"/>
      <w:bookmarkStart w:id="24" w:name="_Toc161042258"/>
      <w:bookmarkStart w:id="25" w:name="_Toc176576628"/>
      <w:bookmarkStart w:id="26" w:name="_Toc186273615"/>
      <w:bookmarkStart w:id="27" w:name="_Toc190762527"/>
      <w:bookmarkStart w:id="28" w:name="_Toc198457525"/>
      <w:bookmarkStart w:id="29" w:name="_Toc7240"/>
      <w:bookmarkStart w:id="30" w:name="_Toc14161"/>
      <w:bookmarkStart w:id="31" w:name="_Toc27197"/>
      <w:bookmarkStart w:id="32" w:name="_Toc234394464"/>
      <w:bookmarkStart w:id="33" w:name="_Toc25776"/>
      <w:bookmarkStart w:id="34" w:name="_Toc449456871"/>
      <w:bookmarkStart w:id="35" w:name="_Toc198521453"/>
      <w:bookmarkStart w:id="36" w:name="_Toc449456780"/>
      <w:bookmarkStart w:id="37" w:name="_Toc6089"/>
      <w:bookmarkStart w:id="38" w:name="_Toc30314"/>
      <w:bookmarkStart w:id="39" w:name="_Toc151792104"/>
      <w:bookmarkStart w:id="40" w:name="_Toc150849417"/>
      <w:r>
        <w:rPr>
          <w:rFonts w:hint="eastAsia"/>
          <w:color w:val="000000" w:themeColor="text1"/>
          <w:kern w:val="0"/>
          <w:highlight w:val="none"/>
        </w:rPr>
        <w:t xml:space="preserve">1  </w:t>
      </w:r>
      <w:bookmarkEnd w:id="22"/>
      <w:bookmarkEnd w:id="23"/>
      <w:bookmarkEnd w:id="24"/>
      <w:bookmarkEnd w:id="25"/>
      <w:bookmarkEnd w:id="26"/>
      <w:r>
        <w:rPr>
          <w:rFonts w:hint="eastAsia"/>
          <w:color w:val="000000" w:themeColor="text1"/>
          <w:kern w:val="0"/>
          <w:highlight w:val="none"/>
        </w:rPr>
        <w:t>危险化学品使用专项</w:t>
      </w:r>
      <w:r>
        <w:rPr>
          <w:color w:val="000000" w:themeColor="text1"/>
          <w:kern w:val="0"/>
          <w:highlight w:val="none"/>
        </w:rPr>
        <w:t>安全</w:t>
      </w:r>
      <w:r>
        <w:rPr>
          <w:rFonts w:hint="eastAsia"/>
          <w:color w:val="000000" w:themeColor="text1"/>
          <w:kern w:val="0"/>
          <w:highlight w:val="none"/>
          <w:lang w:eastAsia="zh-CN"/>
        </w:rPr>
        <w:t>现状</w:t>
      </w:r>
      <w:r>
        <w:rPr>
          <w:rFonts w:hint="eastAsia"/>
          <w:color w:val="000000" w:themeColor="text1"/>
          <w:kern w:val="0"/>
          <w:highlight w:val="none"/>
        </w:rPr>
        <w:t>评价工作经过</w:t>
      </w:r>
      <w:bookmarkEnd w:id="27"/>
      <w:bookmarkEnd w:id="28"/>
      <w:bookmarkEnd w:id="29"/>
      <w:bookmarkEnd w:id="30"/>
      <w:bookmarkEnd w:id="31"/>
      <w:bookmarkEnd w:id="32"/>
      <w:bookmarkEnd w:id="33"/>
      <w:bookmarkEnd w:id="34"/>
      <w:bookmarkEnd w:id="35"/>
      <w:bookmarkEnd w:id="36"/>
      <w:bookmarkEnd w:id="37"/>
      <w:bookmarkEnd w:id="38"/>
    </w:p>
    <w:p w14:paraId="4C4BD7C1">
      <w:pPr>
        <w:pStyle w:val="6"/>
        <w:keepNext w:val="0"/>
        <w:keepLines w:val="0"/>
        <w:pageBreakBefore w:val="0"/>
        <w:widowControl w:val="0"/>
        <w:kinsoku/>
        <w:wordWrap/>
        <w:overflowPunct/>
        <w:topLinePunct w:val="0"/>
        <w:autoSpaceDE/>
        <w:autoSpaceDN/>
        <w:bidi w:val="0"/>
        <w:adjustRightInd w:val="0"/>
        <w:snapToGrid w:val="0"/>
        <w:textAlignment w:val="auto"/>
        <w:rPr>
          <w:color w:val="000000" w:themeColor="text1"/>
          <w:szCs w:val="28"/>
          <w:highlight w:val="none"/>
        </w:rPr>
      </w:pPr>
      <w:bookmarkStart w:id="41" w:name="_Toc10639"/>
      <w:bookmarkStart w:id="42" w:name="_Toc98655421"/>
      <w:bookmarkStart w:id="43" w:name="_Toc198521454"/>
      <w:bookmarkStart w:id="44" w:name="_Toc186273616"/>
      <w:bookmarkStart w:id="45" w:name="_Toc148429056"/>
      <w:bookmarkStart w:id="46" w:name="_Toc142894166"/>
      <w:bookmarkStart w:id="47" w:name="_Toc198457526"/>
      <w:bookmarkStart w:id="48" w:name="_Toc234394465"/>
      <w:bookmarkStart w:id="49" w:name="_Toc449456872"/>
      <w:bookmarkStart w:id="50" w:name="_Toc161042259"/>
      <w:bookmarkStart w:id="51" w:name="_Toc160859580"/>
      <w:bookmarkStart w:id="52" w:name="_Toc190762528"/>
      <w:bookmarkStart w:id="53" w:name="_Toc9128"/>
      <w:bookmarkStart w:id="54" w:name="_Toc144629224"/>
      <w:bookmarkStart w:id="55" w:name="_Toc449456781"/>
      <w:bookmarkStart w:id="56" w:name="_Toc31839"/>
      <w:bookmarkStart w:id="57" w:name="_Toc2792"/>
      <w:bookmarkStart w:id="58" w:name="_Toc176576629"/>
      <w:bookmarkStart w:id="59" w:name="_Toc120500822"/>
      <w:bookmarkStart w:id="60" w:name="_Toc5614"/>
      <w:bookmarkStart w:id="61" w:name="_Toc22823"/>
      <w:r>
        <w:rPr>
          <w:rFonts w:hint="eastAsia"/>
          <w:color w:val="000000" w:themeColor="text1"/>
          <w:szCs w:val="28"/>
          <w:highlight w:val="none"/>
        </w:rPr>
        <w:t xml:space="preserve">1.1 </w:t>
      </w:r>
      <w:r>
        <w:rPr>
          <w:rFonts w:hint="eastAsia"/>
          <w:color w:val="000000" w:themeColor="text1"/>
          <w:sz w:val="28"/>
          <w:szCs w:val="28"/>
          <w:highlight w:val="none"/>
        </w:rPr>
        <w:t>危险化学品使用专项安全</w:t>
      </w:r>
      <w:r>
        <w:rPr>
          <w:rFonts w:hint="eastAsia"/>
          <w:color w:val="000000" w:themeColor="text1"/>
          <w:sz w:val="28"/>
          <w:szCs w:val="28"/>
          <w:highlight w:val="none"/>
          <w:lang w:eastAsia="zh-CN"/>
        </w:rPr>
        <w:t>现状</w:t>
      </w:r>
      <w:r>
        <w:rPr>
          <w:rFonts w:hint="eastAsia"/>
          <w:color w:val="000000" w:themeColor="text1"/>
          <w:szCs w:val="28"/>
          <w:highlight w:val="none"/>
        </w:rPr>
        <w:t>评价目的</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p w14:paraId="349B5C53">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kern w:val="0"/>
          <w:sz w:val="28"/>
          <w:szCs w:val="28"/>
          <w:highlight w:val="none"/>
        </w:rPr>
      </w:pPr>
      <w:bookmarkStart w:id="62" w:name="_Toc449456782"/>
      <w:bookmarkStart w:id="63" w:name="_Toc449456873"/>
      <w:bookmarkStart w:id="64" w:name="_Toc144629225"/>
      <w:bookmarkStart w:id="65" w:name="_Toc120500823"/>
      <w:bookmarkStart w:id="66" w:name="_Toc148429057"/>
      <w:bookmarkStart w:id="67" w:name="_Toc160859581"/>
      <w:bookmarkStart w:id="68" w:name="_Toc186273617"/>
      <w:bookmarkStart w:id="69" w:name="_Toc161042260"/>
      <w:bookmarkStart w:id="70" w:name="_Toc98655422"/>
      <w:bookmarkStart w:id="71" w:name="_Toc176576630"/>
      <w:bookmarkStart w:id="72" w:name="_Toc142894167"/>
      <w:r>
        <w:rPr>
          <w:rFonts w:hint="eastAsia"/>
          <w:color w:val="000000" w:themeColor="text1"/>
          <w:kern w:val="0"/>
          <w:sz w:val="28"/>
          <w:szCs w:val="28"/>
          <w:highlight w:val="none"/>
        </w:rPr>
        <w:t>（1）</w:t>
      </w:r>
      <w:r>
        <w:rPr>
          <w:color w:val="000000" w:themeColor="text1"/>
          <w:kern w:val="0"/>
          <w:sz w:val="28"/>
          <w:szCs w:val="28"/>
          <w:highlight w:val="none"/>
        </w:rPr>
        <w:t>通过评价找出该企业在日常危化品</w:t>
      </w:r>
      <w:r>
        <w:rPr>
          <w:rFonts w:hint="eastAsia"/>
          <w:color w:val="000000" w:themeColor="text1"/>
          <w:kern w:val="0"/>
          <w:sz w:val="28"/>
          <w:szCs w:val="28"/>
          <w:highlight w:val="none"/>
          <w:lang w:eastAsia="zh-CN"/>
        </w:rPr>
        <w:t>储存和</w:t>
      </w:r>
      <w:r>
        <w:rPr>
          <w:color w:val="000000" w:themeColor="text1"/>
          <w:kern w:val="0"/>
          <w:sz w:val="28"/>
          <w:szCs w:val="28"/>
          <w:highlight w:val="none"/>
        </w:rPr>
        <w:t>使用过程中存在的主要危险有害因素、安全隐患和存在的问题，在此基础上提出相应的对策、建议，为企业危化品使用及日常管理提供依据。</w:t>
      </w:r>
    </w:p>
    <w:p w14:paraId="7ED7D136">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kern w:val="0"/>
          <w:sz w:val="28"/>
          <w:szCs w:val="28"/>
          <w:highlight w:val="none"/>
        </w:rPr>
      </w:pPr>
      <w:r>
        <w:rPr>
          <w:rFonts w:hint="eastAsia"/>
          <w:color w:val="000000" w:themeColor="text1"/>
          <w:kern w:val="0"/>
          <w:sz w:val="28"/>
          <w:szCs w:val="28"/>
          <w:highlight w:val="none"/>
        </w:rPr>
        <w:t>（2</w:t>
      </w:r>
      <w:r>
        <w:rPr>
          <w:color w:val="000000" w:themeColor="text1"/>
          <w:kern w:val="0"/>
          <w:sz w:val="28"/>
          <w:szCs w:val="28"/>
          <w:highlight w:val="none"/>
        </w:rPr>
        <w:t>）为</w:t>
      </w:r>
      <w:r>
        <w:rPr>
          <w:rFonts w:hint="eastAsia"/>
          <w:color w:val="000000" w:themeColor="text1"/>
          <w:kern w:val="0"/>
          <w:sz w:val="28"/>
          <w:szCs w:val="28"/>
          <w:highlight w:val="none"/>
        </w:rPr>
        <w:t>应急管理部门</w:t>
      </w:r>
      <w:r>
        <w:rPr>
          <w:color w:val="000000" w:themeColor="text1"/>
          <w:kern w:val="0"/>
          <w:sz w:val="28"/>
          <w:szCs w:val="28"/>
          <w:highlight w:val="none"/>
        </w:rPr>
        <w:t>实施综合监督管理提供依据</w:t>
      </w:r>
      <w:r>
        <w:rPr>
          <w:rFonts w:hint="eastAsia"/>
          <w:color w:val="000000" w:themeColor="text1"/>
          <w:kern w:val="0"/>
          <w:sz w:val="28"/>
          <w:szCs w:val="28"/>
          <w:highlight w:val="none"/>
        </w:rPr>
        <w:t>。</w:t>
      </w:r>
    </w:p>
    <w:p w14:paraId="2386E23C">
      <w:pPr>
        <w:pStyle w:val="6"/>
        <w:keepNext w:val="0"/>
        <w:keepLines w:val="0"/>
        <w:pageBreakBefore w:val="0"/>
        <w:widowControl w:val="0"/>
        <w:kinsoku/>
        <w:wordWrap/>
        <w:overflowPunct/>
        <w:topLinePunct w:val="0"/>
        <w:autoSpaceDE/>
        <w:autoSpaceDN/>
        <w:bidi w:val="0"/>
        <w:textAlignment w:val="auto"/>
        <w:rPr>
          <w:color w:val="000000" w:themeColor="text1"/>
          <w:highlight w:val="none"/>
        </w:rPr>
      </w:pPr>
      <w:bookmarkStart w:id="73" w:name="_Toc30706"/>
      <w:bookmarkStart w:id="74" w:name="_Toc7635"/>
      <w:bookmarkStart w:id="75" w:name="_Toc31255"/>
      <w:bookmarkStart w:id="76" w:name="_Toc16317"/>
      <w:bookmarkStart w:id="77" w:name="_Toc3774"/>
      <w:bookmarkStart w:id="78" w:name="_Toc9648"/>
      <w:r>
        <w:rPr>
          <w:rFonts w:hint="eastAsia"/>
          <w:color w:val="000000" w:themeColor="text1"/>
          <w:highlight w:val="none"/>
        </w:rPr>
        <w:t xml:space="preserve">1.2 </w:t>
      </w:r>
      <w:r>
        <w:rPr>
          <w:rFonts w:hint="eastAsia"/>
          <w:color w:val="000000" w:themeColor="text1"/>
          <w:sz w:val="28"/>
          <w:szCs w:val="28"/>
          <w:highlight w:val="none"/>
        </w:rPr>
        <w:t>危险化学品使用专项安全</w:t>
      </w:r>
      <w:r>
        <w:rPr>
          <w:rFonts w:hint="eastAsia"/>
          <w:color w:val="000000" w:themeColor="text1"/>
          <w:sz w:val="28"/>
          <w:szCs w:val="28"/>
          <w:highlight w:val="none"/>
          <w:lang w:eastAsia="zh-CN"/>
        </w:rPr>
        <w:t>现状</w:t>
      </w:r>
      <w:r>
        <w:rPr>
          <w:rFonts w:hint="eastAsia"/>
          <w:color w:val="000000" w:themeColor="text1"/>
          <w:highlight w:val="none"/>
        </w:rPr>
        <w:t>评价依据</w:t>
      </w:r>
      <w:bookmarkEnd w:id="62"/>
      <w:bookmarkEnd w:id="63"/>
      <w:bookmarkEnd w:id="73"/>
      <w:bookmarkEnd w:id="74"/>
      <w:bookmarkEnd w:id="75"/>
      <w:bookmarkEnd w:id="76"/>
      <w:bookmarkEnd w:id="77"/>
      <w:bookmarkEnd w:id="78"/>
    </w:p>
    <w:p w14:paraId="406FB22E">
      <w:pPr>
        <w:pStyle w:val="7"/>
        <w:keepNext w:val="0"/>
        <w:keepLines w:val="0"/>
        <w:pageBreakBefore w:val="0"/>
        <w:widowControl w:val="0"/>
        <w:kinsoku/>
        <w:wordWrap/>
        <w:overflowPunct/>
        <w:topLinePunct w:val="0"/>
        <w:autoSpaceDE/>
        <w:autoSpaceDN/>
        <w:bidi w:val="0"/>
        <w:adjustRightInd w:val="0"/>
        <w:snapToGrid w:val="0"/>
        <w:textAlignment w:val="auto"/>
        <w:rPr>
          <w:color w:val="000000" w:themeColor="text1"/>
          <w:highlight w:val="none"/>
        </w:rPr>
      </w:pPr>
      <w:bookmarkStart w:id="79" w:name="_Toc11068"/>
      <w:bookmarkStart w:id="80" w:name="_Toc449456874"/>
      <w:bookmarkStart w:id="81" w:name="_Toc29396"/>
      <w:bookmarkStart w:id="82" w:name="_Toc32097"/>
      <w:bookmarkStart w:id="83" w:name="_Toc449456783"/>
      <w:bookmarkStart w:id="84" w:name="_Toc2310"/>
      <w:bookmarkStart w:id="85" w:name="_Toc10827"/>
      <w:bookmarkStart w:id="86" w:name="_Toc22222"/>
      <w:r>
        <w:rPr>
          <w:rFonts w:hint="eastAsia"/>
          <w:color w:val="000000" w:themeColor="text1"/>
          <w:szCs w:val="28"/>
          <w:highlight w:val="none"/>
        </w:rPr>
        <w:t>1.2.1</w:t>
      </w:r>
      <w:r>
        <w:rPr>
          <w:rFonts w:hint="eastAsia"/>
          <w:color w:val="000000" w:themeColor="text1"/>
          <w:highlight w:val="none"/>
        </w:rPr>
        <w:t xml:space="preserve"> 主要</w:t>
      </w:r>
      <w:r>
        <w:rPr>
          <w:rFonts w:hint="eastAsia"/>
          <w:color w:val="000000" w:themeColor="text1"/>
          <w:highlight w:val="none"/>
          <w:lang w:eastAsia="zh-CN"/>
        </w:rPr>
        <w:t>法律法规</w:t>
      </w:r>
      <w:r>
        <w:rPr>
          <w:rFonts w:hint="eastAsia"/>
          <w:color w:val="000000" w:themeColor="text1"/>
          <w:highlight w:val="none"/>
        </w:rPr>
        <w:t>、规章和规范性文件</w:t>
      </w:r>
      <w:bookmarkEnd w:id="79"/>
      <w:bookmarkEnd w:id="80"/>
      <w:bookmarkEnd w:id="81"/>
      <w:bookmarkEnd w:id="82"/>
      <w:bookmarkEnd w:id="83"/>
      <w:bookmarkEnd w:id="84"/>
      <w:bookmarkEnd w:id="85"/>
      <w:bookmarkEnd w:id="86"/>
    </w:p>
    <w:p w14:paraId="067FC6A1">
      <w:pPr>
        <w:keepNext w:val="0"/>
        <w:keepLines w:val="0"/>
        <w:pageBreakBefore w:val="0"/>
        <w:widowControl w:val="0"/>
        <w:numPr>
          <w:ilvl w:val="0"/>
          <w:numId w:val="1"/>
        </w:numPr>
        <w:tabs>
          <w:tab w:val="left" w:pos="1276"/>
        </w:tabs>
        <w:kinsoku/>
        <w:wordWrap/>
        <w:topLinePunct w:val="0"/>
        <w:bidi w:val="0"/>
        <w:adjustRightInd w:val="0"/>
        <w:snapToGrid w:val="0"/>
        <w:spacing w:line="360" w:lineRule="auto"/>
        <w:ind w:left="0" w:firstLine="560" w:firstLineChars="200"/>
        <w:rPr>
          <w:color w:val="000000" w:themeColor="text1"/>
          <w:sz w:val="28"/>
          <w:szCs w:val="28"/>
          <w:highlight w:val="none"/>
        </w:rPr>
      </w:pPr>
      <w:r>
        <w:rPr>
          <w:color w:val="000000" w:themeColor="text1"/>
          <w:sz w:val="28"/>
          <w:szCs w:val="28"/>
          <w:highlight w:val="none"/>
        </w:rPr>
        <w:t>《中华人民共和国安全生产法》</w:t>
      </w:r>
      <w:r>
        <w:rPr>
          <w:rFonts w:hint="eastAsia" w:ascii="宋体" w:hAnsi="宋体" w:eastAsia="宋体" w:cs="宋体"/>
          <w:color w:val="000000" w:themeColor="text1"/>
          <w:kern w:val="0"/>
          <w:sz w:val="28"/>
          <w:szCs w:val="28"/>
          <w:highlight w:val="none"/>
        </w:rPr>
        <w:t>主席令〔2002〕70号发布，主席令〔2009〕18号、主席令〔2014〕13号、主席令〔2021〕88号修正</w:t>
      </w:r>
    </w:p>
    <w:p w14:paraId="44A44E1F">
      <w:pPr>
        <w:keepNext w:val="0"/>
        <w:keepLines w:val="0"/>
        <w:pageBreakBefore w:val="0"/>
        <w:widowControl w:val="0"/>
        <w:numPr>
          <w:ilvl w:val="0"/>
          <w:numId w:val="1"/>
        </w:numPr>
        <w:tabs>
          <w:tab w:val="left" w:pos="1276"/>
        </w:tabs>
        <w:kinsoku/>
        <w:wordWrap/>
        <w:topLinePunct w:val="0"/>
        <w:bidi w:val="0"/>
        <w:adjustRightInd w:val="0"/>
        <w:snapToGrid w:val="0"/>
        <w:spacing w:line="360" w:lineRule="auto"/>
        <w:ind w:left="0" w:firstLine="560" w:firstLineChars="200"/>
        <w:rPr>
          <w:color w:val="000000" w:themeColor="text1"/>
          <w:sz w:val="28"/>
          <w:szCs w:val="28"/>
          <w:highlight w:val="none"/>
        </w:rPr>
      </w:pPr>
      <w:r>
        <w:rPr>
          <w:color w:val="000000" w:themeColor="text1"/>
          <w:sz w:val="28"/>
          <w:szCs w:val="28"/>
          <w:highlight w:val="none"/>
        </w:rPr>
        <w:t>《中华人民共和国消防法》</w:t>
      </w:r>
      <w:r>
        <w:rPr>
          <w:rFonts w:hint="eastAsia" w:ascii="宋体" w:hAnsi="宋体" w:eastAsia="宋体" w:cs="宋体"/>
          <w:color w:val="000000" w:themeColor="text1"/>
          <w:kern w:val="0"/>
          <w:sz w:val="28"/>
          <w:szCs w:val="28"/>
          <w:highlight w:val="none"/>
        </w:rPr>
        <w:t>主席令</w:t>
      </w:r>
      <w:r>
        <w:rPr>
          <w:rFonts w:hint="eastAsia" w:ascii="宋体" w:hAnsi="宋体"/>
          <w:color w:val="000000" w:themeColor="text1"/>
          <w:sz w:val="28"/>
          <w:szCs w:val="28"/>
          <w:highlight w:val="none"/>
        </w:rPr>
        <w:t>〔</w:t>
      </w:r>
      <w:r>
        <w:rPr>
          <w:rFonts w:hint="eastAsia" w:ascii="宋体" w:hAnsi="宋体" w:eastAsia="宋体" w:cs="宋体"/>
          <w:color w:val="000000" w:themeColor="text1"/>
          <w:kern w:val="0"/>
          <w:sz w:val="28"/>
          <w:szCs w:val="28"/>
          <w:highlight w:val="none"/>
        </w:rPr>
        <w:t>2008</w:t>
      </w:r>
      <w:r>
        <w:rPr>
          <w:rFonts w:hint="eastAsia" w:ascii="宋体" w:hAnsi="宋体"/>
          <w:color w:val="000000" w:themeColor="text1"/>
          <w:sz w:val="28"/>
          <w:szCs w:val="28"/>
          <w:highlight w:val="none"/>
        </w:rPr>
        <w:t>〕</w:t>
      </w:r>
      <w:r>
        <w:rPr>
          <w:rFonts w:hint="eastAsia" w:ascii="宋体" w:hAnsi="宋体" w:eastAsia="宋体" w:cs="宋体"/>
          <w:color w:val="000000" w:themeColor="text1"/>
          <w:kern w:val="0"/>
          <w:sz w:val="28"/>
          <w:szCs w:val="28"/>
          <w:highlight w:val="none"/>
        </w:rPr>
        <w:t>6号</w:t>
      </w:r>
      <w:r>
        <w:rPr>
          <w:rFonts w:hint="eastAsia" w:ascii="宋体" w:hAnsi="宋体" w:cs="宋体"/>
          <w:color w:val="000000" w:themeColor="text1"/>
          <w:kern w:val="0"/>
          <w:sz w:val="28"/>
          <w:szCs w:val="28"/>
          <w:highlight w:val="none"/>
          <w:lang w:eastAsia="zh-CN"/>
        </w:rPr>
        <w:t>发布</w:t>
      </w:r>
      <w:r>
        <w:rPr>
          <w:rFonts w:hint="eastAsia" w:ascii="宋体" w:hAnsi="宋体" w:eastAsia="宋体" w:cs="宋体"/>
          <w:color w:val="000000" w:themeColor="text1"/>
          <w:kern w:val="0"/>
          <w:sz w:val="28"/>
          <w:szCs w:val="28"/>
          <w:highlight w:val="none"/>
        </w:rPr>
        <w:t>，主席令</w:t>
      </w:r>
      <w:r>
        <w:rPr>
          <w:rFonts w:hint="eastAsia" w:ascii="宋体" w:hAnsi="宋体"/>
          <w:color w:val="000000" w:themeColor="text1"/>
          <w:sz w:val="28"/>
          <w:szCs w:val="28"/>
          <w:highlight w:val="none"/>
        </w:rPr>
        <w:t>〔</w:t>
      </w:r>
      <w:r>
        <w:rPr>
          <w:rFonts w:hint="eastAsia" w:ascii="宋体" w:hAnsi="宋体" w:eastAsia="宋体" w:cs="宋体"/>
          <w:color w:val="000000" w:themeColor="text1"/>
          <w:kern w:val="0"/>
          <w:sz w:val="28"/>
          <w:szCs w:val="28"/>
          <w:highlight w:val="none"/>
        </w:rPr>
        <w:t>2019</w:t>
      </w:r>
      <w:r>
        <w:rPr>
          <w:rFonts w:hint="eastAsia" w:ascii="宋体" w:hAnsi="宋体"/>
          <w:color w:val="000000" w:themeColor="text1"/>
          <w:sz w:val="28"/>
          <w:szCs w:val="28"/>
          <w:highlight w:val="none"/>
        </w:rPr>
        <w:t>〕</w:t>
      </w:r>
      <w:r>
        <w:rPr>
          <w:rFonts w:hint="eastAsia" w:ascii="宋体" w:hAnsi="宋体" w:eastAsia="宋体" w:cs="宋体"/>
          <w:color w:val="000000" w:themeColor="text1"/>
          <w:kern w:val="0"/>
          <w:sz w:val="28"/>
          <w:szCs w:val="28"/>
          <w:highlight w:val="none"/>
        </w:rPr>
        <w:t>29号修改，主席令</w:t>
      </w:r>
      <w:r>
        <w:rPr>
          <w:rFonts w:hint="eastAsia" w:ascii="宋体" w:hAnsi="宋体"/>
          <w:color w:val="000000" w:themeColor="text1"/>
          <w:sz w:val="28"/>
          <w:szCs w:val="28"/>
          <w:highlight w:val="none"/>
        </w:rPr>
        <w:t>〔</w:t>
      </w:r>
      <w:r>
        <w:rPr>
          <w:rFonts w:hint="eastAsia" w:ascii="宋体" w:hAnsi="宋体" w:eastAsia="宋体" w:cs="宋体"/>
          <w:color w:val="000000" w:themeColor="text1"/>
          <w:kern w:val="0"/>
          <w:sz w:val="28"/>
          <w:szCs w:val="28"/>
          <w:highlight w:val="none"/>
        </w:rPr>
        <w:t>2021</w:t>
      </w:r>
      <w:r>
        <w:rPr>
          <w:rFonts w:hint="eastAsia" w:ascii="宋体" w:hAnsi="宋体"/>
          <w:color w:val="000000" w:themeColor="text1"/>
          <w:sz w:val="28"/>
          <w:szCs w:val="28"/>
          <w:highlight w:val="none"/>
        </w:rPr>
        <w:t>〕</w:t>
      </w:r>
      <w:r>
        <w:rPr>
          <w:rFonts w:hint="eastAsia" w:ascii="宋体" w:hAnsi="宋体" w:eastAsia="宋体" w:cs="宋体"/>
          <w:color w:val="000000" w:themeColor="text1"/>
          <w:kern w:val="0"/>
          <w:sz w:val="28"/>
          <w:szCs w:val="28"/>
          <w:highlight w:val="none"/>
        </w:rPr>
        <w:t>81号修改</w:t>
      </w:r>
    </w:p>
    <w:p w14:paraId="5A58B1EC">
      <w:pPr>
        <w:keepNext w:val="0"/>
        <w:keepLines w:val="0"/>
        <w:pageBreakBefore w:val="0"/>
        <w:widowControl w:val="0"/>
        <w:numPr>
          <w:ilvl w:val="0"/>
          <w:numId w:val="1"/>
        </w:numPr>
        <w:tabs>
          <w:tab w:val="left" w:pos="1276"/>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《危险化学品安全管理条例》</w:t>
      </w:r>
      <w:r>
        <w:rPr>
          <w:rFonts w:hint="eastAsia" w:ascii="宋体" w:hAnsi="宋体" w:eastAsia="宋体" w:cs="宋体"/>
          <w:color w:val="000000" w:themeColor="text1"/>
          <w:kern w:val="0"/>
          <w:sz w:val="28"/>
          <w:szCs w:val="28"/>
          <w:highlight w:val="none"/>
        </w:rPr>
        <w:t>国务院令〔2011〕第591号，〔2013〕第645号修改</w:t>
      </w:r>
    </w:p>
    <w:p w14:paraId="631BB6CF">
      <w:pPr>
        <w:keepNext w:val="0"/>
        <w:keepLines w:val="0"/>
        <w:pageBreakBefore w:val="0"/>
        <w:widowControl w:val="0"/>
        <w:numPr>
          <w:ilvl w:val="0"/>
          <w:numId w:val="1"/>
        </w:numPr>
        <w:tabs>
          <w:tab w:val="left" w:pos="1276"/>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《生产安全事故应急条例》国务院令第708号</w:t>
      </w:r>
    </w:p>
    <w:p w14:paraId="0450E0E5">
      <w:pPr>
        <w:keepNext w:val="0"/>
        <w:keepLines w:val="0"/>
        <w:pageBreakBefore w:val="0"/>
        <w:widowControl w:val="0"/>
        <w:numPr>
          <w:ilvl w:val="0"/>
          <w:numId w:val="1"/>
        </w:numPr>
        <w:tabs>
          <w:tab w:val="left" w:pos="1276"/>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《使用有毒物品作业场所劳动保护条例》国务院令</w:t>
      </w:r>
      <w:r>
        <w:rPr>
          <w:rFonts w:hint="eastAsia" w:ascii="宋体" w:hAnsi="宋体" w:eastAsia="宋体" w:cs="宋体"/>
          <w:color w:val="000000" w:themeColor="text1"/>
          <w:kern w:val="0"/>
          <w:sz w:val="28"/>
          <w:szCs w:val="28"/>
          <w:highlight w:val="none"/>
        </w:rPr>
        <w:t>〔</w:t>
      </w:r>
      <w:r>
        <w:rPr>
          <w:color w:val="000000" w:themeColor="text1"/>
          <w:sz w:val="28"/>
          <w:szCs w:val="28"/>
          <w:highlight w:val="none"/>
        </w:rPr>
        <w:t>2002</w:t>
      </w:r>
      <w:r>
        <w:rPr>
          <w:rFonts w:hint="eastAsia" w:ascii="宋体" w:hAnsi="宋体" w:eastAsia="宋体" w:cs="宋体"/>
          <w:color w:val="000000" w:themeColor="text1"/>
          <w:kern w:val="0"/>
          <w:sz w:val="28"/>
          <w:szCs w:val="28"/>
          <w:highlight w:val="none"/>
        </w:rPr>
        <w:t>〕</w:t>
      </w:r>
      <w:r>
        <w:rPr>
          <w:color w:val="000000" w:themeColor="text1"/>
          <w:sz w:val="28"/>
          <w:szCs w:val="28"/>
          <w:highlight w:val="none"/>
        </w:rPr>
        <w:t>第352号</w:t>
      </w:r>
    </w:p>
    <w:p w14:paraId="134FAF80">
      <w:pPr>
        <w:keepNext w:val="0"/>
        <w:keepLines w:val="0"/>
        <w:pageBreakBefore w:val="0"/>
        <w:widowControl w:val="0"/>
        <w:numPr>
          <w:ilvl w:val="0"/>
          <w:numId w:val="1"/>
        </w:numPr>
        <w:tabs>
          <w:tab w:val="left" w:pos="1276"/>
        </w:tabs>
        <w:kinsoku/>
        <w:wordWrap/>
        <w:topLinePunct w:val="0"/>
        <w:bidi w:val="0"/>
        <w:adjustRightInd w:val="0"/>
        <w:snapToGrid w:val="0"/>
        <w:spacing w:line="360" w:lineRule="auto"/>
        <w:ind w:left="0" w:firstLine="560" w:firstLineChars="200"/>
        <w:rPr>
          <w:color w:val="000000" w:themeColor="text1"/>
          <w:sz w:val="28"/>
          <w:szCs w:val="28"/>
          <w:highlight w:val="none"/>
        </w:rPr>
      </w:pPr>
      <w:r>
        <w:rPr>
          <w:color w:val="000000" w:themeColor="text1"/>
          <w:sz w:val="28"/>
          <w:szCs w:val="28"/>
          <w:highlight w:val="none"/>
        </w:rPr>
        <w:t>《</w:t>
      </w:r>
      <w:r>
        <w:rPr>
          <w:rFonts w:hint="eastAsia"/>
          <w:color w:val="000000" w:themeColor="text1"/>
          <w:sz w:val="28"/>
          <w:szCs w:val="28"/>
          <w:highlight w:val="none"/>
        </w:rPr>
        <w:t>工伤保险条例</w:t>
      </w:r>
      <w:r>
        <w:rPr>
          <w:color w:val="000000" w:themeColor="text1"/>
          <w:sz w:val="28"/>
          <w:szCs w:val="28"/>
          <w:highlight w:val="none"/>
        </w:rPr>
        <w:t>》国务院令第</w:t>
      </w:r>
      <w:r>
        <w:rPr>
          <w:rFonts w:hint="eastAsia"/>
          <w:color w:val="000000" w:themeColor="text1"/>
          <w:sz w:val="28"/>
          <w:szCs w:val="28"/>
          <w:highlight w:val="none"/>
        </w:rPr>
        <w:t>586</w:t>
      </w:r>
      <w:r>
        <w:rPr>
          <w:color w:val="000000" w:themeColor="text1"/>
          <w:sz w:val="28"/>
          <w:szCs w:val="28"/>
          <w:highlight w:val="none"/>
        </w:rPr>
        <w:t>号</w:t>
      </w:r>
    </w:p>
    <w:p w14:paraId="5D2B7F71">
      <w:pPr>
        <w:keepNext w:val="0"/>
        <w:keepLines w:val="0"/>
        <w:pageBreakBefore w:val="0"/>
        <w:widowControl w:val="0"/>
        <w:numPr>
          <w:ilvl w:val="0"/>
          <w:numId w:val="1"/>
        </w:numPr>
        <w:tabs>
          <w:tab w:val="left" w:pos="1276"/>
          <w:tab w:val="left" w:pos="1418"/>
        </w:tabs>
        <w:kinsoku/>
        <w:wordWrap/>
        <w:overflowPunct/>
        <w:topLinePunct w:val="0"/>
        <w:autoSpaceDE/>
        <w:autoSpaceDN/>
        <w:bidi w:val="0"/>
        <w:adjustRightInd w:val="0"/>
        <w:snapToGrid w:val="0"/>
        <w:spacing w:line="360" w:lineRule="auto"/>
        <w:ind w:left="0" w:firstLine="560" w:firstLineChars="200"/>
        <w:textAlignment w:val="auto"/>
        <w:rPr>
          <w:color w:val="000000" w:themeColor="text1"/>
          <w:sz w:val="28"/>
          <w:szCs w:val="28"/>
          <w:highlight w:val="none"/>
        </w:rPr>
      </w:pPr>
      <w:r>
        <w:rPr>
          <w:color w:val="000000" w:themeColor="text1"/>
          <w:sz w:val="28"/>
          <w:szCs w:val="28"/>
          <w:highlight w:val="none"/>
        </w:rPr>
        <w:t>《</w:t>
      </w:r>
      <w:r>
        <w:rPr>
          <w:rFonts w:hint="eastAsia"/>
          <w:color w:val="000000" w:themeColor="text1"/>
          <w:sz w:val="28"/>
          <w:szCs w:val="28"/>
          <w:highlight w:val="none"/>
        </w:rPr>
        <w:t>易制毒化学品管理条例</w:t>
      </w:r>
      <w:r>
        <w:rPr>
          <w:color w:val="000000" w:themeColor="text1"/>
          <w:sz w:val="28"/>
          <w:szCs w:val="28"/>
          <w:highlight w:val="none"/>
        </w:rPr>
        <w:t>》</w:t>
      </w:r>
      <w:r>
        <w:rPr>
          <w:rFonts w:hint="eastAsia"/>
          <w:color w:val="000000" w:themeColor="text1"/>
          <w:sz w:val="28"/>
          <w:szCs w:val="28"/>
          <w:highlight w:val="none"/>
        </w:rPr>
        <w:t>国务院令</w:t>
      </w:r>
      <w:r>
        <w:rPr>
          <w:rFonts w:hint="eastAsia"/>
          <w:color w:val="000000" w:themeColor="text1"/>
          <w:sz w:val="28"/>
          <w:szCs w:val="28"/>
          <w:highlight w:val="none"/>
          <w:lang w:eastAsia="zh-CN"/>
        </w:rPr>
        <w:t>〔</w:t>
      </w:r>
      <w:r>
        <w:rPr>
          <w:color w:val="000000" w:themeColor="text1"/>
          <w:sz w:val="28"/>
          <w:szCs w:val="28"/>
          <w:highlight w:val="none"/>
        </w:rPr>
        <w:t>2005</w:t>
      </w:r>
      <w:r>
        <w:rPr>
          <w:rFonts w:hint="eastAsia"/>
          <w:color w:val="000000" w:themeColor="text1"/>
          <w:sz w:val="28"/>
          <w:szCs w:val="28"/>
          <w:highlight w:val="none"/>
          <w:lang w:eastAsia="zh-CN"/>
        </w:rPr>
        <w:t>〕</w:t>
      </w:r>
      <w:r>
        <w:rPr>
          <w:rFonts w:hint="eastAsia"/>
          <w:color w:val="000000" w:themeColor="text1"/>
          <w:sz w:val="28"/>
          <w:szCs w:val="28"/>
          <w:highlight w:val="none"/>
        </w:rPr>
        <w:t>第</w:t>
      </w:r>
      <w:r>
        <w:rPr>
          <w:color w:val="000000" w:themeColor="text1"/>
          <w:sz w:val="28"/>
          <w:szCs w:val="28"/>
          <w:highlight w:val="none"/>
        </w:rPr>
        <w:t>445号， 2014年</w:t>
      </w:r>
      <w:r>
        <w:rPr>
          <w:rFonts w:hint="eastAsia"/>
          <w:color w:val="000000" w:themeColor="text1"/>
          <w:sz w:val="28"/>
          <w:szCs w:val="28"/>
          <w:highlight w:val="none"/>
        </w:rPr>
        <w:t>国务院令第</w:t>
      </w:r>
      <w:r>
        <w:rPr>
          <w:color w:val="000000" w:themeColor="text1"/>
          <w:sz w:val="28"/>
          <w:szCs w:val="28"/>
          <w:highlight w:val="none"/>
        </w:rPr>
        <w:t>653号修改，2016</w:t>
      </w:r>
      <w:r>
        <w:rPr>
          <w:rFonts w:hint="eastAsia"/>
          <w:color w:val="000000" w:themeColor="text1"/>
          <w:sz w:val="28"/>
          <w:szCs w:val="28"/>
          <w:highlight w:val="none"/>
        </w:rPr>
        <w:t>年国务院令第</w:t>
      </w:r>
      <w:r>
        <w:rPr>
          <w:color w:val="000000" w:themeColor="text1"/>
          <w:sz w:val="28"/>
          <w:szCs w:val="28"/>
          <w:highlight w:val="none"/>
        </w:rPr>
        <w:t>666</w:t>
      </w:r>
      <w:r>
        <w:rPr>
          <w:rFonts w:hint="eastAsia"/>
          <w:color w:val="000000" w:themeColor="text1"/>
          <w:sz w:val="28"/>
          <w:szCs w:val="28"/>
          <w:highlight w:val="none"/>
        </w:rPr>
        <w:t>号令修改，</w:t>
      </w:r>
      <w:r>
        <w:rPr>
          <w:color w:val="000000" w:themeColor="text1"/>
          <w:sz w:val="28"/>
          <w:szCs w:val="28"/>
          <w:highlight w:val="none"/>
        </w:rPr>
        <w:t>2018年国务院令第703号修改</w:t>
      </w:r>
    </w:p>
    <w:p w14:paraId="52AB0174">
      <w:pPr>
        <w:keepNext w:val="0"/>
        <w:keepLines w:val="0"/>
        <w:pageBreakBefore w:val="0"/>
        <w:widowControl w:val="0"/>
        <w:numPr>
          <w:ilvl w:val="0"/>
          <w:numId w:val="1"/>
        </w:numPr>
        <w:tabs>
          <w:tab w:val="left" w:pos="1276"/>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《工贸企业重大事故隐患判定标准》应急管理部令第10号</w:t>
      </w:r>
    </w:p>
    <w:p w14:paraId="76E415EB">
      <w:pPr>
        <w:keepNext w:val="0"/>
        <w:keepLines w:val="0"/>
        <w:pageBreakBefore w:val="0"/>
        <w:widowControl w:val="0"/>
        <w:numPr>
          <w:ilvl w:val="0"/>
          <w:numId w:val="1"/>
        </w:numPr>
        <w:tabs>
          <w:tab w:val="left" w:pos="1276"/>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《生产安全事故应急预案管理办法》安监总局令〔2016〕88号，应急部令〔2019〕2号修正</w:t>
      </w:r>
    </w:p>
    <w:p w14:paraId="4403F271">
      <w:pPr>
        <w:keepNext w:val="0"/>
        <w:keepLines w:val="0"/>
        <w:pageBreakBefore w:val="0"/>
        <w:widowControl w:val="0"/>
        <w:numPr>
          <w:ilvl w:val="0"/>
          <w:numId w:val="1"/>
        </w:numPr>
        <w:tabs>
          <w:tab w:val="left" w:pos="1276"/>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《特种作业人员安全技术培训考核管理规定》安监总局令〔201</w:t>
      </w:r>
      <w:r>
        <w:rPr>
          <w:rFonts w:hint="eastAsia"/>
          <w:color w:val="000000" w:themeColor="text1"/>
          <w:sz w:val="28"/>
          <w:szCs w:val="28"/>
          <w:highlight w:val="none"/>
          <w:lang w:val="en-US" w:eastAsia="zh-CN"/>
        </w:rPr>
        <w:t>0</w:t>
      </w:r>
      <w:r>
        <w:rPr>
          <w:rFonts w:hint="eastAsia"/>
          <w:color w:val="000000" w:themeColor="text1"/>
          <w:sz w:val="28"/>
          <w:szCs w:val="28"/>
          <w:highlight w:val="none"/>
        </w:rPr>
        <w:t>〕30号</w:t>
      </w:r>
      <w:r>
        <w:rPr>
          <w:rFonts w:hint="eastAsia"/>
          <w:color w:val="000000" w:themeColor="text1"/>
          <w:sz w:val="28"/>
          <w:szCs w:val="28"/>
          <w:highlight w:val="none"/>
          <w:lang w:eastAsia="zh-CN"/>
        </w:rPr>
        <w:t>、</w:t>
      </w:r>
      <w:r>
        <w:rPr>
          <w:rFonts w:hint="eastAsia"/>
          <w:color w:val="000000" w:themeColor="text1"/>
          <w:sz w:val="28"/>
          <w:szCs w:val="28"/>
          <w:highlight w:val="none"/>
        </w:rPr>
        <w:t>安监总局令〔201</w:t>
      </w:r>
      <w:r>
        <w:rPr>
          <w:rFonts w:hint="eastAsia"/>
          <w:color w:val="000000" w:themeColor="text1"/>
          <w:sz w:val="28"/>
          <w:szCs w:val="28"/>
          <w:highlight w:val="none"/>
          <w:lang w:val="en-US" w:eastAsia="zh-CN"/>
        </w:rPr>
        <w:t>3</w:t>
      </w:r>
      <w:r>
        <w:rPr>
          <w:rFonts w:hint="eastAsia"/>
          <w:color w:val="000000" w:themeColor="text1"/>
          <w:sz w:val="28"/>
          <w:szCs w:val="28"/>
          <w:highlight w:val="none"/>
        </w:rPr>
        <w:t>〕63号修正</w:t>
      </w:r>
      <w:r>
        <w:rPr>
          <w:rFonts w:hint="eastAsia"/>
          <w:color w:val="000000" w:themeColor="text1"/>
          <w:sz w:val="28"/>
          <w:szCs w:val="28"/>
          <w:highlight w:val="none"/>
          <w:lang w:eastAsia="zh-CN"/>
        </w:rPr>
        <w:t>、</w:t>
      </w:r>
      <w:r>
        <w:rPr>
          <w:rFonts w:hint="eastAsia"/>
          <w:color w:val="000000" w:themeColor="text1"/>
          <w:sz w:val="28"/>
          <w:szCs w:val="28"/>
          <w:highlight w:val="none"/>
        </w:rPr>
        <w:t>安监总局令〔201</w:t>
      </w:r>
      <w:r>
        <w:rPr>
          <w:rFonts w:hint="eastAsia"/>
          <w:color w:val="000000" w:themeColor="text1"/>
          <w:sz w:val="28"/>
          <w:szCs w:val="28"/>
          <w:highlight w:val="none"/>
          <w:lang w:val="en-US" w:eastAsia="zh-CN"/>
        </w:rPr>
        <w:t>5</w:t>
      </w:r>
      <w:r>
        <w:rPr>
          <w:rFonts w:hint="eastAsia"/>
          <w:color w:val="000000" w:themeColor="text1"/>
          <w:sz w:val="28"/>
          <w:szCs w:val="28"/>
          <w:highlight w:val="none"/>
        </w:rPr>
        <w:t>〕</w:t>
      </w:r>
      <w:r>
        <w:rPr>
          <w:rFonts w:hint="eastAsia" w:ascii="宋体" w:hAnsi="宋体" w:eastAsia="宋体" w:cs="宋体"/>
          <w:b w:val="0"/>
          <w:bCs w:val="0"/>
          <w:i w:val="0"/>
          <w:iCs w:val="0"/>
          <w:caps w:val="0"/>
          <w:color w:val="000000" w:themeColor="text1"/>
          <w:spacing w:val="0"/>
          <w:sz w:val="28"/>
          <w:szCs w:val="28"/>
          <w:highlight w:val="none"/>
          <w:shd w:val="clear"/>
        </w:rPr>
        <w:t>80号</w:t>
      </w:r>
      <w:r>
        <w:rPr>
          <w:rFonts w:hint="eastAsia"/>
          <w:color w:val="000000" w:themeColor="text1"/>
          <w:sz w:val="28"/>
          <w:szCs w:val="28"/>
          <w:highlight w:val="none"/>
        </w:rPr>
        <w:t>修正</w:t>
      </w:r>
    </w:p>
    <w:p w14:paraId="3BB46E0D">
      <w:pPr>
        <w:keepNext w:val="0"/>
        <w:keepLines w:val="0"/>
        <w:pageBreakBefore w:val="0"/>
        <w:widowControl w:val="0"/>
        <w:numPr>
          <w:ilvl w:val="0"/>
          <w:numId w:val="1"/>
        </w:numPr>
        <w:tabs>
          <w:tab w:val="left" w:pos="1276"/>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《生产经营单位安全培训规定》安监总局令〔2006〕3号，安监总局令〔2013〕63号、安监总局令〔2015〕80号修正</w:t>
      </w:r>
    </w:p>
    <w:p w14:paraId="31A5576A">
      <w:pPr>
        <w:keepNext w:val="0"/>
        <w:keepLines w:val="0"/>
        <w:pageBreakBefore w:val="0"/>
        <w:widowControl w:val="0"/>
        <w:numPr>
          <w:ilvl w:val="0"/>
          <w:numId w:val="1"/>
        </w:numPr>
        <w:tabs>
          <w:tab w:val="left" w:pos="1276"/>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color w:val="000000" w:themeColor="text1"/>
          <w:sz w:val="28"/>
          <w:szCs w:val="28"/>
          <w:highlight w:val="none"/>
        </w:rPr>
        <w:t>《</w:t>
      </w:r>
      <w:r>
        <w:rPr>
          <w:rFonts w:hint="eastAsia"/>
          <w:color w:val="000000" w:themeColor="text1"/>
          <w:sz w:val="28"/>
          <w:szCs w:val="28"/>
          <w:highlight w:val="none"/>
        </w:rPr>
        <w:t>安全生产培训管理办法</w:t>
      </w:r>
      <w:r>
        <w:rPr>
          <w:color w:val="000000" w:themeColor="text1"/>
          <w:sz w:val="28"/>
          <w:szCs w:val="28"/>
          <w:highlight w:val="none"/>
        </w:rPr>
        <w:t>》</w:t>
      </w:r>
      <w:r>
        <w:rPr>
          <w:rFonts w:hint="eastAsia"/>
          <w:color w:val="000000" w:themeColor="text1"/>
          <w:sz w:val="28"/>
          <w:szCs w:val="28"/>
          <w:highlight w:val="none"/>
        </w:rPr>
        <w:t>原国家安全生产监督管理总局令</w:t>
      </w:r>
      <w:r>
        <w:rPr>
          <w:color w:val="000000" w:themeColor="text1"/>
          <w:sz w:val="28"/>
          <w:szCs w:val="28"/>
          <w:highlight w:val="none"/>
        </w:rPr>
        <w:t>第</w:t>
      </w:r>
      <w:r>
        <w:rPr>
          <w:rFonts w:hint="eastAsia"/>
          <w:color w:val="000000" w:themeColor="text1"/>
          <w:sz w:val="28"/>
          <w:szCs w:val="28"/>
          <w:highlight w:val="none"/>
        </w:rPr>
        <w:t>44</w:t>
      </w:r>
      <w:r>
        <w:rPr>
          <w:color w:val="000000" w:themeColor="text1"/>
          <w:sz w:val="28"/>
          <w:szCs w:val="28"/>
          <w:highlight w:val="none"/>
        </w:rPr>
        <w:t>号</w:t>
      </w:r>
      <w:r>
        <w:rPr>
          <w:rFonts w:hint="eastAsia"/>
          <w:color w:val="000000" w:themeColor="text1"/>
          <w:sz w:val="28"/>
          <w:szCs w:val="28"/>
          <w:highlight w:val="none"/>
        </w:rPr>
        <w:t>，63号令修改，80号令修改</w:t>
      </w:r>
    </w:p>
    <w:p w14:paraId="6409402D">
      <w:pPr>
        <w:keepNext w:val="0"/>
        <w:keepLines w:val="0"/>
        <w:pageBreakBefore w:val="0"/>
        <w:widowControl w:val="0"/>
        <w:numPr>
          <w:ilvl w:val="0"/>
          <w:numId w:val="1"/>
        </w:numPr>
        <w:tabs>
          <w:tab w:val="left" w:pos="1276"/>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color w:val="000000" w:themeColor="text1"/>
          <w:sz w:val="28"/>
          <w:szCs w:val="28"/>
          <w:highlight w:val="none"/>
        </w:rPr>
        <w:t>《危险化学品目录》（20</w:t>
      </w:r>
      <w:r>
        <w:rPr>
          <w:rFonts w:hint="eastAsia"/>
          <w:color w:val="000000" w:themeColor="text1"/>
          <w:sz w:val="28"/>
          <w:szCs w:val="28"/>
          <w:highlight w:val="none"/>
        </w:rPr>
        <w:t>15</w:t>
      </w:r>
      <w:r>
        <w:rPr>
          <w:color w:val="000000" w:themeColor="text1"/>
          <w:sz w:val="28"/>
          <w:szCs w:val="28"/>
          <w:highlight w:val="none"/>
        </w:rPr>
        <w:t>年版）</w:t>
      </w:r>
      <w:r>
        <w:rPr>
          <w:rFonts w:hint="eastAsia"/>
          <w:color w:val="000000" w:themeColor="text1"/>
          <w:sz w:val="28"/>
          <w:szCs w:val="28"/>
          <w:highlight w:val="none"/>
        </w:rPr>
        <w:t>原</w:t>
      </w:r>
      <w:r>
        <w:rPr>
          <w:color w:val="000000" w:themeColor="text1"/>
          <w:sz w:val="28"/>
          <w:szCs w:val="28"/>
          <w:highlight w:val="none"/>
        </w:rPr>
        <w:t>国家安全生产监督管理局等公告</w:t>
      </w:r>
      <w:r>
        <w:rPr>
          <w:rFonts w:hint="eastAsia"/>
          <w:color w:val="000000" w:themeColor="text1"/>
          <w:sz w:val="28"/>
          <w:szCs w:val="28"/>
          <w:highlight w:val="none"/>
          <w:lang w:eastAsia="zh-CN"/>
        </w:rPr>
        <w:t>〔</w:t>
      </w:r>
      <w:r>
        <w:rPr>
          <w:color w:val="000000" w:themeColor="text1"/>
          <w:sz w:val="28"/>
          <w:szCs w:val="28"/>
          <w:highlight w:val="none"/>
        </w:rPr>
        <w:t>20</w:t>
      </w:r>
      <w:r>
        <w:rPr>
          <w:rFonts w:hint="eastAsia"/>
          <w:color w:val="000000" w:themeColor="text1"/>
          <w:sz w:val="28"/>
          <w:szCs w:val="28"/>
          <w:highlight w:val="none"/>
        </w:rPr>
        <w:t>15</w:t>
      </w:r>
      <w:r>
        <w:rPr>
          <w:rFonts w:hint="eastAsia"/>
          <w:color w:val="000000" w:themeColor="text1"/>
          <w:sz w:val="28"/>
          <w:szCs w:val="28"/>
          <w:highlight w:val="none"/>
          <w:lang w:eastAsia="zh-CN"/>
        </w:rPr>
        <w:t>〕</w:t>
      </w:r>
      <w:r>
        <w:rPr>
          <w:color w:val="000000" w:themeColor="text1"/>
          <w:sz w:val="28"/>
          <w:szCs w:val="28"/>
          <w:highlight w:val="none"/>
        </w:rPr>
        <w:t>第</w:t>
      </w:r>
      <w:r>
        <w:rPr>
          <w:rFonts w:hint="eastAsia"/>
          <w:color w:val="000000" w:themeColor="text1"/>
          <w:sz w:val="28"/>
          <w:szCs w:val="28"/>
          <w:highlight w:val="none"/>
        </w:rPr>
        <w:t>5</w:t>
      </w:r>
      <w:r>
        <w:rPr>
          <w:color w:val="000000" w:themeColor="text1"/>
          <w:sz w:val="28"/>
          <w:szCs w:val="28"/>
          <w:highlight w:val="none"/>
        </w:rPr>
        <w:t>号</w:t>
      </w:r>
      <w:r>
        <w:rPr>
          <w:rFonts w:hint="eastAsia"/>
          <w:color w:val="000000" w:themeColor="text1"/>
          <w:sz w:val="28"/>
          <w:szCs w:val="28"/>
          <w:highlight w:val="none"/>
        </w:rPr>
        <w:t>，十部委公告2022年第8号修改</w:t>
      </w:r>
    </w:p>
    <w:p w14:paraId="39CD0F54">
      <w:pPr>
        <w:keepNext w:val="0"/>
        <w:keepLines w:val="0"/>
        <w:pageBreakBefore w:val="0"/>
        <w:widowControl w:val="0"/>
        <w:numPr>
          <w:ilvl w:val="0"/>
          <w:numId w:val="1"/>
        </w:numPr>
        <w:tabs>
          <w:tab w:val="left" w:pos="1276"/>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color w:val="000000" w:themeColor="text1"/>
          <w:sz w:val="28"/>
          <w:szCs w:val="28"/>
          <w:highlight w:val="none"/>
        </w:rPr>
        <w:t>《易制爆危险化学品名录》（2017年版）公安部公告</w:t>
      </w:r>
    </w:p>
    <w:p w14:paraId="2ADA4652">
      <w:pPr>
        <w:keepNext w:val="0"/>
        <w:keepLines w:val="0"/>
        <w:pageBreakBefore w:val="0"/>
        <w:widowControl w:val="0"/>
        <w:numPr>
          <w:ilvl w:val="0"/>
          <w:numId w:val="1"/>
        </w:numPr>
        <w:tabs>
          <w:tab w:val="left" w:pos="1276"/>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color w:val="000000" w:themeColor="text1"/>
          <w:sz w:val="28"/>
          <w:szCs w:val="28"/>
          <w:highlight w:val="none"/>
        </w:rPr>
        <w:t>《高毒物品目录》卫法监发</w:t>
      </w:r>
      <w:r>
        <w:rPr>
          <w:rFonts w:hint="eastAsia"/>
          <w:color w:val="000000" w:themeColor="text1"/>
          <w:sz w:val="28"/>
          <w:szCs w:val="28"/>
          <w:highlight w:val="none"/>
          <w:lang w:eastAsia="zh-CN"/>
        </w:rPr>
        <w:t>〔</w:t>
      </w:r>
      <w:r>
        <w:rPr>
          <w:color w:val="000000" w:themeColor="text1"/>
          <w:sz w:val="28"/>
          <w:szCs w:val="28"/>
          <w:highlight w:val="none"/>
        </w:rPr>
        <w:t>2003</w:t>
      </w:r>
      <w:r>
        <w:rPr>
          <w:rFonts w:hint="eastAsia"/>
          <w:color w:val="000000" w:themeColor="text1"/>
          <w:sz w:val="28"/>
          <w:szCs w:val="28"/>
          <w:highlight w:val="none"/>
          <w:lang w:eastAsia="zh-CN"/>
        </w:rPr>
        <w:t>〕</w:t>
      </w:r>
      <w:r>
        <w:rPr>
          <w:color w:val="000000" w:themeColor="text1"/>
          <w:sz w:val="28"/>
          <w:szCs w:val="28"/>
          <w:highlight w:val="none"/>
        </w:rPr>
        <w:t>42号</w:t>
      </w:r>
    </w:p>
    <w:p w14:paraId="534286BF">
      <w:pPr>
        <w:keepNext w:val="0"/>
        <w:keepLines w:val="0"/>
        <w:pageBreakBefore w:val="0"/>
        <w:widowControl w:val="0"/>
        <w:numPr>
          <w:ilvl w:val="0"/>
          <w:numId w:val="1"/>
        </w:numPr>
        <w:tabs>
          <w:tab w:val="left" w:pos="1276"/>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color w:val="000000" w:themeColor="text1"/>
          <w:sz w:val="28"/>
          <w:szCs w:val="28"/>
          <w:highlight w:val="none"/>
        </w:rPr>
        <w:t>《各类监控化学品名录》工业和信息化部令</w:t>
      </w:r>
      <w:r>
        <w:rPr>
          <w:rFonts w:hint="eastAsia"/>
          <w:color w:val="000000" w:themeColor="text1"/>
          <w:sz w:val="28"/>
          <w:szCs w:val="28"/>
          <w:highlight w:val="none"/>
          <w:lang w:eastAsia="zh-CN"/>
        </w:rPr>
        <w:t>〔</w:t>
      </w:r>
      <w:r>
        <w:rPr>
          <w:color w:val="000000" w:themeColor="text1"/>
          <w:sz w:val="28"/>
          <w:szCs w:val="28"/>
          <w:highlight w:val="none"/>
        </w:rPr>
        <w:t>2020</w:t>
      </w:r>
      <w:r>
        <w:rPr>
          <w:rFonts w:hint="eastAsia"/>
          <w:color w:val="000000" w:themeColor="text1"/>
          <w:sz w:val="28"/>
          <w:szCs w:val="28"/>
          <w:highlight w:val="none"/>
          <w:lang w:eastAsia="zh-CN"/>
        </w:rPr>
        <w:t>〕</w:t>
      </w:r>
      <w:r>
        <w:rPr>
          <w:color w:val="000000" w:themeColor="text1"/>
          <w:sz w:val="28"/>
          <w:szCs w:val="28"/>
          <w:highlight w:val="none"/>
        </w:rPr>
        <w:t>第52号</w:t>
      </w:r>
    </w:p>
    <w:p w14:paraId="544EB057">
      <w:pPr>
        <w:keepNext w:val="0"/>
        <w:keepLines w:val="0"/>
        <w:pageBreakBefore w:val="0"/>
        <w:widowControl w:val="0"/>
        <w:numPr>
          <w:ilvl w:val="0"/>
          <w:numId w:val="1"/>
        </w:numPr>
        <w:tabs>
          <w:tab w:val="left" w:pos="1276"/>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color w:val="000000" w:themeColor="text1"/>
          <w:sz w:val="28"/>
          <w:szCs w:val="28"/>
          <w:highlight w:val="none"/>
        </w:rPr>
        <w:t>《特别管控危险化学品目录（第一版）》应急管理部、工业和信息化部、公安部、交通运输部公告〔2020〕1号</w:t>
      </w:r>
    </w:p>
    <w:p w14:paraId="6DAED63F">
      <w:pPr>
        <w:keepNext w:val="0"/>
        <w:keepLines w:val="0"/>
        <w:pageBreakBefore w:val="0"/>
        <w:widowControl w:val="0"/>
        <w:numPr>
          <w:ilvl w:val="0"/>
          <w:numId w:val="1"/>
        </w:numPr>
        <w:tabs>
          <w:tab w:val="left" w:pos="1276"/>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color w:val="000000" w:themeColor="text1"/>
          <w:sz w:val="28"/>
          <w:szCs w:val="28"/>
          <w:highlight w:val="none"/>
        </w:rPr>
        <w:t>《国家安全监管总局关于公布首批重点监管的危险化学品名录的通知》安监总管三〔2011〕95号</w:t>
      </w:r>
    </w:p>
    <w:p w14:paraId="7B681BD2">
      <w:pPr>
        <w:keepNext w:val="0"/>
        <w:keepLines w:val="0"/>
        <w:pageBreakBefore w:val="0"/>
        <w:widowControl w:val="0"/>
        <w:numPr>
          <w:ilvl w:val="0"/>
          <w:numId w:val="1"/>
        </w:numPr>
        <w:tabs>
          <w:tab w:val="left" w:pos="1276"/>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color w:val="000000" w:themeColor="text1"/>
          <w:sz w:val="28"/>
          <w:szCs w:val="28"/>
          <w:highlight w:val="none"/>
        </w:rPr>
        <w:t>《国家安全监管总局关于公布第二批重点监管的危险化学品名录的通知》安监总管三〔2013〕12号</w:t>
      </w:r>
    </w:p>
    <w:p w14:paraId="73BA6EAD">
      <w:pPr>
        <w:keepNext w:val="0"/>
        <w:keepLines w:val="0"/>
        <w:pageBreakBefore w:val="0"/>
        <w:widowControl w:val="0"/>
        <w:numPr>
          <w:ilvl w:val="0"/>
          <w:numId w:val="1"/>
        </w:numPr>
        <w:tabs>
          <w:tab w:val="left" w:pos="1560"/>
        </w:tabs>
        <w:kinsoku/>
        <w:wordWrap/>
        <w:overflowPunct/>
        <w:topLinePunct w:val="0"/>
        <w:autoSpaceDE/>
        <w:autoSpaceDN/>
        <w:bidi w:val="0"/>
        <w:adjustRightInd w:val="0"/>
        <w:snapToGrid w:val="0"/>
        <w:spacing w:line="360" w:lineRule="auto"/>
        <w:ind w:left="0" w:firstLine="560" w:firstLineChars="200"/>
        <w:textAlignment w:val="auto"/>
        <w:rPr>
          <w:color w:val="000000" w:themeColor="text1"/>
          <w:sz w:val="28"/>
          <w:szCs w:val="28"/>
          <w:highlight w:val="none"/>
        </w:rPr>
      </w:pPr>
      <w:r>
        <w:rPr>
          <w:rFonts w:hint="eastAsia"/>
          <w:color w:val="000000" w:themeColor="text1"/>
          <w:sz w:val="28"/>
          <w:szCs w:val="28"/>
          <w:highlight w:val="none"/>
        </w:rPr>
        <w:t>《职业病危害因素分类目录》国卫疾控发〔2015〕92号令</w:t>
      </w:r>
    </w:p>
    <w:p w14:paraId="11B0B211">
      <w:pPr>
        <w:keepNext w:val="0"/>
        <w:keepLines w:val="0"/>
        <w:pageBreakBefore w:val="0"/>
        <w:widowControl w:val="0"/>
        <w:numPr>
          <w:ilvl w:val="0"/>
          <w:numId w:val="1"/>
        </w:numPr>
        <w:tabs>
          <w:tab w:val="left" w:pos="1560"/>
        </w:tabs>
        <w:kinsoku/>
        <w:wordWrap/>
        <w:overflowPunct/>
        <w:topLinePunct w:val="0"/>
        <w:autoSpaceDE/>
        <w:autoSpaceDN/>
        <w:bidi w:val="0"/>
        <w:adjustRightInd w:val="0"/>
        <w:snapToGrid w:val="0"/>
        <w:spacing w:line="360" w:lineRule="auto"/>
        <w:ind w:left="0" w:firstLine="560" w:firstLineChars="200"/>
        <w:textAlignment w:val="auto"/>
        <w:rPr>
          <w:color w:val="000000" w:themeColor="text1"/>
          <w:sz w:val="28"/>
          <w:szCs w:val="28"/>
          <w:highlight w:val="none"/>
        </w:rPr>
      </w:pPr>
      <w:r>
        <w:rPr>
          <w:rFonts w:hint="eastAsia"/>
          <w:color w:val="000000" w:themeColor="text1"/>
          <w:sz w:val="28"/>
          <w:szCs w:val="28"/>
          <w:highlight w:val="none"/>
        </w:rPr>
        <w:t>《浙江省安全生产条例》浙江省第十三届人民代表大会常务委员会公告〔2022〕第86号</w:t>
      </w:r>
    </w:p>
    <w:p w14:paraId="1F79356A">
      <w:pPr>
        <w:keepNext w:val="0"/>
        <w:keepLines w:val="0"/>
        <w:pageBreakBefore w:val="0"/>
        <w:widowControl w:val="0"/>
        <w:numPr>
          <w:ilvl w:val="0"/>
          <w:numId w:val="1"/>
        </w:numPr>
        <w:tabs>
          <w:tab w:val="left" w:pos="1560"/>
        </w:tabs>
        <w:kinsoku/>
        <w:wordWrap/>
        <w:overflowPunct/>
        <w:topLinePunct w:val="0"/>
        <w:autoSpaceDE/>
        <w:autoSpaceDN/>
        <w:bidi w:val="0"/>
        <w:adjustRightInd w:val="0"/>
        <w:snapToGrid w:val="0"/>
        <w:spacing w:line="360" w:lineRule="auto"/>
        <w:ind w:left="0" w:firstLine="560" w:firstLineChars="200"/>
        <w:textAlignment w:val="auto"/>
        <w:rPr>
          <w:color w:val="000000" w:themeColor="text1"/>
          <w:sz w:val="28"/>
          <w:szCs w:val="28"/>
          <w:highlight w:val="none"/>
        </w:rPr>
      </w:pPr>
      <w:r>
        <w:rPr>
          <w:rFonts w:hint="eastAsia"/>
          <w:color w:val="000000" w:themeColor="text1"/>
          <w:sz w:val="28"/>
          <w:szCs w:val="28"/>
          <w:highlight w:val="none"/>
        </w:rPr>
        <w:t>《浙江省工贸企业危险化学品使用安全管理指南（试行）》浙应急基础〔</w:t>
      </w:r>
      <w:r>
        <w:rPr>
          <w:color w:val="000000" w:themeColor="text1"/>
          <w:sz w:val="28"/>
          <w:szCs w:val="28"/>
          <w:highlight w:val="none"/>
        </w:rPr>
        <w:t>2020〕75号</w:t>
      </w:r>
    </w:p>
    <w:p w14:paraId="26BE09F1">
      <w:pPr>
        <w:keepNext w:val="0"/>
        <w:keepLines w:val="0"/>
        <w:pageBreakBefore w:val="0"/>
        <w:widowControl w:val="0"/>
        <w:numPr>
          <w:ilvl w:val="0"/>
          <w:numId w:val="1"/>
        </w:numPr>
        <w:tabs>
          <w:tab w:val="left" w:pos="1560"/>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《宁波市使用危险化学品工业企业安全生产基本规范（试行）》甬应急〔2020〕10号</w:t>
      </w:r>
    </w:p>
    <w:p w14:paraId="7CFC9725">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firstLine="560" w:firstLineChars="200"/>
        <w:textAlignment w:val="auto"/>
        <w:rPr>
          <w:color w:val="000000" w:themeColor="text1"/>
          <w:sz w:val="28"/>
          <w:szCs w:val="28"/>
          <w:highlight w:val="none"/>
        </w:rPr>
      </w:pPr>
      <w:r>
        <w:rPr>
          <w:rFonts w:hint="eastAsia"/>
          <w:color w:val="000000" w:themeColor="text1"/>
          <w:sz w:val="28"/>
          <w:szCs w:val="28"/>
          <w:highlight w:val="none"/>
        </w:rPr>
        <w:t>《宁波市使用危险化学品从事生产的企业专项安全评价暂行办法》甬应急〔2020〕9号</w:t>
      </w:r>
    </w:p>
    <w:p w14:paraId="5B085A64">
      <w:pPr>
        <w:pStyle w:val="7"/>
        <w:keepNext w:val="0"/>
        <w:keepLines w:val="0"/>
        <w:pageBreakBefore w:val="0"/>
        <w:widowControl w:val="0"/>
        <w:kinsoku/>
        <w:wordWrap/>
        <w:overflowPunct/>
        <w:topLinePunct w:val="0"/>
        <w:autoSpaceDE/>
        <w:autoSpaceDN/>
        <w:bidi w:val="0"/>
        <w:adjustRightInd w:val="0"/>
        <w:snapToGrid w:val="0"/>
        <w:textAlignment w:val="auto"/>
        <w:rPr>
          <w:color w:val="000000" w:themeColor="text1"/>
          <w:highlight w:val="none"/>
        </w:rPr>
      </w:pPr>
      <w:bookmarkStart w:id="87" w:name="_Toc28143"/>
      <w:bookmarkStart w:id="88" w:name="_Toc4058"/>
      <w:bookmarkStart w:id="89" w:name="_Toc19926"/>
      <w:bookmarkStart w:id="90" w:name="_Toc5802"/>
      <w:bookmarkStart w:id="91" w:name="_Toc449456875"/>
      <w:bookmarkStart w:id="92" w:name="_Toc449456784"/>
      <w:bookmarkStart w:id="93" w:name="_Toc27623"/>
      <w:bookmarkStart w:id="94" w:name="_Toc19014"/>
      <w:r>
        <w:rPr>
          <w:rFonts w:hint="eastAsia"/>
          <w:color w:val="000000" w:themeColor="text1"/>
          <w:szCs w:val="28"/>
          <w:highlight w:val="none"/>
        </w:rPr>
        <w:t>1.</w:t>
      </w:r>
      <w:r>
        <w:rPr>
          <w:rFonts w:hint="eastAsia"/>
          <w:color w:val="000000" w:themeColor="text1"/>
          <w:highlight w:val="none"/>
        </w:rPr>
        <w:t>2</w:t>
      </w:r>
      <w:r>
        <w:rPr>
          <w:color w:val="000000" w:themeColor="text1"/>
          <w:highlight w:val="none"/>
        </w:rPr>
        <w:t>.2</w:t>
      </w:r>
      <w:r>
        <w:rPr>
          <w:rFonts w:hint="eastAsia"/>
          <w:color w:val="000000" w:themeColor="text1"/>
          <w:highlight w:val="none"/>
        </w:rPr>
        <w:t xml:space="preserve"> 主要国家标准和行业标准</w:t>
      </w:r>
      <w:bookmarkEnd w:id="87"/>
      <w:bookmarkEnd w:id="88"/>
      <w:bookmarkEnd w:id="89"/>
      <w:bookmarkEnd w:id="90"/>
      <w:bookmarkEnd w:id="91"/>
      <w:bookmarkEnd w:id="92"/>
      <w:bookmarkEnd w:id="93"/>
      <w:bookmarkEnd w:id="94"/>
    </w:p>
    <w:p w14:paraId="30A51229">
      <w:pPr>
        <w:keepNext w:val="0"/>
        <w:keepLines w:val="0"/>
        <w:pageBreakBefore w:val="0"/>
        <w:widowControl w:val="0"/>
        <w:numPr>
          <w:ilvl w:val="0"/>
          <w:numId w:val="2"/>
        </w:numPr>
        <w:kinsoku/>
        <w:wordWrap/>
        <w:topLinePunct w:val="0"/>
        <w:bidi w:val="0"/>
        <w:adjustRightInd w:val="0"/>
        <w:snapToGrid w:val="0"/>
        <w:spacing w:line="360" w:lineRule="auto"/>
        <w:ind w:left="0" w:firstLine="560" w:firstLineChars="200"/>
        <w:rPr>
          <w:rFonts w:hint="eastAsia"/>
          <w:color w:val="000000" w:themeColor="text1"/>
          <w:sz w:val="28"/>
          <w:szCs w:val="28"/>
          <w:highlight w:val="none"/>
        </w:rPr>
      </w:pPr>
      <w:bookmarkStart w:id="95" w:name="OLE_LINK11"/>
      <w:bookmarkStart w:id="96" w:name="OLE_LINK12"/>
      <w:r>
        <w:rPr>
          <w:rFonts w:hint="eastAsia"/>
          <w:color w:val="000000" w:themeColor="text1"/>
          <w:sz w:val="28"/>
          <w:szCs w:val="28"/>
          <w:highlight w:val="none"/>
        </w:rPr>
        <w:t>《建筑设计防火规范》GB50016-2014（2018版）</w:t>
      </w:r>
    </w:p>
    <w:p w14:paraId="43DB9CF9">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rFonts w:hint="eastAsia"/>
          <w:color w:val="000000" w:themeColor="text1"/>
          <w:sz w:val="28"/>
          <w:szCs w:val="28"/>
          <w:highlight w:val="none"/>
        </w:rPr>
      </w:pPr>
      <w:r>
        <w:rPr>
          <w:rFonts w:hint="eastAsia"/>
          <w:color w:val="000000" w:themeColor="text1"/>
          <w:sz w:val="28"/>
          <w:szCs w:val="28"/>
          <w:highlight w:val="none"/>
        </w:rPr>
        <w:t>《建筑灭火器配置设计规范》GB50140-2005</w:t>
      </w:r>
    </w:p>
    <w:p w14:paraId="699585C7">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rFonts w:hint="eastAsia"/>
          <w:color w:val="000000" w:themeColor="text1"/>
          <w:sz w:val="28"/>
          <w:szCs w:val="28"/>
          <w:highlight w:val="none"/>
        </w:rPr>
      </w:pPr>
      <w:r>
        <w:rPr>
          <w:rFonts w:hint="eastAsia"/>
          <w:color w:val="000000" w:themeColor="text1"/>
          <w:sz w:val="28"/>
          <w:szCs w:val="28"/>
          <w:highlight w:val="none"/>
        </w:rPr>
        <w:t>《消防给水及消火栓系统技术规范》GB50974-2014</w:t>
      </w:r>
    </w:p>
    <w:p w14:paraId="5BBE6D57">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rFonts w:hint="eastAsia"/>
          <w:color w:val="000000" w:themeColor="text1"/>
          <w:sz w:val="28"/>
          <w:szCs w:val="28"/>
          <w:highlight w:val="none"/>
        </w:rPr>
      </w:pPr>
      <w:r>
        <w:rPr>
          <w:rFonts w:hint="eastAsia"/>
          <w:color w:val="000000" w:themeColor="text1"/>
          <w:sz w:val="28"/>
          <w:szCs w:val="28"/>
          <w:highlight w:val="none"/>
        </w:rPr>
        <w:t>《消防设施通用规范》GB55036-2022</w:t>
      </w:r>
    </w:p>
    <w:p w14:paraId="37821F90">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rFonts w:hint="eastAsia"/>
          <w:color w:val="000000" w:themeColor="text1"/>
          <w:sz w:val="28"/>
          <w:szCs w:val="28"/>
          <w:highlight w:val="none"/>
        </w:rPr>
      </w:pPr>
      <w:r>
        <w:rPr>
          <w:rFonts w:hint="eastAsia"/>
          <w:color w:val="000000" w:themeColor="text1"/>
          <w:sz w:val="28"/>
          <w:szCs w:val="28"/>
          <w:highlight w:val="none"/>
        </w:rPr>
        <w:t>《建筑防火通用规范》GB55037-2022</w:t>
      </w:r>
    </w:p>
    <w:p w14:paraId="57E38FCE">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rFonts w:hint="eastAsia"/>
          <w:color w:val="000000" w:themeColor="text1"/>
          <w:sz w:val="28"/>
          <w:szCs w:val="28"/>
          <w:highlight w:val="none"/>
        </w:rPr>
      </w:pPr>
      <w:r>
        <w:rPr>
          <w:rFonts w:hint="eastAsia"/>
          <w:color w:val="000000" w:themeColor="text1"/>
          <w:sz w:val="28"/>
          <w:szCs w:val="28"/>
          <w:highlight w:val="none"/>
        </w:rPr>
        <w:t>《危险化学品仓库储存通则》GB15603-2022</w:t>
      </w:r>
    </w:p>
    <w:p w14:paraId="1EDE22C9">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rFonts w:hint="eastAsia"/>
          <w:color w:val="000000" w:themeColor="text1"/>
          <w:sz w:val="28"/>
          <w:szCs w:val="28"/>
          <w:highlight w:val="none"/>
        </w:rPr>
      </w:pPr>
      <w:r>
        <w:rPr>
          <w:rFonts w:hint="eastAsia"/>
          <w:color w:val="000000" w:themeColor="text1"/>
          <w:sz w:val="28"/>
          <w:szCs w:val="28"/>
          <w:highlight w:val="none"/>
        </w:rPr>
        <w:t>《易燃易爆性商品储存养护技术条件》GB17914-2013</w:t>
      </w:r>
    </w:p>
    <w:p w14:paraId="0958A5AB">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《腐蚀性商品储存养护技术条件》GB17915-2013</w:t>
      </w:r>
    </w:p>
    <w:p w14:paraId="18376DB8">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《工业企业总平面设计规范》GB50187-2012</w:t>
      </w:r>
    </w:p>
    <w:p w14:paraId="679B56F9">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rFonts w:hint="eastAsia"/>
          <w:color w:val="000000" w:themeColor="text1"/>
          <w:sz w:val="28"/>
          <w:szCs w:val="28"/>
          <w:highlight w:val="none"/>
        </w:rPr>
      </w:pPr>
      <w:r>
        <w:rPr>
          <w:rFonts w:hint="eastAsia"/>
          <w:color w:val="000000" w:themeColor="text1"/>
          <w:sz w:val="28"/>
          <w:szCs w:val="28"/>
          <w:highlight w:val="none"/>
        </w:rPr>
        <w:t>《个体防护装备配备规范第1部分：总则》GB39800.1-2020</w:t>
      </w:r>
    </w:p>
    <w:p w14:paraId="1E22D967">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rFonts w:hint="eastAsia"/>
          <w:color w:val="000000" w:themeColor="text1"/>
          <w:sz w:val="28"/>
          <w:szCs w:val="28"/>
          <w:highlight w:val="none"/>
        </w:rPr>
      </w:pPr>
      <w:r>
        <w:rPr>
          <w:rFonts w:hint="eastAsia"/>
          <w:color w:val="000000" w:themeColor="text1"/>
          <w:sz w:val="28"/>
          <w:szCs w:val="28"/>
          <w:highlight w:val="none"/>
        </w:rPr>
        <w:t>《石油化工可燃气体和有毒气体检测报警设计标准》GB/T50493-2019</w:t>
      </w:r>
    </w:p>
    <w:p w14:paraId="33DE3FEA">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rFonts w:hint="eastAsia"/>
          <w:color w:val="000000" w:themeColor="text1"/>
          <w:sz w:val="28"/>
          <w:szCs w:val="28"/>
          <w:highlight w:val="none"/>
        </w:rPr>
      </w:pPr>
      <w:r>
        <w:rPr>
          <w:rFonts w:hint="eastAsia"/>
          <w:color w:val="000000" w:themeColor="text1"/>
          <w:sz w:val="28"/>
          <w:szCs w:val="28"/>
          <w:highlight w:val="none"/>
        </w:rPr>
        <w:t>《爆炸危险环境电力装置设计规范》GB50058-2014</w:t>
      </w:r>
    </w:p>
    <w:p w14:paraId="111FE3CA">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rFonts w:hint="eastAsia"/>
          <w:color w:val="000000" w:themeColor="text1"/>
          <w:sz w:val="28"/>
          <w:szCs w:val="28"/>
          <w:highlight w:val="none"/>
        </w:rPr>
      </w:pPr>
      <w:r>
        <w:rPr>
          <w:rFonts w:hint="eastAsia"/>
          <w:color w:val="000000" w:themeColor="text1"/>
          <w:sz w:val="28"/>
          <w:szCs w:val="28"/>
          <w:highlight w:val="none"/>
        </w:rPr>
        <w:t>《危险场所电气防爆安全规范》AQ3009-2007</w:t>
      </w:r>
    </w:p>
    <w:p w14:paraId="75362018">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color w:val="000000" w:themeColor="text1"/>
          <w:sz w:val="28"/>
          <w:szCs w:val="28"/>
          <w:highlight w:val="none"/>
        </w:rPr>
        <w:t>《</w:t>
      </w:r>
      <w:r>
        <w:rPr>
          <w:rFonts w:hint="eastAsia"/>
          <w:color w:val="000000" w:themeColor="text1"/>
          <w:sz w:val="28"/>
          <w:szCs w:val="28"/>
          <w:highlight w:val="none"/>
        </w:rPr>
        <w:t>危险化学品</w:t>
      </w:r>
      <w:r>
        <w:rPr>
          <w:color w:val="000000" w:themeColor="text1"/>
          <w:sz w:val="28"/>
          <w:szCs w:val="28"/>
          <w:highlight w:val="none"/>
        </w:rPr>
        <w:t>重大危险源辨识》GB18218-20</w:t>
      </w:r>
      <w:r>
        <w:rPr>
          <w:rFonts w:hint="eastAsia"/>
          <w:color w:val="000000" w:themeColor="text1"/>
          <w:sz w:val="28"/>
          <w:szCs w:val="28"/>
          <w:highlight w:val="none"/>
        </w:rPr>
        <w:t>18</w:t>
      </w:r>
    </w:p>
    <w:p w14:paraId="06BB705B">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《企业职工伤亡事故分类》GB6441-1986</w:t>
      </w:r>
    </w:p>
    <w:p w14:paraId="1ED85115">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《职业性接触毒物危害程度分级》</w:t>
      </w:r>
      <w:r>
        <w:rPr>
          <w:color w:val="000000" w:themeColor="text1"/>
          <w:sz w:val="28"/>
          <w:szCs w:val="28"/>
          <w:highlight w:val="none"/>
        </w:rPr>
        <w:t>GB</w:t>
      </w:r>
      <w:r>
        <w:rPr>
          <w:rFonts w:hint="eastAsia"/>
          <w:color w:val="000000" w:themeColor="text1"/>
          <w:sz w:val="28"/>
          <w:szCs w:val="28"/>
          <w:highlight w:val="none"/>
        </w:rPr>
        <w:t>Z230-2010</w:t>
      </w:r>
    </w:p>
    <w:p w14:paraId="2F190377">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《化学品作业场所安全警示标志规范》AQ3047-2013</w:t>
      </w:r>
    </w:p>
    <w:p w14:paraId="45F132B5">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《安全评价过程控制管理规范安全评价报告编制》T/ZAWS001-2022</w:t>
      </w:r>
    </w:p>
    <w:p w14:paraId="7087F202">
      <w:pPr>
        <w:keepNext w:val="0"/>
        <w:keepLines w:val="0"/>
        <w:pageBreakBefore w:val="0"/>
        <w:widowControl w:val="0"/>
        <w:numPr>
          <w:ilvl w:val="0"/>
          <w:numId w:val="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《安全评价通则》AQ8001-2007</w:t>
      </w:r>
    </w:p>
    <w:bookmarkEnd w:id="95"/>
    <w:bookmarkEnd w:id="96"/>
    <w:p w14:paraId="2DA539A4">
      <w:pPr>
        <w:pStyle w:val="7"/>
        <w:keepNext w:val="0"/>
        <w:keepLines w:val="0"/>
        <w:pageBreakBefore w:val="0"/>
        <w:widowControl w:val="0"/>
        <w:kinsoku/>
        <w:wordWrap/>
        <w:overflowPunct/>
        <w:topLinePunct w:val="0"/>
        <w:autoSpaceDE/>
        <w:autoSpaceDN/>
        <w:bidi w:val="0"/>
        <w:adjustRightInd w:val="0"/>
        <w:snapToGrid w:val="0"/>
        <w:textAlignment w:val="auto"/>
        <w:rPr>
          <w:color w:val="000000" w:themeColor="text1"/>
          <w:highlight w:val="none"/>
        </w:rPr>
      </w:pPr>
      <w:bookmarkStart w:id="97" w:name="_Toc9889"/>
      <w:bookmarkStart w:id="98" w:name="_Toc449456876"/>
      <w:bookmarkStart w:id="99" w:name="_Toc25230"/>
      <w:bookmarkStart w:id="100" w:name="_Toc6671"/>
      <w:bookmarkStart w:id="101" w:name="_Toc449456785"/>
      <w:bookmarkStart w:id="102" w:name="_Toc109799923"/>
      <w:bookmarkStart w:id="103" w:name="_Toc1626"/>
      <w:bookmarkStart w:id="104" w:name="_Toc21683"/>
      <w:bookmarkStart w:id="105" w:name="_Toc10391"/>
      <w:r>
        <w:rPr>
          <w:color w:val="000000" w:themeColor="text1"/>
          <w:highlight w:val="none"/>
        </w:rPr>
        <w:t>1.2.3 有关技术文件、资料</w:t>
      </w:r>
      <w:bookmarkEnd w:id="97"/>
      <w:bookmarkEnd w:id="98"/>
      <w:bookmarkEnd w:id="99"/>
      <w:bookmarkEnd w:id="100"/>
      <w:bookmarkEnd w:id="101"/>
      <w:bookmarkEnd w:id="102"/>
      <w:bookmarkEnd w:id="103"/>
      <w:bookmarkEnd w:id="104"/>
      <w:bookmarkEnd w:id="105"/>
    </w:p>
    <w:p w14:paraId="516FA611">
      <w:pPr>
        <w:keepNext w:val="0"/>
        <w:keepLines w:val="0"/>
        <w:pageBreakBefore w:val="0"/>
        <w:widowControl w:val="0"/>
        <w:numPr>
          <w:ilvl w:val="0"/>
          <w:numId w:val="3"/>
        </w:numPr>
        <w:kinsoku/>
        <w:wordWrap/>
        <w:topLinePunct w:val="0"/>
        <w:autoSpaceDE/>
        <w:autoSpaceDN/>
        <w:bidi w:val="0"/>
        <w:adjustRightInd w:val="0"/>
        <w:snapToGrid w:val="0"/>
        <w:spacing w:line="360" w:lineRule="auto"/>
        <w:ind w:left="0" w:firstLine="560" w:firstLineChars="200"/>
        <w:rPr>
          <w:color w:val="000000" w:themeColor="text1"/>
          <w:sz w:val="28"/>
          <w:highlight w:val="none"/>
        </w:rPr>
      </w:pPr>
      <w:r>
        <w:rPr>
          <w:rFonts w:hint="eastAsia"/>
          <w:color w:val="000000" w:themeColor="text1"/>
          <w:sz w:val="28"/>
          <w:szCs w:val="28"/>
          <w:highlight w:val="none"/>
          <w:lang w:eastAsia="zh-CN"/>
        </w:rPr>
        <w:t>山东实华安全技术有限公司</w:t>
      </w:r>
      <w:r>
        <w:rPr>
          <w:color w:val="000000" w:themeColor="text1"/>
          <w:sz w:val="28"/>
          <w:highlight w:val="none"/>
        </w:rPr>
        <w:t>与</w:t>
      </w:r>
      <w:r>
        <w:rPr>
          <w:rFonts w:hint="eastAsia"/>
          <w:color w:val="000000" w:themeColor="text1"/>
          <w:sz w:val="28"/>
          <w:highlight w:val="none"/>
        </w:rPr>
        <w:t>华美线业</w:t>
      </w:r>
      <w:r>
        <w:rPr>
          <w:color w:val="000000" w:themeColor="text1"/>
          <w:sz w:val="28"/>
          <w:highlight w:val="none"/>
        </w:rPr>
        <w:t>签订的安全技术服务合同</w:t>
      </w:r>
      <w:r>
        <w:rPr>
          <w:rFonts w:hint="eastAsia"/>
          <w:color w:val="000000" w:themeColor="text1"/>
          <w:sz w:val="28"/>
          <w:highlight w:val="none"/>
        </w:rPr>
        <w:t>。</w:t>
      </w:r>
    </w:p>
    <w:p w14:paraId="20347990">
      <w:pPr>
        <w:keepNext w:val="0"/>
        <w:keepLines w:val="0"/>
        <w:pageBreakBefore w:val="0"/>
        <w:widowControl w:val="0"/>
        <w:numPr>
          <w:ilvl w:val="0"/>
          <w:numId w:val="3"/>
        </w:numPr>
        <w:kinsoku/>
        <w:wordWrap/>
        <w:topLinePunct w:val="0"/>
        <w:autoSpaceDE w:val="0"/>
        <w:autoSpaceDN w:val="0"/>
        <w:bidi w:val="0"/>
        <w:adjustRightInd w:val="0"/>
        <w:snapToGrid w:val="0"/>
        <w:spacing w:line="360" w:lineRule="auto"/>
        <w:ind w:left="0" w:firstLine="560" w:firstLineChars="200"/>
        <w:rPr>
          <w:color w:val="000000" w:themeColor="text1"/>
          <w:sz w:val="28"/>
          <w:highlight w:val="none"/>
        </w:rPr>
      </w:pPr>
      <w:r>
        <w:rPr>
          <w:rFonts w:hint="eastAsia"/>
          <w:color w:val="000000" w:themeColor="text1"/>
          <w:sz w:val="28"/>
          <w:highlight w:val="none"/>
        </w:rPr>
        <w:t>华美线业提供的相关基础资料。</w:t>
      </w:r>
    </w:p>
    <w:p w14:paraId="742639E5">
      <w:pPr>
        <w:pStyle w:val="6"/>
        <w:keepNext w:val="0"/>
        <w:keepLines w:val="0"/>
        <w:pageBreakBefore w:val="0"/>
        <w:widowControl w:val="0"/>
        <w:kinsoku/>
        <w:wordWrap/>
        <w:overflowPunct/>
        <w:topLinePunct w:val="0"/>
        <w:autoSpaceDE/>
        <w:autoSpaceDN/>
        <w:bidi w:val="0"/>
        <w:adjustRightInd w:val="0"/>
        <w:snapToGrid w:val="0"/>
        <w:textAlignment w:val="auto"/>
        <w:rPr>
          <w:color w:val="000000" w:themeColor="text1"/>
          <w:highlight w:val="none"/>
        </w:rPr>
      </w:pPr>
      <w:bookmarkStart w:id="106" w:name="_Toc234394466"/>
      <w:bookmarkStart w:id="107" w:name="_Toc190762529"/>
      <w:bookmarkStart w:id="108" w:name="_Toc198521455"/>
      <w:bookmarkStart w:id="109" w:name="_Toc198457527"/>
      <w:bookmarkStart w:id="110" w:name="_Toc449456786"/>
      <w:bookmarkStart w:id="111" w:name="_Toc28086"/>
      <w:bookmarkStart w:id="112" w:name="_Toc6642"/>
      <w:bookmarkStart w:id="113" w:name="_Toc449456877"/>
      <w:bookmarkStart w:id="114" w:name="_Toc21924"/>
      <w:bookmarkStart w:id="115" w:name="_Toc9114"/>
      <w:bookmarkStart w:id="116" w:name="_Toc16523"/>
      <w:bookmarkStart w:id="117" w:name="_Toc15331"/>
      <w:r>
        <w:rPr>
          <w:rFonts w:hint="eastAsia"/>
          <w:color w:val="000000" w:themeColor="text1"/>
          <w:highlight w:val="none"/>
        </w:rPr>
        <w:t xml:space="preserve">1.3 </w:t>
      </w:r>
      <w:bookmarkEnd w:id="64"/>
      <w:bookmarkEnd w:id="65"/>
      <w:bookmarkEnd w:id="66"/>
      <w:bookmarkEnd w:id="67"/>
      <w:bookmarkEnd w:id="68"/>
      <w:bookmarkEnd w:id="69"/>
      <w:bookmarkEnd w:id="70"/>
      <w:bookmarkEnd w:id="71"/>
      <w:bookmarkEnd w:id="72"/>
      <w:bookmarkEnd w:id="106"/>
      <w:bookmarkEnd w:id="107"/>
      <w:bookmarkEnd w:id="108"/>
      <w:bookmarkEnd w:id="109"/>
      <w:r>
        <w:rPr>
          <w:rFonts w:hint="eastAsia"/>
          <w:color w:val="000000" w:themeColor="text1"/>
          <w:highlight w:val="none"/>
        </w:rPr>
        <w:t>评价原则</w:t>
      </w:r>
      <w:bookmarkEnd w:id="110"/>
      <w:bookmarkEnd w:id="111"/>
      <w:bookmarkEnd w:id="112"/>
      <w:bookmarkEnd w:id="113"/>
      <w:bookmarkEnd w:id="114"/>
      <w:bookmarkEnd w:id="115"/>
      <w:bookmarkEnd w:id="116"/>
      <w:bookmarkEnd w:id="117"/>
    </w:p>
    <w:p w14:paraId="41FA9EA5">
      <w:pPr>
        <w:keepNext w:val="0"/>
        <w:keepLines w:val="0"/>
        <w:pageBreakBefore w:val="0"/>
        <w:widowControl w:val="0"/>
        <w:kinsoku/>
        <w:wordWrap/>
        <w:topLinePunct w:val="0"/>
        <w:autoSpaceDE w:val="0"/>
        <w:autoSpaceDN w:val="0"/>
        <w:bidi w:val="0"/>
        <w:adjustRightInd w:val="0"/>
        <w:snapToGrid w:val="0"/>
        <w:spacing w:line="360" w:lineRule="auto"/>
        <w:ind w:firstLine="560" w:firstLineChars="200"/>
        <w:rPr>
          <w:color w:val="000000" w:themeColor="text1"/>
          <w:sz w:val="28"/>
          <w:highlight w:val="none"/>
        </w:rPr>
      </w:pPr>
      <w:bookmarkStart w:id="118" w:name="_Toc190762530"/>
      <w:bookmarkStart w:id="119" w:name="_Toc151792109"/>
      <w:bookmarkStart w:id="120" w:name="_Toc161042264"/>
      <w:bookmarkStart w:id="121" w:name="_Toc186273621"/>
      <w:bookmarkStart w:id="122" w:name="_Toc176576634"/>
      <w:bookmarkStart w:id="123" w:name="_Toc150849422"/>
      <w:bookmarkStart w:id="124" w:name="_Toc160859585"/>
      <w:bookmarkStart w:id="125" w:name="_Toc86222222"/>
      <w:bookmarkStart w:id="126" w:name="_Toc86806659"/>
      <w:r>
        <w:rPr>
          <w:color w:val="000000" w:themeColor="text1"/>
          <w:sz w:val="28"/>
          <w:highlight w:val="none"/>
        </w:rPr>
        <w:t>（</w:t>
      </w:r>
      <w:r>
        <w:rPr>
          <w:rFonts w:hint="eastAsia"/>
          <w:color w:val="000000" w:themeColor="text1"/>
          <w:sz w:val="28"/>
          <w:highlight w:val="none"/>
        </w:rPr>
        <w:t>1</w:t>
      </w:r>
      <w:r>
        <w:rPr>
          <w:color w:val="000000" w:themeColor="text1"/>
          <w:sz w:val="28"/>
          <w:highlight w:val="none"/>
        </w:rPr>
        <w:t>）严格执行国家、地方与行业有关的法律法规和标准，保证</w:t>
      </w:r>
      <w:r>
        <w:rPr>
          <w:rFonts w:hint="eastAsia"/>
          <w:color w:val="000000" w:themeColor="text1"/>
          <w:sz w:val="28"/>
          <w:highlight w:val="none"/>
        </w:rPr>
        <w:t>评价</w:t>
      </w:r>
      <w:r>
        <w:rPr>
          <w:color w:val="000000" w:themeColor="text1"/>
          <w:sz w:val="28"/>
          <w:highlight w:val="none"/>
        </w:rPr>
        <w:t>的科学性、公正性、合法性、针对性与权威性。</w:t>
      </w:r>
    </w:p>
    <w:p w14:paraId="6F012F4E">
      <w:pPr>
        <w:keepNext w:val="0"/>
        <w:keepLines w:val="0"/>
        <w:pageBreakBefore w:val="0"/>
        <w:widowControl w:val="0"/>
        <w:kinsoku/>
        <w:wordWrap/>
        <w:topLinePunct w:val="0"/>
        <w:autoSpaceDE w:val="0"/>
        <w:autoSpaceDN w:val="0"/>
        <w:bidi w:val="0"/>
        <w:adjustRightInd w:val="0"/>
        <w:snapToGrid w:val="0"/>
        <w:spacing w:line="360" w:lineRule="auto"/>
        <w:ind w:firstLine="560" w:firstLineChars="200"/>
        <w:rPr>
          <w:color w:val="000000" w:themeColor="text1"/>
          <w:sz w:val="28"/>
          <w:highlight w:val="none"/>
        </w:rPr>
      </w:pPr>
      <w:r>
        <w:rPr>
          <w:color w:val="000000" w:themeColor="text1"/>
          <w:sz w:val="28"/>
          <w:highlight w:val="none"/>
        </w:rPr>
        <w:t>（</w:t>
      </w:r>
      <w:r>
        <w:rPr>
          <w:rFonts w:hint="eastAsia"/>
          <w:color w:val="000000" w:themeColor="text1"/>
          <w:sz w:val="28"/>
          <w:highlight w:val="none"/>
        </w:rPr>
        <w:t>2</w:t>
      </w:r>
      <w:r>
        <w:rPr>
          <w:color w:val="000000" w:themeColor="text1"/>
          <w:sz w:val="28"/>
          <w:highlight w:val="none"/>
        </w:rPr>
        <w:t>）采用可靠、适用的</w:t>
      </w:r>
      <w:r>
        <w:rPr>
          <w:rFonts w:hint="eastAsia"/>
          <w:color w:val="000000" w:themeColor="text1"/>
          <w:sz w:val="28"/>
          <w:highlight w:val="none"/>
        </w:rPr>
        <w:t>评价</w:t>
      </w:r>
      <w:r>
        <w:rPr>
          <w:color w:val="000000" w:themeColor="text1"/>
          <w:sz w:val="28"/>
          <w:highlight w:val="none"/>
        </w:rPr>
        <w:t>技术，确保</w:t>
      </w:r>
      <w:r>
        <w:rPr>
          <w:rFonts w:hint="eastAsia"/>
          <w:color w:val="000000" w:themeColor="text1"/>
          <w:sz w:val="28"/>
          <w:highlight w:val="none"/>
        </w:rPr>
        <w:t>评价</w:t>
      </w:r>
      <w:r>
        <w:rPr>
          <w:color w:val="000000" w:themeColor="text1"/>
          <w:sz w:val="28"/>
          <w:highlight w:val="none"/>
        </w:rPr>
        <w:t>质量，突出重点。</w:t>
      </w:r>
    </w:p>
    <w:bookmarkEnd w:id="118"/>
    <w:p w14:paraId="67B551A0">
      <w:pPr>
        <w:pStyle w:val="6"/>
        <w:keepNext w:val="0"/>
        <w:keepLines w:val="0"/>
        <w:pageBreakBefore w:val="0"/>
        <w:widowControl w:val="0"/>
        <w:kinsoku/>
        <w:wordWrap/>
        <w:overflowPunct/>
        <w:topLinePunct w:val="0"/>
        <w:autoSpaceDE/>
        <w:autoSpaceDN/>
        <w:bidi w:val="0"/>
        <w:adjustRightInd w:val="0"/>
        <w:snapToGrid w:val="0"/>
        <w:textAlignment w:val="auto"/>
        <w:rPr>
          <w:color w:val="000000" w:themeColor="text1"/>
          <w:highlight w:val="none"/>
        </w:rPr>
      </w:pPr>
      <w:bookmarkStart w:id="127" w:name="_Toc5156"/>
      <w:bookmarkStart w:id="128" w:name="_Toc18545"/>
      <w:bookmarkStart w:id="129" w:name="_Toc198521456"/>
      <w:bookmarkStart w:id="130" w:name="_Toc449456787"/>
      <w:bookmarkStart w:id="131" w:name="_Toc198457528"/>
      <w:bookmarkStart w:id="132" w:name="_Toc19204"/>
      <w:bookmarkStart w:id="133" w:name="_Toc234394467"/>
      <w:bookmarkStart w:id="134" w:name="_Toc1747"/>
      <w:bookmarkStart w:id="135" w:name="_Toc190762532"/>
      <w:bookmarkStart w:id="136" w:name="_Toc29468"/>
      <w:bookmarkStart w:id="137" w:name="_Toc449456878"/>
      <w:bookmarkStart w:id="138" w:name="_Toc11766"/>
      <w:r>
        <w:rPr>
          <w:color w:val="000000" w:themeColor="text1"/>
          <w:highlight w:val="none"/>
        </w:rPr>
        <w:t>1.</w:t>
      </w:r>
      <w:r>
        <w:rPr>
          <w:rFonts w:hint="eastAsia"/>
          <w:color w:val="000000" w:themeColor="text1"/>
          <w:highlight w:val="none"/>
        </w:rPr>
        <w:t xml:space="preserve">4 </w:t>
      </w:r>
      <w:bookmarkEnd w:id="119"/>
      <w:bookmarkEnd w:id="120"/>
      <w:bookmarkEnd w:id="121"/>
      <w:bookmarkEnd w:id="122"/>
      <w:bookmarkEnd w:id="123"/>
      <w:bookmarkEnd w:id="124"/>
      <w:r>
        <w:rPr>
          <w:rFonts w:hint="eastAsia"/>
          <w:color w:val="000000" w:themeColor="text1"/>
          <w:highlight w:val="none"/>
        </w:rPr>
        <w:t>评价</w:t>
      </w:r>
      <w:r>
        <w:rPr>
          <w:rFonts w:hint="eastAsia"/>
          <w:color w:val="000000" w:themeColor="text1"/>
          <w:szCs w:val="28"/>
          <w:highlight w:val="none"/>
        </w:rPr>
        <w:t>范围</w:t>
      </w:r>
      <w:bookmarkEnd w:id="127"/>
      <w:bookmarkEnd w:id="128"/>
      <w:bookmarkEnd w:id="129"/>
      <w:bookmarkEnd w:id="130"/>
      <w:bookmarkEnd w:id="131"/>
      <w:bookmarkEnd w:id="132"/>
      <w:bookmarkEnd w:id="133"/>
      <w:bookmarkEnd w:id="134"/>
      <w:bookmarkEnd w:id="135"/>
      <w:bookmarkEnd w:id="136"/>
      <w:bookmarkEnd w:id="137"/>
      <w:bookmarkEnd w:id="138"/>
    </w:p>
    <w:p w14:paraId="479FCA84">
      <w:pPr>
        <w:keepNext w:val="0"/>
        <w:keepLines w:val="0"/>
        <w:pageBreakBefore w:val="0"/>
        <w:widowControl w:val="0"/>
        <w:kinsoku/>
        <w:wordWrap/>
        <w:topLinePunct w:val="0"/>
        <w:bidi w:val="0"/>
        <w:adjustRightInd w:val="0"/>
        <w:snapToGrid w:val="0"/>
        <w:spacing w:line="360" w:lineRule="auto"/>
        <w:ind w:firstLine="560" w:firstLineChars="200"/>
        <w:rPr>
          <w:rFonts w:hint="eastAsia"/>
          <w:color w:val="000000" w:themeColor="text1"/>
          <w:kern w:val="0"/>
          <w:sz w:val="28"/>
          <w:szCs w:val="28"/>
          <w:highlight w:val="none"/>
        </w:rPr>
      </w:pPr>
      <w:bookmarkStart w:id="139" w:name="_Toc498075556"/>
      <w:bookmarkStart w:id="140" w:name="_Toc60846571"/>
      <w:bookmarkStart w:id="141" w:name="_Toc234394468"/>
      <w:bookmarkStart w:id="142" w:name="_Toc198521457"/>
      <w:bookmarkStart w:id="143" w:name="_Toc190762533"/>
      <w:bookmarkStart w:id="144" w:name="_Toc449456879"/>
      <w:bookmarkStart w:id="145" w:name="_Toc449456788"/>
      <w:bookmarkStart w:id="146" w:name="_Toc198457529"/>
      <w:r>
        <w:rPr>
          <w:color w:val="000000" w:themeColor="text1"/>
          <w:kern w:val="0"/>
          <w:sz w:val="28"/>
          <w:szCs w:val="28"/>
          <w:highlight w:val="none"/>
        </w:rPr>
        <w:t>本</w:t>
      </w:r>
      <w:r>
        <w:rPr>
          <w:rFonts w:hint="eastAsia"/>
          <w:color w:val="000000" w:themeColor="text1"/>
          <w:sz w:val="28"/>
          <w:highlight w:val="none"/>
        </w:rPr>
        <w:t>专项</w:t>
      </w:r>
      <w:r>
        <w:rPr>
          <w:rFonts w:hint="eastAsia"/>
          <w:color w:val="000000" w:themeColor="text1"/>
          <w:sz w:val="28"/>
          <w:highlight w:val="none"/>
          <w:lang w:eastAsia="zh-CN"/>
        </w:rPr>
        <w:t>安全现状</w:t>
      </w:r>
      <w:r>
        <w:rPr>
          <w:color w:val="000000" w:themeColor="text1"/>
          <w:kern w:val="0"/>
          <w:sz w:val="28"/>
          <w:szCs w:val="28"/>
          <w:highlight w:val="none"/>
        </w:rPr>
        <w:t>评价范围</w:t>
      </w:r>
      <w:r>
        <w:rPr>
          <w:rFonts w:hint="eastAsia"/>
          <w:color w:val="000000" w:themeColor="text1"/>
          <w:kern w:val="0"/>
          <w:sz w:val="28"/>
          <w:szCs w:val="28"/>
          <w:highlight w:val="none"/>
        </w:rPr>
        <w:t>见下表。</w:t>
      </w:r>
    </w:p>
    <w:bookmarkEnd w:id="139"/>
    <w:bookmarkEnd w:id="140"/>
    <w:p w14:paraId="58CBE350">
      <w:pPr>
        <w:pStyle w:val="18"/>
        <w:keepNext w:val="0"/>
        <w:keepLines w:val="0"/>
        <w:pageBreakBefore w:val="0"/>
        <w:widowControl w:val="0"/>
        <w:kinsoku/>
        <w:wordWrap/>
        <w:topLinePunct w:val="0"/>
        <w:bidi w:val="0"/>
        <w:adjustRightInd w:val="0"/>
        <w:snapToGrid w:val="0"/>
        <w:spacing w:line="360" w:lineRule="auto"/>
        <w:jc w:val="center"/>
        <w:rPr>
          <w:rFonts w:ascii="黑体" w:hAnsi="黑体" w:eastAsia="黑体" w:cs="黑体"/>
          <w:b/>
          <w:bCs/>
          <w:color w:val="000000" w:themeColor="text1"/>
          <w:kern w:val="0"/>
          <w:sz w:val="24"/>
          <w:szCs w:val="24"/>
          <w:highlight w:val="none"/>
        </w:rPr>
      </w:pPr>
      <w:r>
        <w:rPr>
          <w:rFonts w:hint="eastAsia" w:ascii="黑体" w:hAnsi="黑体" w:cs="黑体"/>
          <w:b/>
          <w:bCs/>
          <w:color w:val="000000" w:themeColor="text1"/>
          <w:sz w:val="24"/>
          <w:highlight w:val="none"/>
          <w:lang w:eastAsia="zh-CN"/>
        </w:rPr>
        <w:t>表</w:t>
      </w:r>
      <w:r>
        <w:rPr>
          <w:rFonts w:hint="eastAsia" w:ascii="黑体" w:hAnsi="黑体" w:cs="黑体"/>
          <w:b/>
          <w:bCs/>
          <w:color w:val="000000" w:themeColor="text1"/>
          <w:sz w:val="24"/>
          <w:highlight w:val="none"/>
          <w:lang w:val="en-US" w:eastAsia="zh-CN"/>
        </w:rPr>
        <w:t xml:space="preserve">1.4-1 </w:t>
      </w:r>
      <w:r>
        <w:rPr>
          <w:rFonts w:hint="eastAsia" w:ascii="黑体" w:hAnsi="黑体" w:eastAsia="黑体" w:cs="黑体"/>
          <w:b/>
          <w:bCs/>
          <w:color w:val="000000" w:themeColor="text1"/>
          <w:kern w:val="0"/>
          <w:sz w:val="24"/>
          <w:szCs w:val="24"/>
          <w:highlight w:val="none"/>
        </w:rPr>
        <w:t>安全评价范围一览表</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9"/>
        <w:gridCol w:w="2115"/>
        <w:gridCol w:w="2310"/>
        <w:gridCol w:w="3645"/>
        <w:gridCol w:w="722"/>
      </w:tblGrid>
      <w:tr w14:paraId="0D978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noWrap/>
            <w:vAlign w:val="center"/>
          </w:tcPr>
          <w:p w14:paraId="2A238511">
            <w:pPr>
              <w:keepNext w:val="0"/>
              <w:keepLines w:val="0"/>
              <w:pageBreakBefore w:val="0"/>
              <w:widowControl w:val="0"/>
              <w:kinsoku/>
              <w:wordWrap/>
              <w:topLinePunct w:val="0"/>
              <w:bidi w:val="0"/>
              <w:adjustRightInd w:val="0"/>
              <w:snapToGrid w:val="0"/>
              <w:jc w:val="center"/>
              <w:rPr>
                <w:rFonts w:ascii="宋体" w:hAnsi="宋体" w:cs="宋体"/>
                <w:b/>
                <w:bCs/>
                <w:color w:val="000000" w:themeColor="text1"/>
                <w:kern w:val="0"/>
                <w:sz w:val="21"/>
                <w:szCs w:val="21"/>
                <w:highlight w:val="none"/>
              </w:rPr>
            </w:pPr>
            <w:r>
              <w:rPr>
                <w:rFonts w:hint="eastAsia" w:ascii="宋体" w:hAnsi="宋体" w:cs="宋体"/>
                <w:b/>
                <w:bCs/>
                <w:color w:val="000000" w:themeColor="text1"/>
                <w:kern w:val="0"/>
                <w:sz w:val="21"/>
                <w:szCs w:val="21"/>
                <w:highlight w:val="none"/>
              </w:rPr>
              <w:t>序号</w:t>
            </w:r>
          </w:p>
        </w:tc>
        <w:tc>
          <w:tcPr>
            <w:tcW w:w="1124" w:type="pct"/>
            <w:noWrap/>
            <w:vAlign w:val="center"/>
          </w:tcPr>
          <w:p w14:paraId="2C28C43A">
            <w:pPr>
              <w:keepNext w:val="0"/>
              <w:keepLines w:val="0"/>
              <w:pageBreakBefore w:val="0"/>
              <w:widowControl w:val="0"/>
              <w:kinsoku/>
              <w:wordWrap/>
              <w:topLinePunct w:val="0"/>
              <w:bidi w:val="0"/>
              <w:adjustRightInd w:val="0"/>
              <w:snapToGrid w:val="0"/>
              <w:jc w:val="center"/>
              <w:rPr>
                <w:rFonts w:ascii="宋体" w:hAnsi="宋体" w:cs="宋体"/>
                <w:b/>
                <w:bCs/>
                <w:color w:val="000000" w:themeColor="text1"/>
                <w:kern w:val="0"/>
                <w:sz w:val="21"/>
                <w:szCs w:val="21"/>
                <w:highlight w:val="none"/>
              </w:rPr>
            </w:pPr>
            <w:r>
              <w:rPr>
                <w:rFonts w:hint="eastAsia" w:ascii="宋体" w:hAnsi="宋体" w:cs="宋体"/>
                <w:b/>
                <w:bCs/>
                <w:color w:val="000000" w:themeColor="text1"/>
                <w:kern w:val="0"/>
                <w:sz w:val="21"/>
                <w:szCs w:val="21"/>
                <w:highlight w:val="none"/>
              </w:rPr>
              <w:t>建（构）筑物</w:t>
            </w:r>
          </w:p>
        </w:tc>
        <w:tc>
          <w:tcPr>
            <w:tcW w:w="1228" w:type="pct"/>
            <w:noWrap/>
            <w:vAlign w:val="center"/>
          </w:tcPr>
          <w:p w14:paraId="11B132D4">
            <w:pPr>
              <w:keepNext w:val="0"/>
              <w:keepLines w:val="0"/>
              <w:pageBreakBefore w:val="0"/>
              <w:widowControl w:val="0"/>
              <w:kinsoku/>
              <w:wordWrap/>
              <w:topLinePunct w:val="0"/>
              <w:bidi w:val="0"/>
              <w:adjustRightInd w:val="0"/>
              <w:snapToGrid w:val="0"/>
              <w:jc w:val="center"/>
              <w:rPr>
                <w:rFonts w:ascii="宋体" w:hAnsi="宋体" w:cs="宋体"/>
                <w:b/>
                <w:bCs/>
                <w:color w:val="000000" w:themeColor="text1"/>
                <w:kern w:val="0"/>
                <w:sz w:val="21"/>
                <w:szCs w:val="21"/>
                <w:highlight w:val="none"/>
              </w:rPr>
            </w:pPr>
            <w:r>
              <w:rPr>
                <w:rFonts w:hint="eastAsia" w:ascii="宋体" w:hAnsi="宋体" w:cs="宋体"/>
                <w:b/>
                <w:bCs/>
                <w:color w:val="000000" w:themeColor="text1"/>
                <w:kern w:val="0"/>
                <w:sz w:val="21"/>
                <w:szCs w:val="21"/>
                <w:highlight w:val="none"/>
              </w:rPr>
              <w:t>布置内容</w:t>
            </w:r>
          </w:p>
        </w:tc>
        <w:tc>
          <w:tcPr>
            <w:tcW w:w="1938" w:type="pct"/>
            <w:noWrap/>
            <w:vAlign w:val="center"/>
          </w:tcPr>
          <w:p w14:paraId="35D249D9">
            <w:pPr>
              <w:keepNext w:val="0"/>
              <w:keepLines w:val="0"/>
              <w:pageBreakBefore w:val="0"/>
              <w:widowControl w:val="0"/>
              <w:kinsoku/>
              <w:wordWrap/>
              <w:topLinePunct w:val="0"/>
              <w:bidi w:val="0"/>
              <w:adjustRightInd w:val="0"/>
              <w:snapToGrid w:val="0"/>
              <w:jc w:val="center"/>
              <w:rPr>
                <w:rFonts w:ascii="宋体" w:hAnsi="宋体" w:cs="宋体"/>
                <w:b/>
                <w:bCs/>
                <w:color w:val="000000" w:themeColor="text1"/>
                <w:kern w:val="0"/>
                <w:sz w:val="21"/>
                <w:szCs w:val="21"/>
                <w:highlight w:val="none"/>
              </w:rPr>
            </w:pPr>
            <w:r>
              <w:rPr>
                <w:rFonts w:hint="eastAsia" w:ascii="宋体" w:hAnsi="宋体" w:cs="宋体"/>
                <w:b/>
                <w:bCs/>
                <w:color w:val="000000" w:themeColor="text1"/>
                <w:kern w:val="0"/>
                <w:sz w:val="21"/>
                <w:szCs w:val="21"/>
                <w:highlight w:val="none"/>
              </w:rPr>
              <w:t>涉及的危险化学品</w:t>
            </w:r>
          </w:p>
        </w:tc>
        <w:tc>
          <w:tcPr>
            <w:tcW w:w="384" w:type="pct"/>
            <w:noWrap/>
            <w:vAlign w:val="center"/>
          </w:tcPr>
          <w:p w14:paraId="702DDEE6">
            <w:pPr>
              <w:keepNext w:val="0"/>
              <w:keepLines w:val="0"/>
              <w:pageBreakBefore w:val="0"/>
              <w:widowControl w:val="0"/>
              <w:kinsoku/>
              <w:wordWrap/>
              <w:topLinePunct w:val="0"/>
              <w:bidi w:val="0"/>
              <w:adjustRightInd w:val="0"/>
              <w:snapToGrid w:val="0"/>
              <w:jc w:val="center"/>
              <w:rPr>
                <w:rFonts w:ascii="宋体" w:hAnsi="宋体" w:cs="宋体"/>
                <w:b/>
                <w:bCs/>
                <w:color w:val="000000" w:themeColor="text1"/>
                <w:kern w:val="0"/>
                <w:sz w:val="21"/>
                <w:szCs w:val="21"/>
                <w:highlight w:val="none"/>
              </w:rPr>
            </w:pPr>
            <w:r>
              <w:rPr>
                <w:rFonts w:hint="eastAsia" w:ascii="宋体" w:hAnsi="宋体" w:cs="宋体"/>
                <w:b/>
                <w:bCs/>
                <w:color w:val="000000" w:themeColor="text1"/>
                <w:kern w:val="0"/>
                <w:sz w:val="21"/>
                <w:szCs w:val="21"/>
                <w:highlight w:val="none"/>
              </w:rPr>
              <w:t>备注</w:t>
            </w:r>
          </w:p>
        </w:tc>
      </w:tr>
      <w:tr w14:paraId="448BC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noWrap/>
            <w:vAlign w:val="center"/>
          </w:tcPr>
          <w:p w14:paraId="7135AD39">
            <w:pPr>
              <w:keepNext w:val="0"/>
              <w:keepLines w:val="0"/>
              <w:pageBreakBefore w:val="0"/>
              <w:widowControl w:val="0"/>
              <w:numPr>
                <w:ilvl w:val="0"/>
                <w:numId w:val="4"/>
              </w:numPr>
              <w:kinsoku/>
              <w:wordWrap/>
              <w:topLinePunct w:val="0"/>
              <w:bidi w:val="0"/>
              <w:adjustRightInd w:val="0"/>
              <w:snapToGrid w:val="0"/>
              <w:jc w:val="center"/>
              <w:rPr>
                <w:rFonts w:ascii="宋体" w:hAnsi="宋体" w:cs="宋体"/>
                <w:snapToGrid w:val="0"/>
                <w:color w:val="000000" w:themeColor="text1"/>
                <w:kern w:val="0"/>
                <w:sz w:val="21"/>
                <w:szCs w:val="21"/>
                <w:highlight w:val="none"/>
              </w:rPr>
            </w:pPr>
          </w:p>
        </w:tc>
        <w:tc>
          <w:tcPr>
            <w:tcW w:w="1124" w:type="pct"/>
            <w:noWrap/>
            <w:vAlign w:val="center"/>
          </w:tcPr>
          <w:p w14:paraId="478410D1">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snapToGrid w:val="0"/>
                <w:color w:val="000000" w:themeColor="text1"/>
                <w:kern w:val="0"/>
                <w:sz w:val="21"/>
                <w:szCs w:val="21"/>
                <w:highlight w:val="none"/>
                <w:lang w:eastAsia="zh-CN"/>
              </w:rPr>
            </w:pPr>
            <w:r>
              <w:rPr>
                <w:rFonts w:hint="eastAsia" w:ascii="宋体" w:hAnsi="宋体" w:eastAsia="宋体" w:cs="宋体"/>
                <w:snapToGrid w:val="0"/>
                <w:color w:val="000000" w:themeColor="text1"/>
                <w:kern w:val="0"/>
                <w:sz w:val="21"/>
                <w:szCs w:val="21"/>
                <w:highlight w:val="none"/>
                <w:lang w:eastAsia="zh-CN"/>
              </w:rPr>
              <w:t>氢氧化钠溶液储罐</w:t>
            </w:r>
          </w:p>
        </w:tc>
        <w:tc>
          <w:tcPr>
            <w:tcW w:w="1228" w:type="pct"/>
            <w:noWrap/>
            <w:vAlign w:val="center"/>
          </w:tcPr>
          <w:p w14:paraId="40D9B5CF">
            <w:pPr>
              <w:keepNext w:val="0"/>
              <w:keepLines w:val="0"/>
              <w:pageBreakBefore w:val="0"/>
              <w:widowControl w:val="0"/>
              <w:kinsoku/>
              <w:wordWrap/>
              <w:topLinePunct w:val="0"/>
              <w:bidi w:val="0"/>
              <w:adjustRightInd w:val="0"/>
              <w:snapToGrid w:val="0"/>
              <w:spacing w:line="260" w:lineRule="exact"/>
              <w:jc w:val="center"/>
              <w:rPr>
                <w:rFonts w:hint="default" w:ascii="宋体" w:hAnsi="宋体" w:eastAsia="宋体" w:cs="宋体"/>
                <w:snapToGrid w:val="0"/>
                <w:color w:val="000000" w:themeColor="text1"/>
                <w:kern w:val="0"/>
                <w:sz w:val="21"/>
                <w:szCs w:val="21"/>
                <w:highlight w:val="none"/>
                <w:lang w:val="en-US" w:eastAsia="zh-CN"/>
              </w:rPr>
            </w:pPr>
            <w:r>
              <w:rPr>
                <w:rFonts w:hint="eastAsia" w:ascii="宋体" w:hAnsi="宋体" w:cs="宋体"/>
                <w:snapToGrid w:val="0"/>
                <w:color w:val="000000" w:themeColor="text1"/>
                <w:kern w:val="0"/>
                <w:sz w:val="21"/>
                <w:szCs w:val="21"/>
                <w:highlight w:val="none"/>
                <w:lang w:val="en-US" w:eastAsia="zh-CN"/>
              </w:rPr>
              <w:t>8m</w:t>
            </w:r>
            <w:r>
              <w:rPr>
                <w:rFonts w:hint="eastAsia" w:ascii="宋体" w:hAnsi="宋体" w:cs="宋体"/>
                <w:snapToGrid w:val="0"/>
                <w:color w:val="000000" w:themeColor="text1"/>
                <w:kern w:val="0"/>
                <w:sz w:val="21"/>
                <w:szCs w:val="21"/>
                <w:highlight w:val="none"/>
                <w:vertAlign w:val="superscript"/>
                <w:lang w:val="en-US" w:eastAsia="zh-CN"/>
              </w:rPr>
              <w:t>3</w:t>
            </w:r>
            <w:r>
              <w:rPr>
                <w:rFonts w:hint="eastAsia" w:ascii="宋体" w:hAnsi="宋体" w:eastAsia="宋体" w:cs="宋体"/>
                <w:snapToGrid w:val="0"/>
                <w:color w:val="000000" w:themeColor="text1"/>
                <w:kern w:val="0"/>
                <w:sz w:val="21"/>
                <w:szCs w:val="21"/>
                <w:highlight w:val="none"/>
                <w:lang w:eastAsia="zh-CN"/>
              </w:rPr>
              <w:t>氢氧化钠溶液</w:t>
            </w:r>
            <w:r>
              <w:rPr>
                <w:rFonts w:hint="eastAsia" w:ascii="宋体" w:hAnsi="宋体" w:cs="宋体"/>
                <w:snapToGrid w:val="0"/>
                <w:color w:val="000000" w:themeColor="text1"/>
                <w:kern w:val="0"/>
                <w:sz w:val="21"/>
                <w:szCs w:val="21"/>
                <w:highlight w:val="none"/>
                <w:lang w:val="en-US" w:eastAsia="zh-CN"/>
              </w:rPr>
              <w:t>储罐1个</w:t>
            </w:r>
          </w:p>
        </w:tc>
        <w:tc>
          <w:tcPr>
            <w:tcW w:w="1938" w:type="pct"/>
            <w:noWrap/>
            <w:vAlign w:val="center"/>
          </w:tcPr>
          <w:p w14:paraId="4607AA15">
            <w:pPr>
              <w:keepNext w:val="0"/>
              <w:keepLines w:val="0"/>
              <w:pageBreakBefore w:val="0"/>
              <w:widowControl w:val="0"/>
              <w:kinsoku/>
              <w:wordWrap/>
              <w:topLinePunct w:val="0"/>
              <w:bidi w:val="0"/>
              <w:adjustRightInd w:val="0"/>
              <w:snapToGrid w:val="0"/>
              <w:jc w:val="center"/>
              <w:rPr>
                <w:rFonts w:ascii="宋体" w:hAnsi="宋体" w:cs="宋体"/>
                <w:snapToGrid w:val="0"/>
                <w:color w:val="000000" w:themeColor="text1"/>
                <w:kern w:val="0"/>
                <w:sz w:val="21"/>
                <w:szCs w:val="21"/>
                <w:highlight w:val="none"/>
              </w:rPr>
            </w:pPr>
            <w:r>
              <w:rPr>
                <w:rFonts w:hint="eastAsia" w:ascii="宋体" w:hAnsi="宋体" w:eastAsia="宋体" w:cs="宋体"/>
                <w:snapToGrid w:val="0"/>
                <w:color w:val="000000" w:themeColor="text1"/>
                <w:kern w:val="0"/>
                <w:sz w:val="21"/>
                <w:szCs w:val="21"/>
                <w:highlight w:val="none"/>
                <w:lang w:eastAsia="zh-CN"/>
              </w:rPr>
              <w:t>氢氧化钠溶液</w:t>
            </w:r>
          </w:p>
        </w:tc>
        <w:tc>
          <w:tcPr>
            <w:tcW w:w="384" w:type="pct"/>
            <w:noWrap/>
            <w:vAlign w:val="center"/>
          </w:tcPr>
          <w:p w14:paraId="4A2D6CC0">
            <w:pPr>
              <w:keepNext w:val="0"/>
              <w:keepLines w:val="0"/>
              <w:pageBreakBefore w:val="0"/>
              <w:widowControl w:val="0"/>
              <w:kinsoku/>
              <w:wordWrap/>
              <w:topLinePunct w:val="0"/>
              <w:bidi w:val="0"/>
              <w:adjustRightInd w:val="0"/>
              <w:snapToGrid w:val="0"/>
              <w:jc w:val="center"/>
              <w:rPr>
                <w:rFonts w:ascii="宋体" w:hAnsi="宋体" w:cs="宋体"/>
                <w:snapToGrid w:val="0"/>
                <w:color w:val="000000" w:themeColor="text1"/>
                <w:kern w:val="0"/>
                <w:sz w:val="21"/>
                <w:szCs w:val="21"/>
                <w:highlight w:val="none"/>
              </w:rPr>
            </w:pPr>
          </w:p>
        </w:tc>
      </w:tr>
      <w:tr w14:paraId="0AAF7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noWrap/>
            <w:vAlign w:val="center"/>
          </w:tcPr>
          <w:p w14:paraId="6A91EBB4">
            <w:pPr>
              <w:keepNext w:val="0"/>
              <w:keepLines w:val="0"/>
              <w:pageBreakBefore w:val="0"/>
              <w:widowControl w:val="0"/>
              <w:numPr>
                <w:ilvl w:val="0"/>
                <w:numId w:val="4"/>
              </w:numPr>
              <w:kinsoku/>
              <w:wordWrap/>
              <w:topLinePunct w:val="0"/>
              <w:bidi w:val="0"/>
              <w:adjustRightInd w:val="0"/>
              <w:snapToGrid w:val="0"/>
              <w:jc w:val="center"/>
              <w:rPr>
                <w:rFonts w:ascii="宋体" w:hAnsi="宋体" w:cs="宋体"/>
                <w:snapToGrid w:val="0"/>
                <w:color w:val="000000" w:themeColor="text1"/>
                <w:kern w:val="0"/>
                <w:sz w:val="21"/>
                <w:szCs w:val="21"/>
                <w:highlight w:val="none"/>
              </w:rPr>
            </w:pPr>
          </w:p>
        </w:tc>
        <w:tc>
          <w:tcPr>
            <w:tcW w:w="1124" w:type="pct"/>
            <w:noWrap/>
            <w:vAlign w:val="center"/>
          </w:tcPr>
          <w:p w14:paraId="6DB3C92D">
            <w:pPr>
              <w:keepNext w:val="0"/>
              <w:keepLines w:val="0"/>
              <w:pageBreakBefore w:val="0"/>
              <w:widowControl w:val="0"/>
              <w:kinsoku/>
              <w:wordWrap/>
              <w:topLinePunct w:val="0"/>
              <w:bidi w:val="0"/>
              <w:adjustRightInd w:val="0"/>
              <w:snapToGrid w:val="0"/>
              <w:spacing w:line="260" w:lineRule="exact"/>
              <w:jc w:val="center"/>
              <w:rPr>
                <w:rFonts w:hint="eastAsia" w:ascii="宋体" w:hAnsi="宋体" w:cs="宋体"/>
                <w:snapToGrid w:val="0"/>
                <w:color w:val="000000" w:themeColor="text1"/>
                <w:kern w:val="0"/>
                <w:sz w:val="21"/>
                <w:szCs w:val="21"/>
                <w:highlight w:val="none"/>
                <w:lang w:eastAsia="zh-CN"/>
              </w:rPr>
            </w:pPr>
            <w:r>
              <w:rPr>
                <w:rFonts w:hint="eastAsia" w:ascii="宋体" w:hAnsi="宋体" w:eastAsia="宋体" w:cs="宋体"/>
                <w:snapToGrid w:val="0"/>
                <w:color w:val="000000" w:themeColor="text1"/>
                <w:kern w:val="0"/>
                <w:sz w:val="21"/>
                <w:szCs w:val="21"/>
                <w:highlight w:val="none"/>
                <w:lang w:eastAsia="zh-CN"/>
              </w:rPr>
              <w:t>漂染车间附房</w:t>
            </w:r>
          </w:p>
        </w:tc>
        <w:tc>
          <w:tcPr>
            <w:tcW w:w="1228" w:type="pct"/>
            <w:noWrap/>
            <w:vAlign w:val="center"/>
          </w:tcPr>
          <w:p w14:paraId="7E1E016B">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snapToGrid w:val="0"/>
                <w:color w:val="000000" w:themeColor="text1"/>
                <w:kern w:val="0"/>
                <w:sz w:val="21"/>
                <w:szCs w:val="21"/>
                <w:highlight w:val="none"/>
                <w:lang w:eastAsia="zh-CN"/>
              </w:rPr>
            </w:pPr>
            <w:r>
              <w:rPr>
                <w:rFonts w:hint="eastAsia" w:ascii="宋体" w:hAnsi="宋体" w:cs="宋体"/>
                <w:snapToGrid w:val="0"/>
                <w:color w:val="000000" w:themeColor="text1"/>
                <w:kern w:val="0"/>
                <w:sz w:val="21"/>
                <w:szCs w:val="21"/>
                <w:highlight w:val="none"/>
                <w:lang w:eastAsia="zh-CN"/>
              </w:rPr>
              <w:t>危险化学品备货库房等</w:t>
            </w:r>
          </w:p>
        </w:tc>
        <w:tc>
          <w:tcPr>
            <w:tcW w:w="1938" w:type="pct"/>
            <w:noWrap/>
            <w:vAlign w:val="center"/>
          </w:tcPr>
          <w:p w14:paraId="0E36EFE3">
            <w:pPr>
              <w:keepNext w:val="0"/>
              <w:keepLines w:val="0"/>
              <w:pageBreakBefore w:val="0"/>
              <w:widowControl w:val="0"/>
              <w:kinsoku/>
              <w:wordWrap/>
              <w:topLinePunct w:val="0"/>
              <w:bidi w:val="0"/>
              <w:adjustRightInd w:val="0"/>
              <w:snapToGrid w:val="0"/>
              <w:jc w:val="center"/>
              <w:rPr>
                <w:rFonts w:hint="eastAsia" w:ascii="宋体" w:hAnsi="宋体" w:cs="宋体"/>
                <w:snapToGrid w:val="0"/>
                <w:color w:val="000000" w:themeColor="text1"/>
                <w:kern w:val="0"/>
                <w:sz w:val="21"/>
                <w:szCs w:val="21"/>
                <w:highlight w:val="none"/>
              </w:rPr>
            </w:pPr>
            <w:r>
              <w:rPr>
                <w:rFonts w:hint="eastAsia" w:ascii="宋体" w:hAnsi="宋体" w:eastAsia="宋体" w:cs="宋体"/>
                <w:snapToGrid w:val="0"/>
                <w:color w:val="000000" w:themeColor="text1"/>
                <w:sz w:val="21"/>
                <w:szCs w:val="21"/>
                <w:highlight w:val="none"/>
                <w:vertAlign w:val="baseline"/>
                <w:lang w:val="en-US" w:eastAsia="zh-CN"/>
              </w:rPr>
              <w:t>乙酸</w:t>
            </w:r>
            <w:r>
              <w:rPr>
                <w:rFonts w:hint="eastAsia" w:ascii="宋体" w:hAnsi="宋体" w:cs="宋体"/>
                <w:snapToGrid w:val="0"/>
                <w:color w:val="000000" w:themeColor="text1"/>
                <w:kern w:val="0"/>
                <w:sz w:val="21"/>
                <w:szCs w:val="21"/>
                <w:highlight w:val="none"/>
              </w:rPr>
              <w:t>、过碳酸钠、保险粉</w:t>
            </w:r>
          </w:p>
        </w:tc>
        <w:tc>
          <w:tcPr>
            <w:tcW w:w="384" w:type="pct"/>
            <w:noWrap/>
            <w:vAlign w:val="center"/>
          </w:tcPr>
          <w:p w14:paraId="279A8B63">
            <w:pPr>
              <w:keepNext w:val="0"/>
              <w:keepLines w:val="0"/>
              <w:pageBreakBefore w:val="0"/>
              <w:widowControl w:val="0"/>
              <w:kinsoku/>
              <w:wordWrap/>
              <w:topLinePunct w:val="0"/>
              <w:bidi w:val="0"/>
              <w:adjustRightInd w:val="0"/>
              <w:snapToGrid w:val="0"/>
              <w:jc w:val="center"/>
              <w:rPr>
                <w:rFonts w:ascii="宋体" w:hAnsi="宋体" w:cs="宋体"/>
                <w:snapToGrid w:val="0"/>
                <w:color w:val="000000" w:themeColor="text1"/>
                <w:kern w:val="0"/>
                <w:sz w:val="21"/>
                <w:szCs w:val="21"/>
                <w:highlight w:val="none"/>
              </w:rPr>
            </w:pPr>
          </w:p>
        </w:tc>
      </w:tr>
      <w:tr w14:paraId="03347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noWrap/>
            <w:vAlign w:val="center"/>
          </w:tcPr>
          <w:p w14:paraId="0540758C">
            <w:pPr>
              <w:keepNext w:val="0"/>
              <w:keepLines w:val="0"/>
              <w:pageBreakBefore w:val="0"/>
              <w:widowControl w:val="0"/>
              <w:numPr>
                <w:ilvl w:val="0"/>
                <w:numId w:val="4"/>
              </w:numPr>
              <w:kinsoku/>
              <w:wordWrap/>
              <w:topLinePunct w:val="0"/>
              <w:bidi w:val="0"/>
              <w:adjustRightInd w:val="0"/>
              <w:snapToGrid w:val="0"/>
              <w:jc w:val="center"/>
              <w:rPr>
                <w:rFonts w:ascii="宋体" w:hAnsi="宋体" w:cs="宋体"/>
                <w:snapToGrid w:val="0"/>
                <w:color w:val="000000" w:themeColor="text1"/>
                <w:kern w:val="0"/>
                <w:sz w:val="21"/>
                <w:szCs w:val="21"/>
                <w:highlight w:val="none"/>
              </w:rPr>
            </w:pPr>
          </w:p>
        </w:tc>
        <w:tc>
          <w:tcPr>
            <w:tcW w:w="1124" w:type="pct"/>
            <w:noWrap/>
            <w:vAlign w:val="center"/>
          </w:tcPr>
          <w:p w14:paraId="118D4878">
            <w:pPr>
              <w:keepNext w:val="0"/>
              <w:keepLines w:val="0"/>
              <w:pageBreakBefore w:val="0"/>
              <w:widowControl w:val="0"/>
              <w:kinsoku/>
              <w:wordWrap/>
              <w:topLinePunct w:val="0"/>
              <w:bidi w:val="0"/>
              <w:adjustRightInd w:val="0"/>
              <w:snapToGrid w:val="0"/>
              <w:spacing w:line="260" w:lineRule="exact"/>
              <w:jc w:val="center"/>
              <w:rPr>
                <w:rFonts w:hint="eastAsia" w:ascii="宋体" w:hAnsi="宋体" w:cs="宋体"/>
                <w:snapToGrid w:val="0"/>
                <w:color w:val="000000" w:themeColor="text1"/>
                <w:kern w:val="0"/>
                <w:sz w:val="21"/>
                <w:szCs w:val="21"/>
                <w:highlight w:val="none"/>
                <w:lang w:eastAsia="zh-CN"/>
              </w:rPr>
            </w:pPr>
            <w:r>
              <w:rPr>
                <w:rFonts w:hint="eastAsia" w:ascii="宋体" w:hAnsi="宋体" w:eastAsia="宋体" w:cs="宋体"/>
                <w:snapToGrid w:val="0"/>
                <w:color w:val="000000" w:themeColor="text1"/>
                <w:kern w:val="0"/>
                <w:sz w:val="21"/>
                <w:szCs w:val="21"/>
                <w:highlight w:val="none"/>
                <w:lang w:eastAsia="zh-CN"/>
              </w:rPr>
              <w:t>漂染车间</w:t>
            </w:r>
          </w:p>
        </w:tc>
        <w:tc>
          <w:tcPr>
            <w:tcW w:w="1228" w:type="pct"/>
            <w:noWrap/>
            <w:vAlign w:val="center"/>
          </w:tcPr>
          <w:p w14:paraId="312A5248">
            <w:pPr>
              <w:keepNext w:val="0"/>
              <w:keepLines w:val="0"/>
              <w:pageBreakBefore w:val="0"/>
              <w:widowControl w:val="0"/>
              <w:kinsoku/>
              <w:wordWrap/>
              <w:topLinePunct w:val="0"/>
              <w:bidi w:val="0"/>
              <w:adjustRightInd w:val="0"/>
              <w:snapToGrid w:val="0"/>
              <w:spacing w:line="260" w:lineRule="exact"/>
              <w:jc w:val="center"/>
              <w:rPr>
                <w:rFonts w:ascii="宋体" w:hAnsi="宋体" w:cs="宋体"/>
                <w:snapToGrid w:val="0"/>
                <w:color w:val="000000" w:themeColor="text1"/>
                <w:kern w:val="0"/>
                <w:sz w:val="21"/>
                <w:szCs w:val="21"/>
                <w:highlight w:val="none"/>
              </w:rPr>
            </w:pPr>
            <w:r>
              <w:rPr>
                <w:rFonts w:hint="eastAsia" w:ascii="宋体" w:hAnsi="宋体" w:eastAsia="宋体" w:cs="宋体"/>
                <w:snapToGrid w:val="0"/>
                <w:color w:val="000000" w:themeColor="text1"/>
                <w:kern w:val="0"/>
                <w:sz w:val="21"/>
                <w:szCs w:val="21"/>
                <w:highlight w:val="none"/>
                <w:lang w:eastAsia="zh-CN"/>
              </w:rPr>
              <w:t>漂染区等</w:t>
            </w:r>
          </w:p>
        </w:tc>
        <w:tc>
          <w:tcPr>
            <w:tcW w:w="1938" w:type="pct"/>
            <w:noWrap/>
            <w:vAlign w:val="center"/>
          </w:tcPr>
          <w:p w14:paraId="3C1D06EF">
            <w:pPr>
              <w:keepNext w:val="0"/>
              <w:keepLines w:val="0"/>
              <w:pageBreakBefore w:val="0"/>
              <w:widowControl w:val="0"/>
              <w:kinsoku/>
              <w:wordWrap/>
              <w:topLinePunct w:val="0"/>
              <w:bidi w:val="0"/>
              <w:adjustRightInd w:val="0"/>
              <w:snapToGrid w:val="0"/>
              <w:jc w:val="center"/>
              <w:rPr>
                <w:rFonts w:hint="eastAsia" w:ascii="宋体" w:hAnsi="宋体" w:eastAsia="宋体" w:cs="宋体"/>
                <w:snapToGrid w:val="0"/>
                <w:color w:val="000000" w:themeColor="text1"/>
                <w:kern w:val="0"/>
                <w:sz w:val="21"/>
                <w:szCs w:val="21"/>
                <w:highlight w:val="none"/>
                <w:lang w:eastAsia="zh-CN"/>
              </w:rPr>
            </w:pPr>
            <w:r>
              <w:rPr>
                <w:rFonts w:hint="eastAsia" w:ascii="宋体" w:hAnsi="宋体" w:eastAsia="宋体" w:cs="宋体"/>
                <w:snapToGrid w:val="0"/>
                <w:color w:val="000000" w:themeColor="text1"/>
                <w:kern w:val="0"/>
                <w:sz w:val="21"/>
                <w:szCs w:val="21"/>
                <w:highlight w:val="none"/>
                <w:lang w:eastAsia="zh-CN"/>
              </w:rPr>
              <w:t>氢氧化钠溶液</w:t>
            </w:r>
            <w:r>
              <w:rPr>
                <w:rFonts w:hint="eastAsia" w:ascii="宋体" w:hAnsi="宋体" w:cs="宋体"/>
                <w:snapToGrid w:val="0"/>
                <w:color w:val="000000" w:themeColor="text1"/>
                <w:kern w:val="0"/>
                <w:sz w:val="21"/>
                <w:szCs w:val="21"/>
                <w:highlight w:val="none"/>
                <w:lang w:eastAsia="zh-CN"/>
              </w:rPr>
              <w:t>、</w:t>
            </w:r>
            <w:r>
              <w:rPr>
                <w:rFonts w:hint="eastAsia" w:ascii="宋体" w:hAnsi="宋体" w:eastAsia="宋体" w:cs="宋体"/>
                <w:snapToGrid w:val="0"/>
                <w:color w:val="000000" w:themeColor="text1"/>
                <w:sz w:val="21"/>
                <w:szCs w:val="21"/>
                <w:highlight w:val="none"/>
                <w:vertAlign w:val="baseline"/>
                <w:lang w:val="en-US" w:eastAsia="zh-CN"/>
              </w:rPr>
              <w:t>乙酸</w:t>
            </w:r>
            <w:r>
              <w:rPr>
                <w:rFonts w:hint="eastAsia" w:ascii="宋体" w:hAnsi="宋体" w:cs="宋体"/>
                <w:snapToGrid w:val="0"/>
                <w:color w:val="000000" w:themeColor="text1"/>
                <w:kern w:val="0"/>
                <w:sz w:val="21"/>
                <w:szCs w:val="21"/>
                <w:highlight w:val="none"/>
              </w:rPr>
              <w:t>、过碳酸钠、保险粉</w:t>
            </w:r>
          </w:p>
        </w:tc>
        <w:tc>
          <w:tcPr>
            <w:tcW w:w="384" w:type="pct"/>
            <w:noWrap/>
            <w:vAlign w:val="center"/>
          </w:tcPr>
          <w:p w14:paraId="7A6E93CC">
            <w:pPr>
              <w:keepNext w:val="0"/>
              <w:keepLines w:val="0"/>
              <w:pageBreakBefore w:val="0"/>
              <w:widowControl w:val="0"/>
              <w:kinsoku/>
              <w:wordWrap/>
              <w:topLinePunct w:val="0"/>
              <w:bidi w:val="0"/>
              <w:adjustRightInd w:val="0"/>
              <w:snapToGrid w:val="0"/>
              <w:jc w:val="center"/>
              <w:rPr>
                <w:rFonts w:ascii="宋体" w:hAnsi="宋体" w:cs="宋体"/>
                <w:snapToGrid w:val="0"/>
                <w:color w:val="000000" w:themeColor="text1"/>
                <w:kern w:val="0"/>
                <w:sz w:val="21"/>
                <w:szCs w:val="21"/>
                <w:highlight w:val="none"/>
              </w:rPr>
            </w:pPr>
          </w:p>
        </w:tc>
      </w:tr>
      <w:tr w14:paraId="70A87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noWrap/>
            <w:vAlign w:val="center"/>
          </w:tcPr>
          <w:p w14:paraId="492CC94A">
            <w:pPr>
              <w:keepNext w:val="0"/>
              <w:keepLines w:val="0"/>
              <w:pageBreakBefore w:val="0"/>
              <w:widowControl w:val="0"/>
              <w:numPr>
                <w:ilvl w:val="0"/>
                <w:numId w:val="4"/>
              </w:numPr>
              <w:kinsoku/>
              <w:wordWrap/>
              <w:topLinePunct w:val="0"/>
              <w:bidi w:val="0"/>
              <w:adjustRightInd w:val="0"/>
              <w:snapToGrid w:val="0"/>
              <w:jc w:val="center"/>
              <w:rPr>
                <w:rFonts w:ascii="宋体" w:hAnsi="宋体" w:cs="宋体"/>
                <w:snapToGrid w:val="0"/>
                <w:color w:val="000000" w:themeColor="text1"/>
                <w:kern w:val="0"/>
                <w:sz w:val="21"/>
                <w:szCs w:val="21"/>
                <w:highlight w:val="none"/>
              </w:rPr>
            </w:pPr>
          </w:p>
        </w:tc>
        <w:tc>
          <w:tcPr>
            <w:tcW w:w="1124" w:type="pct"/>
            <w:noWrap/>
            <w:vAlign w:val="center"/>
          </w:tcPr>
          <w:p w14:paraId="3DC905DD">
            <w:pPr>
              <w:keepNext w:val="0"/>
              <w:keepLines w:val="0"/>
              <w:pageBreakBefore w:val="0"/>
              <w:widowControl w:val="0"/>
              <w:kinsoku/>
              <w:wordWrap/>
              <w:topLinePunct w:val="0"/>
              <w:bidi w:val="0"/>
              <w:adjustRightInd w:val="0"/>
              <w:snapToGrid w:val="0"/>
              <w:spacing w:line="260" w:lineRule="exact"/>
              <w:jc w:val="center"/>
              <w:rPr>
                <w:rFonts w:hint="eastAsia" w:ascii="宋体" w:hAnsi="宋体" w:cs="宋体"/>
                <w:snapToGrid w:val="0"/>
                <w:color w:val="000000" w:themeColor="text1"/>
                <w:kern w:val="0"/>
                <w:sz w:val="21"/>
                <w:szCs w:val="21"/>
                <w:highlight w:val="none"/>
                <w:lang w:eastAsia="zh-CN"/>
              </w:rPr>
            </w:pPr>
            <w:r>
              <w:rPr>
                <w:rFonts w:hint="eastAsia"/>
                <w:snapToGrid w:val="0"/>
                <w:color w:val="000000" w:themeColor="text1"/>
                <w:sz w:val="21"/>
                <w:szCs w:val="21"/>
                <w:highlight w:val="none"/>
              </w:rPr>
              <w:t>废水处理站</w:t>
            </w:r>
            <w:r>
              <w:rPr>
                <w:snapToGrid w:val="0"/>
                <w:color w:val="000000" w:themeColor="text1"/>
                <w:spacing w:val="0"/>
                <w:sz w:val="21"/>
                <w:szCs w:val="21"/>
                <w:highlight w:val="none"/>
              </w:rPr>
              <w:t>药剂房</w:t>
            </w:r>
          </w:p>
        </w:tc>
        <w:tc>
          <w:tcPr>
            <w:tcW w:w="1228" w:type="pct"/>
            <w:noWrap/>
            <w:vAlign w:val="center"/>
          </w:tcPr>
          <w:p w14:paraId="1585D18D">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snapToGrid w:val="0"/>
                <w:color w:val="000000" w:themeColor="text1"/>
                <w:kern w:val="0"/>
                <w:sz w:val="21"/>
                <w:szCs w:val="21"/>
                <w:highlight w:val="none"/>
                <w:lang w:eastAsia="zh-CN"/>
              </w:rPr>
            </w:pPr>
            <w:r>
              <w:rPr>
                <w:rFonts w:hint="eastAsia" w:ascii="宋体" w:hAnsi="宋体" w:cs="宋体"/>
                <w:snapToGrid w:val="0"/>
                <w:color w:val="000000" w:themeColor="text1"/>
                <w:kern w:val="0"/>
                <w:sz w:val="21"/>
                <w:szCs w:val="21"/>
                <w:highlight w:val="none"/>
              </w:rPr>
              <w:t>次氯酸钠溶液</w:t>
            </w:r>
            <w:r>
              <w:rPr>
                <w:rFonts w:hint="eastAsia" w:ascii="宋体" w:hAnsi="宋体" w:cs="宋体"/>
                <w:snapToGrid w:val="0"/>
                <w:color w:val="000000" w:themeColor="text1"/>
                <w:kern w:val="0"/>
                <w:sz w:val="21"/>
                <w:szCs w:val="21"/>
                <w:highlight w:val="none"/>
                <w:lang w:eastAsia="zh-CN"/>
              </w:rPr>
              <w:t>储存区等</w:t>
            </w:r>
          </w:p>
        </w:tc>
        <w:tc>
          <w:tcPr>
            <w:tcW w:w="1938" w:type="pct"/>
            <w:noWrap/>
            <w:vAlign w:val="center"/>
          </w:tcPr>
          <w:p w14:paraId="6AA471AC">
            <w:pPr>
              <w:keepNext w:val="0"/>
              <w:keepLines w:val="0"/>
              <w:pageBreakBefore w:val="0"/>
              <w:widowControl w:val="0"/>
              <w:kinsoku/>
              <w:wordWrap/>
              <w:topLinePunct w:val="0"/>
              <w:bidi w:val="0"/>
              <w:adjustRightInd w:val="0"/>
              <w:snapToGrid w:val="0"/>
              <w:jc w:val="center"/>
              <w:rPr>
                <w:rFonts w:hint="eastAsia" w:ascii="宋体" w:hAnsi="宋体" w:cs="宋体"/>
                <w:snapToGrid w:val="0"/>
                <w:color w:val="000000" w:themeColor="text1"/>
                <w:kern w:val="0"/>
                <w:sz w:val="21"/>
                <w:szCs w:val="21"/>
                <w:highlight w:val="none"/>
              </w:rPr>
            </w:pPr>
            <w:r>
              <w:rPr>
                <w:rFonts w:hint="eastAsia" w:ascii="宋体" w:hAnsi="宋体" w:cs="宋体"/>
                <w:snapToGrid w:val="0"/>
                <w:color w:val="000000" w:themeColor="text1"/>
                <w:kern w:val="0"/>
                <w:sz w:val="21"/>
                <w:szCs w:val="21"/>
                <w:highlight w:val="none"/>
              </w:rPr>
              <w:t>次氯酸钠溶液</w:t>
            </w:r>
          </w:p>
        </w:tc>
        <w:tc>
          <w:tcPr>
            <w:tcW w:w="384" w:type="pct"/>
            <w:noWrap/>
            <w:vAlign w:val="center"/>
          </w:tcPr>
          <w:p w14:paraId="29A19AE4">
            <w:pPr>
              <w:keepNext w:val="0"/>
              <w:keepLines w:val="0"/>
              <w:pageBreakBefore w:val="0"/>
              <w:widowControl w:val="0"/>
              <w:kinsoku/>
              <w:wordWrap/>
              <w:topLinePunct w:val="0"/>
              <w:bidi w:val="0"/>
              <w:adjustRightInd w:val="0"/>
              <w:snapToGrid w:val="0"/>
              <w:jc w:val="center"/>
              <w:rPr>
                <w:rFonts w:ascii="宋体" w:hAnsi="宋体" w:cs="宋体"/>
                <w:snapToGrid w:val="0"/>
                <w:color w:val="000000" w:themeColor="text1"/>
                <w:kern w:val="0"/>
                <w:sz w:val="21"/>
                <w:szCs w:val="21"/>
                <w:highlight w:val="none"/>
              </w:rPr>
            </w:pPr>
          </w:p>
        </w:tc>
      </w:tr>
      <w:tr w14:paraId="07B0D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noWrap/>
            <w:vAlign w:val="center"/>
          </w:tcPr>
          <w:p w14:paraId="2A2361A8">
            <w:pPr>
              <w:keepNext w:val="0"/>
              <w:keepLines w:val="0"/>
              <w:pageBreakBefore w:val="0"/>
              <w:widowControl w:val="0"/>
              <w:numPr>
                <w:ilvl w:val="0"/>
                <w:numId w:val="4"/>
              </w:numPr>
              <w:kinsoku/>
              <w:wordWrap/>
              <w:topLinePunct w:val="0"/>
              <w:bidi w:val="0"/>
              <w:adjustRightInd w:val="0"/>
              <w:snapToGrid w:val="0"/>
              <w:jc w:val="center"/>
              <w:rPr>
                <w:rFonts w:ascii="宋体" w:hAnsi="宋体" w:cs="宋体"/>
                <w:snapToGrid w:val="0"/>
                <w:color w:val="000000" w:themeColor="text1"/>
                <w:kern w:val="0"/>
                <w:sz w:val="21"/>
                <w:szCs w:val="21"/>
                <w:highlight w:val="none"/>
              </w:rPr>
            </w:pPr>
          </w:p>
        </w:tc>
        <w:tc>
          <w:tcPr>
            <w:tcW w:w="1124" w:type="pct"/>
            <w:noWrap/>
            <w:vAlign w:val="center"/>
          </w:tcPr>
          <w:p w14:paraId="0DD0CBE5">
            <w:pPr>
              <w:keepNext w:val="0"/>
              <w:keepLines w:val="0"/>
              <w:pageBreakBefore w:val="0"/>
              <w:widowControl w:val="0"/>
              <w:kinsoku/>
              <w:wordWrap/>
              <w:topLinePunct w:val="0"/>
              <w:bidi w:val="0"/>
              <w:adjustRightInd w:val="0"/>
              <w:snapToGrid w:val="0"/>
              <w:spacing w:line="260" w:lineRule="exact"/>
              <w:jc w:val="center"/>
              <w:rPr>
                <w:rFonts w:hint="eastAsia" w:ascii="宋体" w:hAnsi="宋体" w:cs="宋体"/>
                <w:snapToGrid w:val="0"/>
                <w:color w:val="000000" w:themeColor="text1"/>
                <w:kern w:val="0"/>
                <w:sz w:val="21"/>
                <w:szCs w:val="21"/>
                <w:highlight w:val="none"/>
                <w:lang w:eastAsia="zh-CN"/>
              </w:rPr>
            </w:pPr>
            <w:r>
              <w:rPr>
                <w:rFonts w:hint="eastAsia" w:ascii="宋体" w:hAnsi="宋体" w:cs="宋体"/>
                <w:snapToGrid w:val="0"/>
                <w:color w:val="000000" w:themeColor="text1"/>
                <w:kern w:val="0"/>
                <w:sz w:val="21"/>
                <w:szCs w:val="21"/>
                <w:highlight w:val="none"/>
                <w:lang w:eastAsia="zh-CN"/>
              </w:rPr>
              <w:t>次氯酸钠溶液加药区</w:t>
            </w:r>
          </w:p>
        </w:tc>
        <w:tc>
          <w:tcPr>
            <w:tcW w:w="1228" w:type="pct"/>
            <w:noWrap/>
            <w:vAlign w:val="center"/>
          </w:tcPr>
          <w:p w14:paraId="5EA442D0">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snapToGrid w:val="0"/>
                <w:color w:val="000000" w:themeColor="text1"/>
                <w:kern w:val="0"/>
                <w:sz w:val="21"/>
                <w:szCs w:val="21"/>
                <w:highlight w:val="none"/>
                <w:lang w:eastAsia="zh-CN"/>
              </w:rPr>
            </w:pPr>
            <w:r>
              <w:rPr>
                <w:rFonts w:hint="eastAsia" w:ascii="宋体" w:hAnsi="宋体" w:cs="宋体"/>
                <w:snapToGrid w:val="0"/>
                <w:color w:val="000000" w:themeColor="text1"/>
                <w:kern w:val="0"/>
                <w:sz w:val="21"/>
                <w:szCs w:val="21"/>
                <w:highlight w:val="none"/>
              </w:rPr>
              <w:t>次氯酸钠溶液</w:t>
            </w:r>
            <w:r>
              <w:rPr>
                <w:rFonts w:hint="eastAsia" w:cs="宋体"/>
                <w:snapToGrid w:val="0"/>
                <w:color w:val="000000" w:themeColor="text1"/>
                <w:kern w:val="0"/>
                <w:sz w:val="21"/>
                <w:szCs w:val="21"/>
                <w:highlight w:val="none"/>
                <w:lang w:eastAsia="zh-CN"/>
              </w:rPr>
              <w:t>配料</w:t>
            </w:r>
            <w:r>
              <w:rPr>
                <w:rFonts w:hint="eastAsia" w:ascii="宋体" w:hAnsi="宋体" w:cs="宋体"/>
                <w:snapToGrid w:val="0"/>
                <w:color w:val="000000" w:themeColor="text1"/>
                <w:kern w:val="0"/>
                <w:sz w:val="21"/>
                <w:szCs w:val="21"/>
                <w:highlight w:val="none"/>
                <w:lang w:eastAsia="zh-CN"/>
              </w:rPr>
              <w:t>罐</w:t>
            </w:r>
          </w:p>
        </w:tc>
        <w:tc>
          <w:tcPr>
            <w:tcW w:w="1938" w:type="pct"/>
            <w:noWrap/>
            <w:vAlign w:val="center"/>
          </w:tcPr>
          <w:p w14:paraId="5453EC51">
            <w:pPr>
              <w:keepNext w:val="0"/>
              <w:keepLines w:val="0"/>
              <w:pageBreakBefore w:val="0"/>
              <w:widowControl w:val="0"/>
              <w:kinsoku/>
              <w:wordWrap/>
              <w:topLinePunct w:val="0"/>
              <w:bidi w:val="0"/>
              <w:adjustRightInd w:val="0"/>
              <w:snapToGrid w:val="0"/>
              <w:jc w:val="center"/>
              <w:rPr>
                <w:rFonts w:hint="eastAsia" w:ascii="宋体" w:hAnsi="宋体" w:cs="宋体"/>
                <w:snapToGrid w:val="0"/>
                <w:color w:val="000000" w:themeColor="text1"/>
                <w:kern w:val="0"/>
                <w:sz w:val="21"/>
                <w:szCs w:val="21"/>
                <w:highlight w:val="none"/>
              </w:rPr>
            </w:pPr>
            <w:r>
              <w:rPr>
                <w:rFonts w:hint="eastAsia" w:ascii="宋体" w:hAnsi="宋体" w:cs="宋体"/>
                <w:snapToGrid w:val="0"/>
                <w:color w:val="000000" w:themeColor="text1"/>
                <w:kern w:val="0"/>
                <w:sz w:val="21"/>
                <w:szCs w:val="21"/>
                <w:highlight w:val="none"/>
              </w:rPr>
              <w:t>次氯酸钠溶液</w:t>
            </w:r>
          </w:p>
        </w:tc>
        <w:tc>
          <w:tcPr>
            <w:tcW w:w="384" w:type="pct"/>
            <w:noWrap/>
            <w:vAlign w:val="center"/>
          </w:tcPr>
          <w:p w14:paraId="5B4DA5AB">
            <w:pPr>
              <w:keepNext w:val="0"/>
              <w:keepLines w:val="0"/>
              <w:pageBreakBefore w:val="0"/>
              <w:widowControl w:val="0"/>
              <w:kinsoku/>
              <w:wordWrap/>
              <w:topLinePunct w:val="0"/>
              <w:bidi w:val="0"/>
              <w:adjustRightInd w:val="0"/>
              <w:snapToGrid w:val="0"/>
              <w:jc w:val="center"/>
              <w:rPr>
                <w:rFonts w:ascii="宋体" w:hAnsi="宋体" w:cs="宋体"/>
                <w:snapToGrid w:val="0"/>
                <w:color w:val="000000" w:themeColor="text1"/>
                <w:kern w:val="0"/>
                <w:sz w:val="21"/>
                <w:szCs w:val="21"/>
                <w:highlight w:val="none"/>
              </w:rPr>
            </w:pPr>
          </w:p>
        </w:tc>
      </w:tr>
      <w:tr w14:paraId="3224A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noWrap/>
            <w:vAlign w:val="center"/>
          </w:tcPr>
          <w:p w14:paraId="30AFE357">
            <w:pPr>
              <w:keepNext w:val="0"/>
              <w:keepLines w:val="0"/>
              <w:pageBreakBefore w:val="0"/>
              <w:widowControl w:val="0"/>
              <w:kinsoku/>
              <w:wordWrap/>
              <w:topLinePunct w:val="0"/>
              <w:bidi w:val="0"/>
              <w:adjustRightInd w:val="0"/>
              <w:snapToGrid w:val="0"/>
              <w:ind w:firstLine="420" w:firstLineChars="200"/>
              <w:rPr>
                <w:rFonts w:hint="eastAsia" w:ascii="宋体" w:hAnsi="宋体" w:cs="宋体"/>
                <w:snapToGrid w:val="0"/>
                <w:color w:val="000000" w:themeColor="text1"/>
                <w:kern w:val="0"/>
                <w:sz w:val="21"/>
                <w:szCs w:val="21"/>
                <w:highlight w:val="none"/>
              </w:rPr>
            </w:pPr>
            <w:r>
              <w:rPr>
                <w:rFonts w:hint="eastAsia" w:ascii="宋体" w:hAnsi="宋体" w:cs="宋体"/>
                <w:snapToGrid w:val="0"/>
                <w:color w:val="000000" w:themeColor="text1"/>
                <w:kern w:val="0"/>
                <w:sz w:val="21"/>
                <w:szCs w:val="21"/>
                <w:highlight w:val="none"/>
              </w:rPr>
              <w:t>注1：以下内容不在本评价范围之内：</w:t>
            </w:r>
          </w:p>
          <w:p w14:paraId="706CBE64">
            <w:pPr>
              <w:keepNext w:val="0"/>
              <w:keepLines w:val="0"/>
              <w:pageBreakBefore w:val="0"/>
              <w:widowControl w:val="0"/>
              <w:numPr>
                <w:ilvl w:val="0"/>
                <w:numId w:val="5"/>
              </w:numPr>
              <w:kinsoku/>
              <w:wordWrap/>
              <w:topLinePunct w:val="0"/>
              <w:bidi w:val="0"/>
              <w:adjustRightInd w:val="0"/>
              <w:snapToGrid w:val="0"/>
              <w:ind w:left="0" w:firstLine="420" w:firstLineChars="200"/>
              <w:rPr>
                <w:rFonts w:ascii="宋体" w:hAnsi="宋体" w:cs="宋体"/>
                <w:snapToGrid w:val="0"/>
                <w:color w:val="000000" w:themeColor="text1"/>
                <w:kern w:val="0"/>
                <w:sz w:val="21"/>
                <w:szCs w:val="21"/>
                <w:highlight w:val="none"/>
              </w:rPr>
            </w:pPr>
            <w:r>
              <w:rPr>
                <w:rFonts w:hint="eastAsia" w:ascii="宋体" w:hAnsi="宋体" w:cs="宋体"/>
                <w:snapToGrid w:val="0"/>
                <w:color w:val="000000" w:themeColor="text1"/>
                <w:kern w:val="0"/>
                <w:sz w:val="21"/>
                <w:szCs w:val="21"/>
                <w:highlight w:val="none"/>
              </w:rPr>
              <w:t>企业</w:t>
            </w:r>
            <w:r>
              <w:rPr>
                <w:rFonts w:hint="eastAsia" w:cs="宋体"/>
                <w:snapToGrid w:val="0"/>
                <w:color w:val="000000" w:themeColor="text1"/>
                <w:kern w:val="0"/>
                <w:sz w:val="21"/>
                <w:szCs w:val="21"/>
                <w:highlight w:val="none"/>
                <w:lang w:eastAsia="zh-CN"/>
              </w:rPr>
              <w:t>除</w:t>
            </w:r>
            <w:r>
              <w:rPr>
                <w:rFonts w:hint="eastAsia" w:ascii="宋体" w:hAnsi="宋体" w:cs="宋体"/>
                <w:snapToGrid w:val="0"/>
                <w:color w:val="000000" w:themeColor="text1"/>
                <w:kern w:val="0"/>
                <w:sz w:val="21"/>
                <w:szCs w:val="21"/>
                <w:highlight w:val="none"/>
              </w:rPr>
              <w:t>危险化学品</w:t>
            </w:r>
            <w:r>
              <w:rPr>
                <w:rFonts w:hint="eastAsia" w:ascii="宋体" w:hAnsi="宋体" w:cs="宋体"/>
                <w:snapToGrid w:val="0"/>
                <w:color w:val="000000" w:themeColor="text1"/>
                <w:kern w:val="0"/>
                <w:sz w:val="21"/>
                <w:szCs w:val="21"/>
                <w:highlight w:val="none"/>
                <w:lang w:eastAsia="zh-CN"/>
              </w:rPr>
              <w:t>储存和使用</w:t>
            </w:r>
            <w:r>
              <w:rPr>
                <w:rFonts w:hint="eastAsia" w:cs="宋体"/>
                <w:snapToGrid w:val="0"/>
                <w:color w:val="000000" w:themeColor="text1"/>
                <w:kern w:val="0"/>
                <w:sz w:val="21"/>
                <w:szCs w:val="21"/>
                <w:highlight w:val="none"/>
                <w:lang w:eastAsia="zh-CN"/>
              </w:rPr>
              <w:t>的</w:t>
            </w:r>
            <w:r>
              <w:rPr>
                <w:rFonts w:hint="eastAsia" w:ascii="宋体" w:hAnsi="宋体" w:cs="宋体"/>
                <w:snapToGrid w:val="0"/>
                <w:color w:val="000000" w:themeColor="text1"/>
                <w:kern w:val="0"/>
                <w:sz w:val="21"/>
                <w:szCs w:val="21"/>
                <w:highlight w:val="none"/>
              </w:rPr>
              <w:t>其他方面的</w:t>
            </w:r>
            <w:r>
              <w:rPr>
                <w:rFonts w:hint="eastAsia" w:ascii="宋体" w:hAnsi="宋体" w:cs="宋体"/>
                <w:snapToGrid w:val="0"/>
                <w:color w:val="000000" w:themeColor="text1"/>
                <w:kern w:val="0"/>
                <w:sz w:val="21"/>
                <w:szCs w:val="21"/>
                <w:highlight w:val="none"/>
                <w:lang w:eastAsia="zh-CN"/>
              </w:rPr>
              <w:t>生产</w:t>
            </w:r>
            <w:r>
              <w:rPr>
                <w:rFonts w:hint="eastAsia" w:ascii="宋体" w:hAnsi="宋体" w:cs="宋体"/>
                <w:snapToGrid w:val="0"/>
                <w:color w:val="000000" w:themeColor="text1"/>
                <w:kern w:val="0"/>
                <w:sz w:val="21"/>
                <w:szCs w:val="21"/>
                <w:highlight w:val="none"/>
              </w:rPr>
              <w:t>、</w:t>
            </w:r>
            <w:r>
              <w:rPr>
                <w:rFonts w:hint="eastAsia" w:ascii="宋体" w:hAnsi="宋体" w:cs="宋体"/>
                <w:snapToGrid w:val="0"/>
                <w:color w:val="000000" w:themeColor="text1"/>
                <w:kern w:val="0"/>
                <w:sz w:val="21"/>
                <w:szCs w:val="21"/>
                <w:highlight w:val="none"/>
                <w:lang w:eastAsia="zh-CN"/>
              </w:rPr>
              <w:t>储存</w:t>
            </w:r>
            <w:r>
              <w:rPr>
                <w:rFonts w:hint="eastAsia" w:ascii="宋体" w:hAnsi="宋体" w:cs="宋体"/>
                <w:snapToGrid w:val="0"/>
                <w:color w:val="000000" w:themeColor="text1"/>
                <w:kern w:val="0"/>
                <w:sz w:val="21"/>
                <w:szCs w:val="21"/>
                <w:highlight w:val="none"/>
              </w:rPr>
              <w:t>和管理</w:t>
            </w:r>
            <w:r>
              <w:rPr>
                <w:rFonts w:hint="eastAsia" w:cs="宋体"/>
                <w:snapToGrid w:val="0"/>
                <w:color w:val="000000" w:themeColor="text1"/>
                <w:kern w:val="0"/>
                <w:sz w:val="21"/>
                <w:szCs w:val="21"/>
                <w:highlight w:val="none"/>
                <w:lang w:val="en-US" w:eastAsia="zh-CN"/>
              </w:rPr>
              <w:t>；</w:t>
            </w:r>
          </w:p>
          <w:p w14:paraId="390B339F">
            <w:pPr>
              <w:keepNext w:val="0"/>
              <w:keepLines w:val="0"/>
              <w:pageBreakBefore w:val="0"/>
              <w:widowControl w:val="0"/>
              <w:numPr>
                <w:ilvl w:val="0"/>
                <w:numId w:val="5"/>
              </w:numPr>
              <w:kinsoku/>
              <w:wordWrap/>
              <w:topLinePunct w:val="0"/>
              <w:bidi w:val="0"/>
              <w:adjustRightInd w:val="0"/>
              <w:snapToGrid w:val="0"/>
              <w:ind w:left="0" w:firstLine="420" w:firstLineChars="200"/>
              <w:rPr>
                <w:rFonts w:ascii="宋体" w:hAnsi="宋体" w:cs="宋体"/>
                <w:snapToGrid w:val="0"/>
                <w:color w:val="000000" w:themeColor="text1"/>
                <w:kern w:val="0"/>
                <w:sz w:val="21"/>
                <w:szCs w:val="21"/>
                <w:highlight w:val="none"/>
              </w:rPr>
            </w:pPr>
            <w:r>
              <w:rPr>
                <w:rFonts w:hint="eastAsia" w:ascii="宋体" w:hAnsi="宋体" w:cs="宋体"/>
                <w:snapToGrid w:val="0"/>
                <w:color w:val="000000" w:themeColor="text1"/>
                <w:kern w:val="0"/>
                <w:sz w:val="21"/>
                <w:szCs w:val="21"/>
                <w:highlight w:val="none"/>
              </w:rPr>
              <w:t>危险化学品厂外运输；</w:t>
            </w:r>
          </w:p>
          <w:p w14:paraId="0634E574">
            <w:pPr>
              <w:keepNext w:val="0"/>
              <w:keepLines w:val="0"/>
              <w:pageBreakBefore w:val="0"/>
              <w:widowControl w:val="0"/>
              <w:numPr>
                <w:ilvl w:val="0"/>
                <w:numId w:val="5"/>
              </w:numPr>
              <w:kinsoku/>
              <w:wordWrap/>
              <w:topLinePunct w:val="0"/>
              <w:bidi w:val="0"/>
              <w:adjustRightInd w:val="0"/>
              <w:snapToGrid w:val="0"/>
              <w:ind w:left="0" w:firstLine="420" w:firstLineChars="200"/>
              <w:rPr>
                <w:rFonts w:ascii="宋体" w:hAnsi="宋体" w:cs="宋体"/>
                <w:snapToGrid w:val="0"/>
                <w:color w:val="000000" w:themeColor="text1"/>
                <w:kern w:val="0"/>
                <w:sz w:val="21"/>
                <w:szCs w:val="21"/>
                <w:highlight w:val="none"/>
              </w:rPr>
            </w:pPr>
            <w:r>
              <w:rPr>
                <w:rFonts w:hint="eastAsia" w:ascii="宋体" w:hAnsi="宋体" w:cs="宋体"/>
                <w:snapToGrid w:val="0"/>
                <w:color w:val="000000" w:themeColor="text1"/>
                <w:kern w:val="0"/>
                <w:sz w:val="21"/>
                <w:szCs w:val="21"/>
                <w:highlight w:val="none"/>
              </w:rPr>
              <w:t>企业的职业卫生</w:t>
            </w:r>
            <w:r>
              <w:rPr>
                <w:rFonts w:hint="eastAsia" w:ascii="宋体" w:hAnsi="宋体" w:cs="宋体"/>
                <w:snapToGrid w:val="0"/>
                <w:color w:val="000000" w:themeColor="text1"/>
                <w:kern w:val="0"/>
                <w:sz w:val="21"/>
                <w:szCs w:val="21"/>
                <w:highlight w:val="none"/>
                <w:lang w:eastAsia="zh-CN"/>
              </w:rPr>
              <w:t>、消防</w:t>
            </w:r>
            <w:r>
              <w:rPr>
                <w:rFonts w:hint="eastAsia" w:ascii="宋体" w:hAnsi="宋体" w:cs="宋体"/>
                <w:snapToGrid w:val="0"/>
                <w:color w:val="000000" w:themeColor="text1"/>
                <w:kern w:val="0"/>
                <w:sz w:val="21"/>
                <w:szCs w:val="21"/>
                <w:highlight w:val="none"/>
              </w:rPr>
              <w:t>等方面的内容，应按照国家有关标准和规定执行，本评价只进行一般性检查、评价。职业卫生</w:t>
            </w:r>
            <w:r>
              <w:rPr>
                <w:rFonts w:hint="eastAsia" w:ascii="宋体" w:hAnsi="宋体" w:cs="宋体"/>
                <w:snapToGrid w:val="0"/>
                <w:color w:val="000000" w:themeColor="text1"/>
                <w:kern w:val="0"/>
                <w:sz w:val="21"/>
                <w:szCs w:val="21"/>
                <w:highlight w:val="none"/>
                <w:lang w:eastAsia="zh-CN"/>
              </w:rPr>
              <w:t>、消防</w:t>
            </w:r>
            <w:r>
              <w:rPr>
                <w:rFonts w:hint="eastAsia" w:ascii="宋体" w:hAnsi="宋体" w:cs="宋体"/>
                <w:snapToGrid w:val="0"/>
                <w:color w:val="000000" w:themeColor="text1"/>
                <w:kern w:val="0"/>
                <w:sz w:val="21"/>
                <w:szCs w:val="21"/>
                <w:highlight w:val="none"/>
              </w:rPr>
              <w:t>方面的验收以其主管部门的意见为准；</w:t>
            </w:r>
          </w:p>
          <w:p w14:paraId="66497774">
            <w:pPr>
              <w:keepNext w:val="0"/>
              <w:keepLines w:val="0"/>
              <w:pageBreakBefore w:val="0"/>
              <w:widowControl w:val="0"/>
              <w:numPr>
                <w:ilvl w:val="0"/>
                <w:numId w:val="5"/>
              </w:numPr>
              <w:kinsoku/>
              <w:wordWrap/>
              <w:topLinePunct w:val="0"/>
              <w:bidi w:val="0"/>
              <w:adjustRightInd w:val="0"/>
              <w:snapToGrid w:val="0"/>
              <w:ind w:left="0" w:firstLine="420" w:firstLineChars="200"/>
              <w:rPr>
                <w:rFonts w:ascii="宋体" w:hAnsi="宋体" w:cs="宋体"/>
                <w:snapToGrid w:val="0"/>
                <w:color w:val="000000" w:themeColor="text1"/>
                <w:kern w:val="0"/>
                <w:sz w:val="21"/>
                <w:szCs w:val="21"/>
                <w:highlight w:val="none"/>
              </w:rPr>
            </w:pPr>
            <w:r>
              <w:rPr>
                <w:rFonts w:hint="eastAsia" w:cs="宋体"/>
                <w:snapToGrid w:val="0"/>
                <w:color w:val="000000" w:themeColor="text1"/>
                <w:kern w:val="0"/>
                <w:sz w:val="21"/>
                <w:szCs w:val="21"/>
                <w:highlight w:val="none"/>
                <w:lang w:eastAsia="zh-CN"/>
              </w:rPr>
              <w:t>企业</w:t>
            </w:r>
            <w:r>
              <w:rPr>
                <w:rFonts w:hint="eastAsia" w:ascii="宋体" w:hAnsi="宋体" w:cs="宋体"/>
                <w:snapToGrid w:val="0"/>
                <w:color w:val="000000" w:themeColor="text1"/>
                <w:kern w:val="0"/>
                <w:sz w:val="21"/>
                <w:szCs w:val="21"/>
                <w:highlight w:val="none"/>
              </w:rPr>
              <w:t>因各种原因而主观上不愿或客观上不能提供准确的资料、信息而可能造成的危险、危害；</w:t>
            </w:r>
          </w:p>
          <w:p w14:paraId="680667DC">
            <w:pPr>
              <w:keepNext w:val="0"/>
              <w:keepLines w:val="0"/>
              <w:pageBreakBefore w:val="0"/>
              <w:widowControl w:val="0"/>
              <w:numPr>
                <w:ilvl w:val="0"/>
                <w:numId w:val="5"/>
              </w:numPr>
              <w:kinsoku/>
              <w:wordWrap/>
              <w:topLinePunct w:val="0"/>
              <w:bidi w:val="0"/>
              <w:adjustRightInd w:val="0"/>
              <w:snapToGrid w:val="0"/>
              <w:ind w:left="0" w:firstLine="420" w:firstLineChars="200"/>
              <w:rPr>
                <w:rFonts w:ascii="宋体" w:hAnsi="宋体" w:cs="宋体"/>
                <w:snapToGrid w:val="0"/>
                <w:color w:val="000000" w:themeColor="text1"/>
                <w:kern w:val="0"/>
                <w:sz w:val="21"/>
                <w:szCs w:val="21"/>
                <w:highlight w:val="none"/>
              </w:rPr>
            </w:pPr>
            <w:r>
              <w:rPr>
                <w:rFonts w:hint="eastAsia" w:ascii="宋体" w:hAnsi="宋体" w:cs="宋体"/>
                <w:snapToGrid w:val="0"/>
                <w:color w:val="000000" w:themeColor="text1"/>
                <w:kern w:val="0"/>
                <w:sz w:val="21"/>
                <w:szCs w:val="21"/>
                <w:highlight w:val="none"/>
              </w:rPr>
              <w:t>地震、台风、海啸、洪水等不可抗拒的自然灾害和人为破坏造成的危险、危害；</w:t>
            </w:r>
          </w:p>
          <w:p w14:paraId="2A80F15C">
            <w:pPr>
              <w:keepNext w:val="0"/>
              <w:keepLines w:val="0"/>
              <w:pageBreakBefore w:val="0"/>
              <w:widowControl w:val="0"/>
              <w:kinsoku/>
              <w:wordWrap/>
              <w:topLinePunct w:val="0"/>
              <w:bidi w:val="0"/>
              <w:adjustRightInd w:val="0"/>
              <w:snapToGrid w:val="0"/>
              <w:ind w:firstLine="420" w:firstLineChars="200"/>
              <w:rPr>
                <w:rFonts w:ascii="宋体" w:hAnsi="宋体" w:cs="宋体"/>
                <w:snapToGrid w:val="0"/>
                <w:color w:val="000000" w:themeColor="text1"/>
                <w:kern w:val="0"/>
                <w:sz w:val="21"/>
                <w:szCs w:val="21"/>
                <w:highlight w:val="none"/>
              </w:rPr>
            </w:pPr>
            <w:r>
              <w:rPr>
                <w:rFonts w:hint="eastAsia" w:ascii="宋体" w:hAnsi="宋体" w:cs="宋体"/>
                <w:snapToGrid w:val="0"/>
                <w:color w:val="000000" w:themeColor="text1"/>
                <w:kern w:val="0"/>
                <w:sz w:val="21"/>
                <w:szCs w:val="21"/>
                <w:highlight w:val="none"/>
              </w:rPr>
              <w:t>注2：本评价报告是针对企业危化品</w:t>
            </w:r>
            <w:r>
              <w:rPr>
                <w:rFonts w:hint="eastAsia" w:ascii="宋体" w:hAnsi="宋体" w:cs="宋体"/>
                <w:snapToGrid w:val="0"/>
                <w:color w:val="000000" w:themeColor="text1"/>
                <w:kern w:val="0"/>
                <w:sz w:val="21"/>
                <w:szCs w:val="21"/>
                <w:highlight w:val="none"/>
                <w:lang w:eastAsia="zh-CN"/>
              </w:rPr>
              <w:t>储存和使用</w:t>
            </w:r>
            <w:r>
              <w:rPr>
                <w:rFonts w:hint="eastAsia" w:ascii="宋体" w:hAnsi="宋体" w:cs="宋体"/>
                <w:snapToGrid w:val="0"/>
                <w:color w:val="000000" w:themeColor="text1"/>
                <w:kern w:val="0"/>
                <w:sz w:val="21"/>
                <w:szCs w:val="21"/>
                <w:highlight w:val="none"/>
              </w:rPr>
              <w:t>现状而作，一旦企业危化品</w:t>
            </w:r>
            <w:r>
              <w:rPr>
                <w:rFonts w:hint="eastAsia" w:ascii="宋体" w:hAnsi="宋体" w:cs="宋体"/>
                <w:snapToGrid w:val="0"/>
                <w:color w:val="000000" w:themeColor="text1"/>
                <w:kern w:val="0"/>
                <w:sz w:val="21"/>
                <w:szCs w:val="21"/>
                <w:highlight w:val="none"/>
                <w:lang w:eastAsia="zh-CN"/>
              </w:rPr>
              <w:t>储存和使用</w:t>
            </w:r>
            <w:r>
              <w:rPr>
                <w:rFonts w:hint="eastAsia" w:ascii="宋体" w:hAnsi="宋体" w:cs="宋体"/>
                <w:snapToGrid w:val="0"/>
                <w:color w:val="000000" w:themeColor="text1"/>
                <w:kern w:val="0"/>
                <w:sz w:val="21"/>
                <w:szCs w:val="21"/>
                <w:highlight w:val="none"/>
              </w:rPr>
              <w:t>现状发生变化，应重新进行安全</w:t>
            </w:r>
            <w:r>
              <w:rPr>
                <w:rFonts w:hint="default" w:ascii="宋体" w:hAnsi="宋体" w:cs="宋体"/>
                <w:snapToGrid w:val="0"/>
                <w:color w:val="000000" w:themeColor="text1"/>
                <w:kern w:val="0"/>
                <w:sz w:val="21"/>
                <w:szCs w:val="21"/>
                <w:highlight w:val="none"/>
                <w:lang w:val="en-US"/>
              </w:rPr>
              <w:t>评价</w:t>
            </w:r>
            <w:r>
              <w:rPr>
                <w:rFonts w:hint="eastAsia" w:ascii="宋体" w:hAnsi="宋体" w:cs="宋体"/>
                <w:snapToGrid w:val="0"/>
                <w:color w:val="000000" w:themeColor="text1"/>
                <w:kern w:val="0"/>
                <w:sz w:val="21"/>
                <w:szCs w:val="21"/>
                <w:highlight w:val="none"/>
              </w:rPr>
              <w:t>。</w:t>
            </w:r>
          </w:p>
        </w:tc>
      </w:tr>
    </w:tbl>
    <w:p w14:paraId="6E10DA32">
      <w:pPr>
        <w:pStyle w:val="6"/>
        <w:keepNext w:val="0"/>
        <w:keepLines w:val="0"/>
        <w:pageBreakBefore w:val="0"/>
        <w:widowControl w:val="0"/>
        <w:kinsoku/>
        <w:wordWrap/>
        <w:overflowPunct/>
        <w:topLinePunct w:val="0"/>
        <w:autoSpaceDE/>
        <w:autoSpaceDN/>
        <w:bidi w:val="0"/>
        <w:adjustRightInd w:val="0"/>
        <w:snapToGrid w:val="0"/>
        <w:spacing w:beforeLines="50"/>
        <w:textAlignment w:val="auto"/>
        <w:rPr>
          <w:color w:val="000000" w:themeColor="text1"/>
          <w:highlight w:val="none"/>
        </w:rPr>
      </w:pPr>
      <w:bookmarkStart w:id="147" w:name="_Toc2188"/>
      <w:bookmarkStart w:id="148" w:name="_Toc192"/>
      <w:bookmarkStart w:id="149" w:name="_Toc4888"/>
      <w:bookmarkStart w:id="150" w:name="_Toc2772"/>
      <w:bookmarkStart w:id="151" w:name="_Toc5935"/>
      <w:bookmarkStart w:id="152" w:name="_Toc28618"/>
      <w:r>
        <w:rPr>
          <w:color w:val="000000" w:themeColor="text1"/>
          <w:highlight w:val="none"/>
        </w:rPr>
        <w:t>1.</w:t>
      </w:r>
      <w:r>
        <w:rPr>
          <w:rFonts w:hint="eastAsia"/>
          <w:color w:val="000000" w:themeColor="text1"/>
          <w:highlight w:val="none"/>
        </w:rPr>
        <w:t>5 评价</w:t>
      </w:r>
      <w:r>
        <w:rPr>
          <w:rFonts w:hint="eastAsia"/>
          <w:color w:val="000000" w:themeColor="text1"/>
          <w:szCs w:val="28"/>
          <w:highlight w:val="none"/>
        </w:rPr>
        <w:t>程序</w:t>
      </w:r>
      <w:bookmarkEnd w:id="141"/>
      <w:bookmarkEnd w:id="142"/>
      <w:bookmarkEnd w:id="143"/>
      <w:bookmarkEnd w:id="144"/>
      <w:bookmarkEnd w:id="145"/>
      <w:bookmarkEnd w:id="146"/>
      <w:bookmarkEnd w:id="147"/>
      <w:bookmarkEnd w:id="148"/>
      <w:bookmarkEnd w:id="149"/>
      <w:bookmarkEnd w:id="150"/>
      <w:bookmarkEnd w:id="151"/>
      <w:bookmarkEnd w:id="152"/>
    </w:p>
    <w:p w14:paraId="16A8D58B">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highlight w:val="none"/>
        </w:rPr>
      </w:pPr>
      <w:r>
        <w:rPr>
          <w:rFonts w:hint="eastAsia"/>
          <w:color w:val="000000" w:themeColor="text1"/>
          <w:sz w:val="28"/>
          <w:highlight w:val="none"/>
          <w:lang w:eastAsia="zh-CN"/>
        </w:rPr>
        <w:t>本项目</w:t>
      </w:r>
      <w:r>
        <w:rPr>
          <w:rFonts w:hint="eastAsia"/>
          <w:color w:val="000000" w:themeColor="text1"/>
          <w:sz w:val="28"/>
          <w:highlight w:val="none"/>
        </w:rPr>
        <w:t>专项</w:t>
      </w:r>
      <w:r>
        <w:rPr>
          <w:rFonts w:hint="eastAsia"/>
          <w:color w:val="000000" w:themeColor="text1"/>
          <w:sz w:val="28"/>
          <w:highlight w:val="none"/>
          <w:lang w:eastAsia="zh-CN"/>
        </w:rPr>
        <w:t>安全现状</w:t>
      </w:r>
      <w:r>
        <w:rPr>
          <w:rFonts w:hint="eastAsia"/>
          <w:color w:val="000000" w:themeColor="text1"/>
          <w:sz w:val="28"/>
          <w:highlight w:val="none"/>
        </w:rPr>
        <w:t>评价程序框图如图1.5</w:t>
      </w:r>
      <w:r>
        <w:rPr>
          <w:rFonts w:hint="eastAsia"/>
          <w:color w:val="000000" w:themeColor="text1"/>
          <w:sz w:val="28"/>
          <w:highlight w:val="none"/>
          <w:lang w:val="en-US" w:eastAsia="zh-CN"/>
        </w:rPr>
        <w:t>-1</w:t>
      </w:r>
      <w:r>
        <w:rPr>
          <w:rFonts w:hint="eastAsia"/>
          <w:color w:val="000000" w:themeColor="text1"/>
          <w:sz w:val="28"/>
          <w:highlight w:val="none"/>
        </w:rPr>
        <w:t>所示。</w:t>
      </w:r>
      <w:r>
        <w:rPr>
          <w:color w:val="000000" w:themeColor="text1"/>
          <w:sz w:val="28"/>
          <w:highlight w:val="none"/>
        </w:rPr>
        <w:object>
          <v:shape id="_x0000_i1025" o:spt="75" type="#_x0000_t75" style="height:5.25pt;width:5.25pt;" o:ole="t" filled="f" o:preferrelative="t" stroked="f" coordsize="21600,21600">
            <v:path/>
            <v:fill on="f" focussize="0,0"/>
            <v:stroke on="f" joinstyle="miter"/>
            <v:imagedata r:id="rId28" o:title=""/>
            <o:lock v:ext="edit" aspectratio="t"/>
            <w10:wrap type="none"/>
            <w10:anchorlock/>
          </v:shape>
          <o:OLEObject Type="Embed" ProgID="ChemDraw.Document.5.0" ShapeID="_x0000_i1025" DrawAspect="Content" ObjectID="_1468075725" r:id="rId27">
            <o:LockedField>false</o:LockedField>
          </o:OLEObject>
        </w:object>
      </w:r>
    </w:p>
    <w:p w14:paraId="1C611EBD">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highlight w:val="none"/>
        </w:rPr>
      </w:pPr>
    </w:p>
    <w:p w14:paraId="2A8426F0">
      <w:pPr>
        <w:keepNext w:val="0"/>
        <w:keepLines w:val="0"/>
        <w:pageBreakBefore w:val="0"/>
        <w:widowControl w:val="0"/>
        <w:kinsoku/>
        <w:wordWrap/>
        <w:topLinePunct w:val="0"/>
        <w:bidi w:val="0"/>
        <w:adjustRightInd w:val="0"/>
        <w:snapToGrid w:val="0"/>
        <w:spacing w:line="360" w:lineRule="auto"/>
        <w:jc w:val="center"/>
        <w:rPr>
          <w:color w:val="000000" w:themeColor="text1"/>
          <w:sz w:val="28"/>
          <w:highlight w:val="none"/>
        </w:rPr>
      </w:pPr>
      <w:r>
        <w:rPr>
          <w:color w:val="000000" w:themeColor="text1"/>
          <w:sz w:val="28"/>
          <w:highlight w:val="none"/>
        </w:rPr>
        <w:pict>
          <v:group id="组合 1548" o:spid="_x0000_s1106" o:spt="203" style="height:436.85pt;width:234.7pt;" coordorigin="4011,1996" coordsize="3675,7480">
            <o:lock v:ext="edit" aspectratio="f"/>
            <v:rect id="矩形 1549" o:spid="_x0000_s1107" o:spt="1" style="position:absolute;left:4011;top:1996;height:468;width:3675;" fillcolor="#FFFFFF" filled="t" stroked="t" coordsize="21600,21600">
              <v:path arrowok="t"/>
              <v:fill on="t" color2="#FFFFFF" focussize="0,0"/>
              <v:stroke color="#000000" joinstyle="miter"/>
              <v:imagedata o:title=""/>
              <o:lock v:ext="edit" aspectratio="f"/>
              <v:textbox>
                <w:txbxContent>
                  <w:p w14:paraId="7AD85F78">
                    <w:pPr>
                      <w:jc w:val="center"/>
                      <w:rPr>
                        <w:szCs w:val="21"/>
                      </w:rPr>
                    </w:pPr>
                    <w:r>
                      <w:rPr>
                        <w:rFonts w:hint="eastAsia"/>
                        <w:szCs w:val="21"/>
                      </w:rPr>
                      <w:t>前期准备</w:t>
                    </w:r>
                  </w:p>
                </w:txbxContent>
              </v:textbox>
            </v:rect>
            <v:rect id="矩形 1550" o:spid="_x0000_s1108" o:spt="1" style="position:absolute;left:4011;top:3088;height:468;width:3675;" fillcolor="#FFFFFF" filled="t" stroked="t" coordsize="21600,21600">
              <v:path arrowok="t"/>
              <v:fill on="t" color2="#FFFFFF" focussize="0,0"/>
              <v:stroke color="#000000" joinstyle="miter"/>
              <v:imagedata o:title=""/>
              <o:lock v:ext="edit" aspectratio="f"/>
              <v:textbox>
                <w:txbxContent>
                  <w:p w14:paraId="269C2E8A">
                    <w:pPr>
                      <w:jc w:val="center"/>
                      <w:rPr>
                        <w:szCs w:val="21"/>
                      </w:rPr>
                    </w:pPr>
                    <w:r>
                      <w:rPr>
                        <w:rFonts w:hint="eastAsia"/>
                        <w:szCs w:val="21"/>
                      </w:rPr>
                      <w:t>辨识与分析危险、有害因素</w:t>
                    </w:r>
                  </w:p>
                </w:txbxContent>
              </v:textbox>
            </v:rect>
            <v:rect id="矩形 1551" o:spid="_x0000_s1109" o:spt="1" style="position:absolute;left:4011;top:4336;height:468;width:3675;" fillcolor="#FFFFFF" filled="t" stroked="t" coordsize="21600,21600">
              <v:path arrowok="t"/>
              <v:fill on="t" color2="#FFFFFF" focussize="0,0"/>
              <v:stroke color="#000000" joinstyle="miter"/>
              <v:imagedata o:title=""/>
              <o:lock v:ext="edit" aspectratio="f"/>
              <v:textbox>
                <w:txbxContent>
                  <w:p w14:paraId="175660B4">
                    <w:pPr>
                      <w:jc w:val="center"/>
                      <w:rPr>
                        <w:szCs w:val="21"/>
                      </w:rPr>
                    </w:pPr>
                    <w:r>
                      <w:rPr>
                        <w:rFonts w:hint="eastAsia"/>
                        <w:szCs w:val="21"/>
                      </w:rPr>
                      <w:t>划分评价单元</w:t>
                    </w:r>
                  </w:p>
                </w:txbxContent>
              </v:textbox>
            </v:rect>
            <v:line id="直线 1552" o:spid="_x0000_s1110" o:spt="20" style="position:absolute;left:5841;top:2464;height:624;width:0;" filled="f" stroked="t" coordsize="21600,21600">
              <v:path arrowok="t"/>
              <v:fill on="f" focussize="0,0"/>
              <v:stroke color="#000000" endarrow="block"/>
              <v:imagedata o:title=""/>
              <o:lock v:ext="edit" aspectratio="f"/>
            </v:line>
            <v:line id="直线 1553" o:spid="_x0000_s1111" o:spt="20" style="position:absolute;left:5841;top:3556;height:780;width:0;" filled="f" stroked="t" coordsize="21600,21600">
              <v:path arrowok="t"/>
              <v:fill on="f" focussize="0,0"/>
              <v:stroke color="#000000" endarrow="block"/>
              <v:imagedata o:title=""/>
              <o:lock v:ext="edit" aspectratio="f"/>
            </v:line>
            <v:group id="组合 1554" o:spid="_x0000_s1112" o:spt="203" style="position:absolute;left:4011;top:4796;height:4680;width:3675;" coordorigin="4011,6052" coordsize="3675,4680">
              <o:lock v:ext="edit" aspectratio="f"/>
              <v:rect id="矩形 1555" o:spid="_x0000_s1113" o:spt="1" style="position:absolute;left:4011;top:6676;height:468;width:3675;" filled="f" stroked="t" coordsize="21600,21600">
                <v:path arrowok="t"/>
                <v:fill on="f" focussize="0,0"/>
                <v:stroke color="#000000" joinstyle="miter"/>
                <v:imagedata o:title=""/>
                <o:lock v:ext="edit" aspectratio="f"/>
                <v:textbox>
                  <w:txbxContent>
                    <w:p w14:paraId="07394FA0">
                      <w:pPr>
                        <w:jc w:val="center"/>
                        <w:rPr>
                          <w:szCs w:val="21"/>
                          <w:highlight w:val="none"/>
                        </w:rPr>
                      </w:pPr>
                      <w:r>
                        <w:rPr>
                          <w:rFonts w:hint="eastAsia"/>
                          <w:szCs w:val="21"/>
                          <w:highlight w:val="none"/>
                        </w:rPr>
                        <w:t>定性定量评价</w:t>
                      </w:r>
                    </w:p>
                  </w:txbxContent>
                </v:textbox>
              </v:rect>
              <v:rect id="矩形 1556" o:spid="_x0000_s1114" o:spt="1" style="position:absolute;left:4011;top:7924;height:468;width:3675;" fillcolor="#FFFFFF" filled="t" stroked="t" coordsize="21600,21600">
                <v:path arrowok="t"/>
                <v:fill on="t" color2="#FFFFFF" focussize="0,0"/>
                <v:stroke color="#000000" joinstyle="miter"/>
                <v:imagedata o:title=""/>
                <o:lock v:ext="edit" aspectratio="f"/>
                <v:textbox>
                  <w:txbxContent>
                    <w:p w14:paraId="170A1108">
                      <w:pPr>
                        <w:jc w:val="center"/>
                        <w:rPr>
                          <w:szCs w:val="21"/>
                        </w:rPr>
                      </w:pPr>
                      <w:r>
                        <w:rPr>
                          <w:rFonts w:hint="eastAsia"/>
                          <w:szCs w:val="21"/>
                        </w:rPr>
                        <w:t>提出安全对策措施建议</w:t>
                      </w:r>
                    </w:p>
                  </w:txbxContent>
                </v:textbox>
              </v:rect>
              <v:rect id="矩形 1557" o:spid="_x0000_s1115" o:spt="1" style="position:absolute;left:4011;top:9172;height:468;width:3675;" fillcolor="#FFFFFF" filled="t" stroked="t" coordsize="21600,21600">
                <v:path arrowok="t"/>
                <v:fill on="t" color2="#FFFFFF" focussize="0,0"/>
                <v:stroke color="#000000" joinstyle="miter"/>
                <v:imagedata o:title=""/>
                <o:lock v:ext="edit" aspectratio="f"/>
                <v:textbox>
                  <w:txbxContent>
                    <w:p w14:paraId="2286687F">
                      <w:pPr>
                        <w:jc w:val="center"/>
                        <w:rPr>
                          <w:szCs w:val="21"/>
                        </w:rPr>
                      </w:pPr>
                      <w:r>
                        <w:rPr>
                          <w:rFonts w:hint="eastAsia"/>
                          <w:szCs w:val="21"/>
                        </w:rPr>
                        <w:t>做出评价结论</w:t>
                      </w:r>
                    </w:p>
                  </w:txbxContent>
                </v:textbox>
              </v:rect>
              <v:rect id="矩形 1558" o:spid="_x0000_s1116" o:spt="1" style="position:absolute;left:4011;top:10264;height:468;width:3675;" fillcolor="#FFFFFF" filled="t" stroked="t" coordsize="21600,21600">
                <v:path arrowok="t"/>
                <v:fill on="t" color2="#FFFFFF" focussize="0,0"/>
                <v:stroke color="#000000" joinstyle="miter"/>
                <v:imagedata o:title=""/>
                <o:lock v:ext="edit" aspectratio="f"/>
                <v:textbox>
                  <w:txbxContent>
                    <w:p w14:paraId="0FF2E470">
                      <w:pPr>
                        <w:jc w:val="center"/>
                        <w:rPr>
                          <w:szCs w:val="21"/>
                        </w:rPr>
                      </w:pPr>
                      <w:r>
                        <w:rPr>
                          <w:rFonts w:hint="eastAsia"/>
                          <w:szCs w:val="21"/>
                        </w:rPr>
                        <w:t>编制专项评价报告</w:t>
                      </w:r>
                    </w:p>
                  </w:txbxContent>
                </v:textbox>
              </v:rect>
              <v:line id="直线 1559" o:spid="_x0000_s1117" o:spt="20" style="position:absolute;left:5841;top:6052;height:624;width:0;" filled="f" stroked="t" coordsize="21600,21600">
                <v:path arrowok="t"/>
                <v:fill on="f" focussize="0,0"/>
                <v:stroke color="#000000" endarrow="block"/>
                <v:imagedata o:title=""/>
                <o:lock v:ext="edit" aspectratio="f"/>
              </v:line>
              <v:line id="直线 1560" o:spid="_x0000_s1118" o:spt="20" style="position:absolute;left:5841;top:7144;height:780;width:0;" filled="f" stroked="t" coordsize="21600,21600">
                <v:path arrowok="t"/>
                <v:fill on="f" focussize="0,0"/>
                <v:stroke color="#000000" endarrow="block"/>
                <v:imagedata o:title=""/>
                <o:lock v:ext="edit" aspectratio="f"/>
              </v:line>
              <v:line id="直线 1561" o:spid="_x0000_s1119" o:spt="20" style="position:absolute;left:5841;top:8392;height:780;width:0;" filled="f" stroked="t" coordsize="21600,21600">
                <v:path arrowok="t"/>
                <v:fill on="f" focussize="0,0"/>
                <v:stroke color="#000000" endarrow="block"/>
                <v:imagedata o:title=""/>
                <o:lock v:ext="edit" aspectratio="f"/>
              </v:line>
              <v:line id="直线 1562" o:spid="_x0000_s1120" o:spt="20" style="position:absolute;left:5841;top:9640;height:624;width:0;" filled="f" stroked="t" coordsize="21600,21600">
                <v:path arrowok="t"/>
                <v:fill on="f" focussize="0,0"/>
                <v:stroke color="#000000" endarrow="block"/>
                <v:imagedata o:title=""/>
                <o:lock v:ext="edit" aspectratio="f"/>
              </v:line>
            </v:group>
            <w10:wrap type="none"/>
            <w10:anchorlock/>
          </v:group>
        </w:pict>
      </w:r>
    </w:p>
    <w:p w14:paraId="25654379">
      <w:pPr>
        <w:keepNext w:val="0"/>
        <w:keepLines w:val="0"/>
        <w:pageBreakBefore w:val="0"/>
        <w:widowControl w:val="0"/>
        <w:kinsoku/>
        <w:wordWrap/>
        <w:topLinePunct w:val="0"/>
        <w:autoSpaceDE w:val="0"/>
        <w:autoSpaceDN w:val="0"/>
        <w:bidi w:val="0"/>
        <w:adjustRightInd w:val="0"/>
        <w:snapToGrid w:val="0"/>
        <w:spacing w:line="360" w:lineRule="auto"/>
        <w:jc w:val="center"/>
        <w:rPr>
          <w:color w:val="000000" w:themeColor="text1"/>
          <w:highlight w:val="none"/>
        </w:rPr>
      </w:pPr>
      <w:r>
        <w:rPr>
          <w:rFonts w:hint="eastAsia" w:ascii="黑体" w:hAnsi="黑体" w:eastAsia="黑体"/>
          <w:b/>
          <w:bCs/>
          <w:color w:val="000000" w:themeColor="text1"/>
          <w:sz w:val="24"/>
          <w:szCs w:val="24"/>
          <w:highlight w:val="none"/>
        </w:rPr>
        <w:t>图1.5</w:t>
      </w:r>
      <w:r>
        <w:rPr>
          <w:rFonts w:hint="eastAsia" w:ascii="黑体" w:hAnsi="黑体" w:eastAsia="黑体"/>
          <w:b/>
          <w:bCs/>
          <w:color w:val="000000" w:themeColor="text1"/>
          <w:sz w:val="24"/>
          <w:szCs w:val="24"/>
          <w:highlight w:val="none"/>
          <w:lang w:val="en-US" w:eastAsia="zh-CN"/>
        </w:rPr>
        <w:t>-1</w:t>
      </w:r>
      <w:r>
        <w:rPr>
          <w:rFonts w:hint="eastAsia" w:ascii="黑体" w:hAnsi="黑体" w:eastAsia="黑体"/>
          <w:b/>
          <w:bCs/>
          <w:color w:val="000000" w:themeColor="text1"/>
          <w:sz w:val="24"/>
          <w:szCs w:val="24"/>
          <w:highlight w:val="none"/>
        </w:rPr>
        <w:t>专项评价程序</w:t>
      </w:r>
      <w:r>
        <w:rPr>
          <w:rFonts w:hint="eastAsia" w:ascii="黑体" w:hAnsi="黑体" w:eastAsia="黑体"/>
          <w:b/>
          <w:color w:val="000000" w:themeColor="text1"/>
          <w:sz w:val="24"/>
          <w:highlight w:val="none"/>
        </w:rPr>
        <w:t>框图</w:t>
      </w:r>
    </w:p>
    <w:p w14:paraId="0A9982C2">
      <w:pPr>
        <w:pStyle w:val="3"/>
        <w:keepNext w:val="0"/>
        <w:keepLines w:val="0"/>
        <w:pageBreakBefore w:val="0"/>
        <w:widowControl w:val="0"/>
        <w:numPr>
          <w:ilvl w:val="0"/>
          <w:numId w:val="0"/>
        </w:numPr>
        <w:kinsoku/>
        <w:wordWrap/>
        <w:topLinePunct w:val="0"/>
        <w:bidi w:val="0"/>
        <w:adjustRightInd w:val="0"/>
        <w:snapToGrid w:val="0"/>
        <w:spacing w:line="360" w:lineRule="auto"/>
        <w:ind w:left="560" w:leftChars="0"/>
        <w:rPr>
          <w:color w:val="000000" w:themeColor="text1"/>
          <w:sz w:val="24"/>
          <w:highlight w:val="none"/>
        </w:rPr>
        <w:sectPr>
          <w:headerReference r:id="rId11" w:type="default"/>
          <w:footerReference r:id="rId12" w:type="default"/>
          <w:pgSz w:w="11907" w:h="16840"/>
          <w:pgMar w:top="1418" w:right="1134" w:bottom="1134" w:left="1588" w:header="794" w:footer="794" w:gutter="0"/>
          <w:paperSrc w:first="7" w:other="7"/>
          <w:pgBorders>
            <w:top w:val="none" w:sz="0" w:space="0"/>
            <w:left w:val="none" w:sz="0" w:space="0"/>
            <w:bottom w:val="none" w:sz="0" w:space="0"/>
            <w:right w:val="none" w:sz="0" w:space="0"/>
          </w:pgBorders>
          <w:pgNumType w:start="1"/>
          <w:cols w:space="720" w:num="1"/>
          <w:docGrid w:linePitch="435" w:charSpace="2662"/>
        </w:sectPr>
      </w:pPr>
    </w:p>
    <w:bookmarkEnd w:id="125"/>
    <w:bookmarkEnd w:id="126"/>
    <w:p w14:paraId="2461DC30">
      <w:pPr>
        <w:pStyle w:val="5"/>
        <w:keepNext w:val="0"/>
        <w:keepLines w:val="0"/>
        <w:pageBreakBefore w:val="0"/>
        <w:widowControl w:val="0"/>
        <w:kinsoku/>
        <w:wordWrap/>
        <w:overflowPunct/>
        <w:topLinePunct w:val="0"/>
        <w:autoSpaceDE/>
        <w:autoSpaceDN/>
        <w:bidi w:val="0"/>
        <w:adjustRightInd w:val="0"/>
        <w:snapToGrid w:val="0"/>
        <w:spacing w:before="240" w:after="240"/>
        <w:textAlignment w:val="auto"/>
        <w:rPr>
          <w:color w:val="000000" w:themeColor="text1"/>
          <w:kern w:val="0"/>
          <w:highlight w:val="none"/>
        </w:rPr>
      </w:pPr>
      <w:bookmarkStart w:id="153" w:name="_Toc161042265"/>
      <w:bookmarkStart w:id="154" w:name="_Toc176576635"/>
      <w:bookmarkStart w:id="155" w:name="_Toc186273622"/>
      <w:bookmarkStart w:id="156" w:name="_Toc160859587"/>
      <w:bookmarkStart w:id="157" w:name="_Toc16609"/>
      <w:bookmarkStart w:id="158" w:name="_Toc198457530"/>
      <w:bookmarkStart w:id="159" w:name="_Toc234394469"/>
      <w:bookmarkStart w:id="160" w:name="_Toc9030"/>
      <w:bookmarkStart w:id="161" w:name="_Toc190762534"/>
      <w:bookmarkStart w:id="162" w:name="_Toc20436"/>
      <w:bookmarkStart w:id="163" w:name="_Toc449456789"/>
      <w:bookmarkStart w:id="164" w:name="_Toc19355"/>
      <w:bookmarkStart w:id="165" w:name="_Toc198521458"/>
      <w:bookmarkStart w:id="166" w:name="_Toc449456880"/>
      <w:bookmarkStart w:id="167" w:name="_Toc25723"/>
      <w:bookmarkStart w:id="168" w:name="_Toc20055"/>
      <w:r>
        <w:rPr>
          <w:rFonts w:hint="eastAsia"/>
          <w:color w:val="000000" w:themeColor="text1"/>
          <w:kern w:val="0"/>
          <w:highlight w:val="none"/>
        </w:rPr>
        <w:t xml:space="preserve">2  </w:t>
      </w:r>
      <w:bookmarkEnd w:id="39"/>
      <w:bookmarkEnd w:id="40"/>
      <w:bookmarkEnd w:id="153"/>
      <w:bookmarkEnd w:id="154"/>
      <w:bookmarkEnd w:id="155"/>
      <w:bookmarkEnd w:id="156"/>
      <w:r>
        <w:rPr>
          <w:rFonts w:hint="eastAsia"/>
          <w:color w:val="000000" w:themeColor="text1"/>
          <w:kern w:val="0"/>
          <w:highlight w:val="none"/>
        </w:rPr>
        <w:t>项目概况</w:t>
      </w:r>
      <w:bookmarkEnd w:id="157"/>
      <w:bookmarkEnd w:id="158"/>
      <w:bookmarkEnd w:id="159"/>
      <w:bookmarkEnd w:id="160"/>
      <w:bookmarkEnd w:id="161"/>
      <w:bookmarkEnd w:id="162"/>
      <w:bookmarkEnd w:id="163"/>
      <w:bookmarkEnd w:id="164"/>
      <w:bookmarkEnd w:id="165"/>
      <w:bookmarkEnd w:id="166"/>
      <w:bookmarkEnd w:id="167"/>
      <w:bookmarkEnd w:id="168"/>
    </w:p>
    <w:p w14:paraId="7BB037AB">
      <w:pPr>
        <w:pStyle w:val="6"/>
        <w:keepNext w:val="0"/>
        <w:keepLines w:val="0"/>
        <w:pageBreakBefore w:val="0"/>
        <w:widowControl w:val="0"/>
        <w:kinsoku/>
        <w:wordWrap/>
        <w:overflowPunct/>
        <w:topLinePunct w:val="0"/>
        <w:autoSpaceDE/>
        <w:autoSpaceDN/>
        <w:bidi w:val="0"/>
        <w:adjustRightInd w:val="0"/>
        <w:snapToGrid w:val="0"/>
        <w:textAlignment w:val="auto"/>
        <w:rPr>
          <w:color w:val="000000" w:themeColor="text1"/>
          <w:highlight w:val="none"/>
        </w:rPr>
      </w:pPr>
      <w:bookmarkStart w:id="169" w:name="_Toc161042266"/>
      <w:bookmarkStart w:id="170" w:name="_Toc198521459"/>
      <w:bookmarkStart w:id="171" w:name="_Toc449456881"/>
      <w:bookmarkStart w:id="172" w:name="_Toc449456790"/>
      <w:bookmarkStart w:id="173" w:name="_Toc190762535"/>
      <w:bookmarkStart w:id="174" w:name="_Toc5573"/>
      <w:bookmarkStart w:id="175" w:name="_Toc160859588"/>
      <w:bookmarkStart w:id="176" w:name="_Toc7724"/>
      <w:bookmarkStart w:id="177" w:name="_Toc198457531"/>
      <w:bookmarkStart w:id="178" w:name="_Toc151792110"/>
      <w:bookmarkStart w:id="179" w:name="_Toc10988"/>
      <w:bookmarkStart w:id="180" w:name="_Toc234394470"/>
      <w:bookmarkStart w:id="181" w:name="_Toc14206"/>
      <w:bookmarkStart w:id="182" w:name="_Toc150849423"/>
      <w:bookmarkStart w:id="183" w:name="_Toc186273623"/>
      <w:bookmarkStart w:id="184" w:name="_Toc3574"/>
      <w:bookmarkStart w:id="185" w:name="_Toc176576636"/>
      <w:bookmarkStart w:id="186" w:name="_Toc16904"/>
      <w:r>
        <w:rPr>
          <w:rFonts w:hint="eastAsia"/>
          <w:color w:val="000000" w:themeColor="text1"/>
          <w:highlight w:val="none"/>
        </w:rPr>
        <w:t>2.1 企业情况简介</w:t>
      </w:r>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p>
    <w:p w14:paraId="3B99B9EA">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ascii="宋体" w:hAnsi="宋体" w:eastAsia="宋体" w:cs="宋体"/>
          <w:snapToGrid w:val="0"/>
          <w:color w:val="000000" w:themeColor="text1"/>
          <w:sz w:val="28"/>
          <w:szCs w:val="28"/>
          <w:highlight w:val="none"/>
        </w:rPr>
      </w:pPr>
      <w:bookmarkStart w:id="187" w:name="OLE_LINK20"/>
      <w:bookmarkStart w:id="188" w:name="_Toc150849424"/>
      <w:bookmarkStart w:id="189" w:name="_Toc151792111"/>
      <w:bookmarkStart w:id="190" w:name="_Toc186273624"/>
      <w:bookmarkStart w:id="191" w:name="_Toc198457532"/>
      <w:bookmarkStart w:id="192" w:name="_Toc160859589"/>
      <w:bookmarkStart w:id="193" w:name="_Toc161042267"/>
      <w:bookmarkStart w:id="194" w:name="_Toc198521460"/>
      <w:bookmarkStart w:id="195" w:name="_Toc176576637"/>
      <w:bookmarkStart w:id="196" w:name="_Toc234394471"/>
      <w:bookmarkStart w:id="197" w:name="_Toc190762536"/>
      <w:r>
        <w:rPr>
          <w:rFonts w:hint="eastAsia"/>
          <w:snapToGrid w:val="0"/>
          <w:color w:val="000000" w:themeColor="text1"/>
          <w:sz w:val="28"/>
          <w:szCs w:val="28"/>
          <w:highlight w:val="none"/>
        </w:rPr>
        <w:t>2000年3月10日，宁波敦煌集团股份有限公司更名为宁波维科精华集团股份有限公司，2003年4月23日，宁波维科精华集团股份有限公司与美国线业国际投资有限公司共同投资成立华美线业</w:t>
      </w:r>
      <w:r>
        <w:rPr>
          <w:rFonts w:hint="eastAsia"/>
          <w:snapToGrid w:val="0"/>
          <w:color w:val="000000" w:themeColor="text1"/>
          <w:sz w:val="28"/>
          <w:szCs w:val="28"/>
          <w:highlight w:val="none"/>
          <w:lang w:eastAsia="zh-CN"/>
        </w:rPr>
        <w:t>，</w:t>
      </w:r>
      <w:r>
        <w:rPr>
          <w:rFonts w:hint="eastAsia" w:ascii="宋体" w:hAnsi="宋体" w:eastAsia="宋体" w:cs="宋体"/>
          <w:snapToGrid w:val="0"/>
          <w:color w:val="000000" w:themeColor="text1"/>
          <w:sz w:val="28"/>
          <w:szCs w:val="28"/>
          <w:highlight w:val="none"/>
        </w:rPr>
        <w:t>华美线业位于浙江省宁波市镇海区庄市</w:t>
      </w:r>
      <w:r>
        <w:rPr>
          <w:rFonts w:hint="eastAsia" w:ascii="宋体" w:hAnsi="宋体" w:eastAsia="宋体" w:cs="宋体"/>
          <w:snapToGrid w:val="0"/>
          <w:color w:val="000000" w:themeColor="text1"/>
          <w:sz w:val="28"/>
          <w:szCs w:val="28"/>
          <w:highlight w:val="none"/>
          <w:lang w:eastAsia="zh-CN"/>
        </w:rPr>
        <w:t>兆龙路</w:t>
      </w:r>
      <w:r>
        <w:rPr>
          <w:rFonts w:hint="eastAsia" w:ascii="宋体" w:hAnsi="宋体" w:eastAsia="宋体" w:cs="宋体"/>
          <w:snapToGrid w:val="0"/>
          <w:color w:val="000000" w:themeColor="text1"/>
          <w:sz w:val="28"/>
          <w:szCs w:val="28"/>
          <w:highlight w:val="none"/>
          <w:lang w:val="en-US" w:eastAsia="zh-CN"/>
        </w:rPr>
        <w:t>195号</w:t>
      </w:r>
      <w:r>
        <w:rPr>
          <w:rFonts w:hint="eastAsia" w:ascii="宋体" w:hAnsi="宋体" w:eastAsia="宋体" w:cs="宋体"/>
          <w:snapToGrid w:val="0"/>
          <w:color w:val="000000" w:themeColor="text1"/>
          <w:sz w:val="28"/>
          <w:szCs w:val="28"/>
          <w:highlight w:val="none"/>
        </w:rPr>
        <w:t>，</w:t>
      </w:r>
      <w:r>
        <w:rPr>
          <w:rFonts w:hint="eastAsia" w:ascii="宋体" w:hAnsi="宋体" w:eastAsia="宋体" w:cs="宋体"/>
          <w:snapToGrid w:val="0"/>
          <w:color w:val="000000" w:themeColor="text1"/>
          <w:sz w:val="28"/>
          <w:szCs w:val="28"/>
          <w:highlight w:val="none"/>
          <w:lang w:eastAsia="zh-CN"/>
        </w:rPr>
        <w:t>注册资本</w:t>
      </w:r>
      <w:r>
        <w:rPr>
          <w:rFonts w:hint="eastAsia" w:ascii="宋体" w:hAnsi="宋体" w:eastAsia="宋体" w:cs="宋体"/>
          <w:snapToGrid w:val="0"/>
          <w:color w:val="000000" w:themeColor="text1"/>
          <w:sz w:val="28"/>
          <w:szCs w:val="28"/>
          <w:highlight w:val="none"/>
          <w:lang w:val="en-US" w:eastAsia="zh-CN"/>
        </w:rPr>
        <w:t>10732万元</w:t>
      </w:r>
      <w:r>
        <w:rPr>
          <w:rFonts w:hint="eastAsia"/>
          <w:snapToGrid w:val="0"/>
          <w:color w:val="000000" w:themeColor="text1"/>
          <w:sz w:val="28"/>
          <w:szCs w:val="28"/>
          <w:highlight w:val="none"/>
        </w:rPr>
        <w:t>，</w:t>
      </w:r>
      <w:r>
        <w:rPr>
          <w:rFonts w:hint="eastAsia" w:ascii="宋体" w:hAnsi="宋体" w:eastAsia="宋体" w:cs="宋体"/>
          <w:snapToGrid w:val="0"/>
          <w:color w:val="000000" w:themeColor="text1"/>
          <w:sz w:val="28"/>
          <w:szCs w:val="28"/>
          <w:highlight w:val="none"/>
        </w:rPr>
        <w:t>专注于提供最专业的纺织类产品缝制解决方案。</w:t>
      </w:r>
    </w:p>
    <w:p w14:paraId="054D333C">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ascii="宋体" w:hAnsi="宋体" w:eastAsia="宋体" w:cs="宋体"/>
          <w:snapToGrid w:val="0"/>
          <w:color w:val="000000" w:themeColor="text1"/>
          <w:sz w:val="28"/>
          <w:szCs w:val="28"/>
          <w:highlight w:val="none"/>
        </w:rPr>
      </w:pPr>
      <w:r>
        <w:rPr>
          <w:rFonts w:hint="eastAsia" w:ascii="宋体" w:hAnsi="宋体" w:eastAsia="宋体" w:cs="宋体"/>
          <w:snapToGrid w:val="0"/>
          <w:color w:val="000000" w:themeColor="text1"/>
          <w:sz w:val="28"/>
          <w:szCs w:val="28"/>
          <w:highlight w:val="none"/>
        </w:rPr>
        <w:t>华美线业年产涤纶缝纫线近万吨，涤纶绣花线近千吨。</w:t>
      </w:r>
    </w:p>
    <w:p w14:paraId="641895F8">
      <w:pPr>
        <w:keepNext w:val="0"/>
        <w:keepLines w:val="0"/>
        <w:pageBreakBefore w:val="0"/>
        <w:widowControl w:val="0"/>
        <w:tabs>
          <w:tab w:val="left" w:pos="2160"/>
        </w:tabs>
        <w:kinsoku/>
        <w:wordWrap/>
        <w:topLinePunct w:val="0"/>
        <w:bidi w:val="0"/>
        <w:adjustRightInd w:val="0"/>
        <w:snapToGrid w:val="0"/>
        <w:spacing w:line="360" w:lineRule="auto"/>
        <w:ind w:firstLine="556"/>
        <w:rPr>
          <w:snapToGrid w:val="0"/>
          <w:color w:val="000000" w:themeColor="text1"/>
          <w:sz w:val="28"/>
          <w:highlight w:val="none"/>
        </w:rPr>
      </w:pPr>
      <w:r>
        <w:rPr>
          <w:rFonts w:hint="eastAsia"/>
          <w:snapToGrid w:val="0"/>
          <w:color w:val="000000" w:themeColor="text1"/>
          <w:sz w:val="28"/>
          <w:highlight w:val="none"/>
        </w:rPr>
        <w:t>华美线业基本</w:t>
      </w:r>
      <w:r>
        <w:rPr>
          <w:rFonts w:hint="eastAsia"/>
          <w:snapToGrid w:val="0"/>
          <w:color w:val="000000" w:themeColor="text1"/>
          <w:sz w:val="28"/>
          <w:highlight w:val="none"/>
          <w:lang w:eastAsia="zh-CN"/>
        </w:rPr>
        <w:t>情况见下表</w:t>
      </w:r>
      <w:r>
        <w:rPr>
          <w:rFonts w:hint="eastAsia"/>
          <w:snapToGrid w:val="0"/>
          <w:color w:val="000000" w:themeColor="text1"/>
          <w:sz w:val="28"/>
          <w:highlight w:val="none"/>
        </w:rPr>
        <w:t>。</w:t>
      </w:r>
    </w:p>
    <w:p w14:paraId="46F06419">
      <w:pPr>
        <w:pStyle w:val="738"/>
        <w:keepNext w:val="0"/>
        <w:keepLines w:val="0"/>
        <w:pageBreakBefore w:val="0"/>
        <w:widowControl w:val="0"/>
        <w:kinsoku/>
        <w:wordWrap/>
        <w:topLinePunct w:val="0"/>
        <w:bidi w:val="0"/>
        <w:spacing w:line="360" w:lineRule="auto"/>
        <w:ind w:firstLine="482"/>
        <w:rPr>
          <w:rFonts w:ascii="黑体" w:hAnsi="黑体" w:eastAsia="黑体"/>
          <w:b/>
          <w:color w:val="000000" w:themeColor="text1"/>
          <w:sz w:val="24"/>
          <w:szCs w:val="24"/>
          <w:highlight w:val="none"/>
        </w:rPr>
      </w:pPr>
      <w:r>
        <w:rPr>
          <w:rFonts w:hint="eastAsia" w:ascii="黑体" w:hAnsi="黑体" w:eastAsia="黑体"/>
          <w:b/>
          <w:color w:val="000000" w:themeColor="text1"/>
          <w:sz w:val="24"/>
          <w:szCs w:val="24"/>
          <w:highlight w:val="none"/>
        </w:rPr>
        <w:t>表</w:t>
      </w:r>
      <w:r>
        <w:rPr>
          <w:rFonts w:ascii="黑体" w:hAnsi="黑体" w:eastAsia="黑体"/>
          <w:b/>
          <w:color w:val="000000" w:themeColor="text1"/>
          <w:sz w:val="24"/>
          <w:szCs w:val="24"/>
          <w:highlight w:val="none"/>
        </w:rPr>
        <w:t>2.1</w:t>
      </w:r>
      <w:r>
        <w:rPr>
          <w:rFonts w:hint="eastAsia" w:ascii="黑体" w:hAnsi="黑体" w:eastAsia="黑体"/>
          <w:b/>
          <w:color w:val="000000" w:themeColor="text1"/>
          <w:sz w:val="24"/>
          <w:szCs w:val="24"/>
          <w:highlight w:val="none"/>
          <w:lang w:val="en-US" w:eastAsia="zh-CN"/>
        </w:rPr>
        <w:t>-1</w:t>
      </w:r>
      <w:r>
        <w:rPr>
          <w:rFonts w:ascii="黑体" w:hAnsi="黑体" w:eastAsia="黑体"/>
          <w:b/>
          <w:color w:val="000000" w:themeColor="text1"/>
          <w:sz w:val="24"/>
          <w:szCs w:val="24"/>
          <w:highlight w:val="none"/>
        </w:rPr>
        <w:t xml:space="preserve"> </w:t>
      </w:r>
      <w:r>
        <w:rPr>
          <w:rFonts w:hint="eastAsia" w:ascii="黑体" w:hAnsi="黑体" w:eastAsia="黑体"/>
          <w:b/>
          <w:color w:val="000000" w:themeColor="text1"/>
          <w:sz w:val="24"/>
          <w:szCs w:val="24"/>
          <w:highlight w:val="none"/>
        </w:rPr>
        <w:t>华美线业基本情况表</w:t>
      </w:r>
    </w:p>
    <w:tbl>
      <w:tblPr>
        <w:tblStyle w:val="62"/>
        <w:tblW w:w="94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2737"/>
        <w:gridCol w:w="1374"/>
        <w:gridCol w:w="3284"/>
      </w:tblGrid>
      <w:tr w14:paraId="47B98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93" w:type="dxa"/>
            <w:vAlign w:val="center"/>
          </w:tcPr>
          <w:p w14:paraId="0174F259">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单位名称</w:t>
            </w:r>
          </w:p>
        </w:tc>
        <w:tc>
          <w:tcPr>
            <w:tcW w:w="7395" w:type="dxa"/>
            <w:gridSpan w:val="3"/>
            <w:vAlign w:val="center"/>
          </w:tcPr>
          <w:p w14:paraId="77E45CB9">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华美线业有限公司</w:t>
            </w:r>
          </w:p>
        </w:tc>
      </w:tr>
      <w:tr w14:paraId="79189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93" w:type="dxa"/>
            <w:vAlign w:val="center"/>
          </w:tcPr>
          <w:p w14:paraId="2747306F">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地址</w:t>
            </w:r>
          </w:p>
        </w:tc>
        <w:tc>
          <w:tcPr>
            <w:tcW w:w="7395" w:type="dxa"/>
            <w:gridSpan w:val="3"/>
            <w:vAlign w:val="center"/>
          </w:tcPr>
          <w:p w14:paraId="0EC52607">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宋体" w:hAnsi="宋体" w:eastAsia="宋体" w:cs="宋体"/>
                <w:color w:val="000000" w:themeColor="text1"/>
                <w:sz w:val="21"/>
                <w:szCs w:val="21"/>
                <w:highlight w:val="none"/>
              </w:rPr>
            </w:pPr>
            <w:bookmarkStart w:id="198" w:name="OLE_LINK3"/>
            <w:bookmarkStart w:id="199" w:name="OLE_LINK4"/>
            <w:r>
              <w:rPr>
                <w:rFonts w:hint="eastAsia" w:ascii="宋体" w:hAnsi="宋体" w:eastAsia="宋体" w:cs="宋体"/>
                <w:color w:val="000000" w:themeColor="text1"/>
                <w:sz w:val="21"/>
                <w:szCs w:val="21"/>
                <w:highlight w:val="none"/>
              </w:rPr>
              <w:t>宁波镇海区庄市兆龙路195号</w:t>
            </w:r>
            <w:bookmarkEnd w:id="198"/>
            <w:bookmarkEnd w:id="199"/>
          </w:p>
        </w:tc>
      </w:tr>
      <w:tr w14:paraId="0EB4E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93" w:type="dxa"/>
            <w:vAlign w:val="center"/>
          </w:tcPr>
          <w:p w14:paraId="5D302FF8">
            <w:pPr>
              <w:keepNext w:val="0"/>
              <w:keepLines w:val="0"/>
              <w:pageBreakBefore w:val="0"/>
              <w:widowControl w:val="0"/>
              <w:kinsoku/>
              <w:wordWrap/>
              <w:overflowPunct/>
              <w:topLinePunct w:val="0"/>
              <w:autoSpaceDE/>
              <w:bidi w:val="0"/>
              <w:adjustRightInd w:val="0"/>
              <w:snapToGrid w:val="0"/>
              <w:spacing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统一社会信用代码</w:t>
            </w:r>
          </w:p>
        </w:tc>
        <w:tc>
          <w:tcPr>
            <w:tcW w:w="2737" w:type="dxa"/>
            <w:vAlign w:val="center"/>
          </w:tcPr>
          <w:p w14:paraId="48BB2D72">
            <w:pPr>
              <w:keepNext w:val="0"/>
              <w:keepLines w:val="0"/>
              <w:pageBreakBefore w:val="0"/>
              <w:widowControl w:val="0"/>
              <w:kinsoku/>
              <w:wordWrap/>
              <w:overflowPunct/>
              <w:topLinePunct w:val="0"/>
              <w:autoSpaceDE/>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91330200747385025W(1/1)</w:t>
            </w:r>
          </w:p>
        </w:tc>
        <w:tc>
          <w:tcPr>
            <w:tcW w:w="1374" w:type="dxa"/>
            <w:vAlign w:val="center"/>
          </w:tcPr>
          <w:p w14:paraId="13794B34">
            <w:pPr>
              <w:keepNext w:val="0"/>
              <w:keepLines w:val="0"/>
              <w:pageBreakBefore w:val="0"/>
              <w:widowControl w:val="0"/>
              <w:kinsoku/>
              <w:wordWrap/>
              <w:overflowPunct/>
              <w:topLinePunct w:val="0"/>
              <w:autoSpaceDE/>
              <w:bidi w:val="0"/>
              <w:adjustRightInd w:val="0"/>
              <w:snapToGrid w:val="0"/>
              <w:spacing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企业类型</w:t>
            </w:r>
          </w:p>
        </w:tc>
        <w:tc>
          <w:tcPr>
            <w:tcW w:w="3284" w:type="dxa"/>
            <w:vAlign w:val="center"/>
          </w:tcPr>
          <w:p w14:paraId="1CBB29F3">
            <w:pPr>
              <w:keepNext w:val="0"/>
              <w:keepLines w:val="0"/>
              <w:pageBreakBefore w:val="0"/>
              <w:widowControl w:val="0"/>
              <w:kinsoku/>
              <w:wordWrap/>
              <w:overflowPunct/>
              <w:topLinePunct w:val="0"/>
              <w:autoSpaceDE/>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有限责任公司（外商合资）</w:t>
            </w:r>
          </w:p>
        </w:tc>
      </w:tr>
      <w:tr w14:paraId="6F3DB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93" w:type="dxa"/>
            <w:vAlign w:val="center"/>
          </w:tcPr>
          <w:p w14:paraId="49EAEA64">
            <w:pPr>
              <w:keepNext w:val="0"/>
              <w:keepLines w:val="0"/>
              <w:pageBreakBefore w:val="0"/>
              <w:widowControl w:val="0"/>
              <w:kinsoku/>
              <w:wordWrap/>
              <w:overflowPunct/>
              <w:topLinePunct w:val="0"/>
              <w:autoSpaceDE/>
              <w:bidi w:val="0"/>
              <w:adjustRightInd w:val="0"/>
              <w:snapToGrid w:val="0"/>
              <w:spacing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kern w:val="0"/>
                <w:sz w:val="21"/>
                <w:szCs w:val="21"/>
                <w:highlight w:val="none"/>
              </w:rPr>
              <w:t>法人代表</w:t>
            </w:r>
          </w:p>
        </w:tc>
        <w:tc>
          <w:tcPr>
            <w:tcW w:w="2737" w:type="dxa"/>
            <w:vAlign w:val="center"/>
          </w:tcPr>
          <w:p w14:paraId="6E5F1DFF">
            <w:pPr>
              <w:keepNext w:val="0"/>
              <w:keepLines w:val="0"/>
              <w:pageBreakBefore w:val="0"/>
              <w:widowControl w:val="0"/>
              <w:kinsoku/>
              <w:wordWrap/>
              <w:overflowPunct/>
              <w:topLinePunct w:val="0"/>
              <w:autoSpaceDE/>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CHRISTOPHER RANDALL ALT</w:t>
            </w:r>
          </w:p>
        </w:tc>
        <w:tc>
          <w:tcPr>
            <w:tcW w:w="1374" w:type="dxa"/>
            <w:vAlign w:val="center"/>
          </w:tcPr>
          <w:p w14:paraId="09DB1A4E">
            <w:pPr>
              <w:keepNext w:val="0"/>
              <w:keepLines w:val="0"/>
              <w:pageBreakBefore w:val="0"/>
              <w:widowControl w:val="0"/>
              <w:kinsoku/>
              <w:wordWrap/>
              <w:overflowPunct/>
              <w:topLinePunct w:val="0"/>
              <w:autoSpaceDE/>
              <w:bidi w:val="0"/>
              <w:adjustRightInd w:val="0"/>
              <w:snapToGrid w:val="0"/>
              <w:spacing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登记机关</w:t>
            </w:r>
          </w:p>
        </w:tc>
        <w:tc>
          <w:tcPr>
            <w:tcW w:w="3284" w:type="dxa"/>
            <w:vAlign w:val="center"/>
          </w:tcPr>
          <w:p w14:paraId="0D0240DE">
            <w:pPr>
              <w:keepNext w:val="0"/>
              <w:keepLines w:val="0"/>
              <w:pageBreakBefore w:val="0"/>
              <w:widowControl w:val="0"/>
              <w:kinsoku/>
              <w:wordWrap/>
              <w:overflowPunct/>
              <w:topLinePunct w:val="0"/>
              <w:autoSpaceDE/>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宁波市市场监督管理局</w:t>
            </w:r>
          </w:p>
        </w:tc>
      </w:tr>
      <w:tr w14:paraId="5C0D4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93" w:type="dxa"/>
            <w:vAlign w:val="center"/>
          </w:tcPr>
          <w:p w14:paraId="44536C62">
            <w:pPr>
              <w:keepNext w:val="0"/>
              <w:keepLines w:val="0"/>
              <w:pageBreakBefore w:val="0"/>
              <w:widowControl w:val="0"/>
              <w:kinsoku/>
              <w:wordWrap/>
              <w:overflowPunct/>
              <w:topLinePunct w:val="0"/>
              <w:autoSpaceDE/>
              <w:bidi w:val="0"/>
              <w:adjustRightInd w:val="0"/>
              <w:snapToGrid w:val="0"/>
              <w:spacing w:line="240" w:lineRule="auto"/>
              <w:jc w:val="center"/>
              <w:rPr>
                <w:rFonts w:hint="eastAsia" w:ascii="宋体" w:hAnsi="宋体" w:eastAsia="宋体" w:cs="宋体"/>
                <w:b/>
                <w:bCs/>
                <w:color w:val="000000" w:themeColor="text1"/>
                <w:sz w:val="21"/>
                <w:szCs w:val="21"/>
                <w:highlight w:val="none"/>
              </w:rPr>
            </w:pPr>
            <w:bookmarkStart w:id="200" w:name="_Toc449456882"/>
            <w:bookmarkStart w:id="201" w:name="_Toc449456791"/>
            <w:r>
              <w:rPr>
                <w:rFonts w:hint="eastAsia" w:ascii="宋体" w:hAnsi="宋体" w:eastAsia="宋体" w:cs="宋体"/>
                <w:b/>
                <w:bCs/>
                <w:color w:val="000000" w:themeColor="text1"/>
                <w:sz w:val="21"/>
                <w:szCs w:val="21"/>
                <w:highlight w:val="none"/>
              </w:rPr>
              <w:t>经营范围</w:t>
            </w:r>
          </w:p>
        </w:tc>
        <w:tc>
          <w:tcPr>
            <w:tcW w:w="7395" w:type="dxa"/>
            <w:gridSpan w:val="3"/>
            <w:vAlign w:val="center"/>
          </w:tcPr>
          <w:p w14:paraId="23D60363">
            <w:pPr>
              <w:keepNext w:val="0"/>
              <w:keepLines w:val="0"/>
              <w:pageBreakBefore w:val="0"/>
              <w:widowControl w:val="0"/>
              <w:kinsoku/>
              <w:wordWrap/>
              <w:overflowPunct/>
              <w:topLinePunct w:val="0"/>
              <w:autoSpaceDE/>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生产各类缝纫线、绣花线及其各类纱线制品及半制品，包括各类纱线制品的纺纱、捻线及染整加工；特种纱线及纺织品生产和加工；在国内外分销及出售本企业生产的各种产品并提供售后服务；服装辅料的批发（但涉及配额许可证管理、专项规定管理的商品和技术按照国家有关规定办理）；自营和代理各类货物和技术的进出口业务（但国家限定经营或禁止进出口的商品和技术除外）。</w:t>
            </w:r>
          </w:p>
        </w:tc>
      </w:tr>
      <w:bookmarkEnd w:id="187"/>
    </w:tbl>
    <w:p w14:paraId="18289754">
      <w:pPr>
        <w:pStyle w:val="6"/>
        <w:keepNext w:val="0"/>
        <w:keepLines w:val="0"/>
        <w:pageBreakBefore w:val="0"/>
        <w:widowControl w:val="0"/>
        <w:kinsoku/>
        <w:wordWrap/>
        <w:overflowPunct/>
        <w:topLinePunct w:val="0"/>
        <w:autoSpaceDE/>
        <w:autoSpaceDN/>
        <w:bidi w:val="0"/>
        <w:adjustRightInd w:val="0"/>
        <w:snapToGrid w:val="0"/>
        <w:spacing w:beforeLines="50"/>
        <w:textAlignment w:val="auto"/>
        <w:rPr>
          <w:color w:val="000000" w:themeColor="text1"/>
          <w:highlight w:val="none"/>
        </w:rPr>
      </w:pPr>
      <w:bookmarkStart w:id="202" w:name="_Toc13612"/>
      <w:bookmarkStart w:id="203" w:name="_Toc6932"/>
      <w:bookmarkStart w:id="204" w:name="_Toc30638"/>
      <w:bookmarkStart w:id="205" w:name="_Toc9497"/>
      <w:bookmarkStart w:id="206" w:name="_Toc10555"/>
      <w:bookmarkStart w:id="207" w:name="_Toc1693"/>
      <w:r>
        <w:rPr>
          <w:rFonts w:hint="eastAsia"/>
          <w:color w:val="000000" w:themeColor="text1"/>
          <w:highlight w:val="none"/>
        </w:rPr>
        <w:t xml:space="preserve">2.2 </w:t>
      </w:r>
      <w:bookmarkEnd w:id="188"/>
      <w:bookmarkEnd w:id="189"/>
      <w:bookmarkEnd w:id="190"/>
      <w:bookmarkEnd w:id="191"/>
      <w:bookmarkEnd w:id="192"/>
      <w:bookmarkEnd w:id="193"/>
      <w:bookmarkEnd w:id="194"/>
      <w:bookmarkEnd w:id="195"/>
      <w:bookmarkEnd w:id="196"/>
      <w:bookmarkEnd w:id="197"/>
      <w:bookmarkEnd w:id="200"/>
      <w:bookmarkEnd w:id="201"/>
      <w:r>
        <w:rPr>
          <w:rFonts w:hint="eastAsia"/>
          <w:color w:val="000000" w:themeColor="text1"/>
          <w:highlight w:val="none"/>
        </w:rPr>
        <w:t>地理位置、自然条件及周边环境</w:t>
      </w:r>
      <w:bookmarkEnd w:id="202"/>
      <w:bookmarkEnd w:id="203"/>
      <w:bookmarkEnd w:id="204"/>
      <w:bookmarkEnd w:id="205"/>
      <w:bookmarkEnd w:id="206"/>
      <w:bookmarkEnd w:id="207"/>
    </w:p>
    <w:p w14:paraId="68BAF0C1">
      <w:pPr>
        <w:pStyle w:val="7"/>
        <w:keepNext w:val="0"/>
        <w:keepLines w:val="0"/>
        <w:pageBreakBefore w:val="0"/>
        <w:widowControl w:val="0"/>
        <w:kinsoku/>
        <w:wordWrap/>
        <w:overflowPunct/>
        <w:topLinePunct w:val="0"/>
        <w:autoSpaceDE/>
        <w:autoSpaceDN/>
        <w:bidi w:val="0"/>
        <w:adjustRightInd w:val="0"/>
        <w:snapToGrid w:val="0"/>
        <w:textAlignment w:val="auto"/>
        <w:rPr>
          <w:color w:val="000000" w:themeColor="text1"/>
          <w:highlight w:val="none"/>
        </w:rPr>
      </w:pPr>
      <w:bookmarkStart w:id="208" w:name="_Toc314"/>
      <w:bookmarkStart w:id="209" w:name="_Toc87"/>
      <w:bookmarkStart w:id="210" w:name="_Toc5505"/>
      <w:bookmarkStart w:id="211" w:name="_Toc13235"/>
      <w:bookmarkStart w:id="212" w:name="_Toc19004"/>
      <w:bookmarkStart w:id="213" w:name="_Toc12500"/>
      <w:r>
        <w:rPr>
          <w:rFonts w:hint="eastAsia"/>
          <w:color w:val="000000" w:themeColor="text1"/>
          <w:highlight w:val="none"/>
        </w:rPr>
        <w:t>2.2.1 地理位置</w:t>
      </w:r>
      <w:bookmarkEnd w:id="208"/>
      <w:bookmarkEnd w:id="209"/>
      <w:bookmarkEnd w:id="210"/>
      <w:bookmarkEnd w:id="211"/>
      <w:bookmarkEnd w:id="212"/>
      <w:bookmarkEnd w:id="213"/>
    </w:p>
    <w:p w14:paraId="30496EB5">
      <w:pPr>
        <w:pStyle w:val="95"/>
        <w:keepNext w:val="0"/>
        <w:keepLines w:val="0"/>
        <w:pageBreakBefore w:val="0"/>
        <w:widowControl w:val="0"/>
        <w:kinsoku/>
        <w:wordWrap/>
        <w:topLinePunct w:val="0"/>
        <w:bidi w:val="0"/>
        <w:adjustRightInd w:val="0"/>
        <w:snapToGrid w:val="0"/>
        <w:spacing w:line="360" w:lineRule="auto"/>
        <w:ind w:firstLine="560"/>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华美线业位于宁波镇海区庄市兆龙路195号。镇海为宁波所辖的五区之一，地处我国东海之滨，宁波市的东北部，位于甬江入海口，东濒灰鳖洋，南临甬江，西接宁波江北区，北与慈溪市接壤。地理位置为东经121</w:t>
      </w:r>
      <w:r>
        <w:rPr>
          <w:rFonts w:hint="eastAsia" w:ascii="宋体" w:hAnsi="宋体" w:eastAsia="宋体" w:cs="宋体"/>
          <w:color w:val="000000" w:themeColor="text1"/>
          <w:sz w:val="28"/>
          <w:szCs w:val="28"/>
          <w:highlight w:val="none"/>
        </w:rPr>
        <w:sym w:font="Symbol" w:char="F0B0"/>
      </w:r>
      <w:r>
        <w:rPr>
          <w:rFonts w:hint="eastAsia" w:ascii="宋体" w:hAnsi="宋体" w:eastAsia="宋体" w:cs="宋体"/>
          <w:color w:val="000000" w:themeColor="text1"/>
          <w:sz w:val="28"/>
          <w:szCs w:val="28"/>
          <w:highlight w:val="none"/>
        </w:rPr>
        <w:t>27</w:t>
      </w:r>
      <w:r>
        <w:rPr>
          <w:rFonts w:hint="eastAsia" w:ascii="宋体" w:hAnsi="宋体" w:eastAsia="宋体" w:cs="宋体"/>
          <w:color w:val="000000" w:themeColor="text1"/>
          <w:sz w:val="28"/>
          <w:szCs w:val="28"/>
          <w:highlight w:val="none"/>
        </w:rPr>
        <w:sym w:font="Symbol" w:char="F0A2"/>
      </w:r>
      <w:r>
        <w:rPr>
          <w:rFonts w:hint="eastAsia" w:ascii="宋体" w:hAnsi="宋体" w:eastAsia="宋体" w:cs="宋体"/>
          <w:color w:val="000000" w:themeColor="text1"/>
          <w:sz w:val="28"/>
          <w:szCs w:val="28"/>
          <w:highlight w:val="none"/>
        </w:rPr>
        <w:t>-121</w:t>
      </w:r>
      <w:r>
        <w:rPr>
          <w:rFonts w:hint="eastAsia" w:ascii="宋体" w:hAnsi="宋体" w:eastAsia="宋体" w:cs="宋体"/>
          <w:color w:val="000000" w:themeColor="text1"/>
          <w:sz w:val="28"/>
          <w:szCs w:val="28"/>
          <w:highlight w:val="none"/>
        </w:rPr>
        <w:sym w:font="Symbol" w:char="F0B0"/>
      </w:r>
      <w:r>
        <w:rPr>
          <w:rFonts w:hint="eastAsia" w:ascii="宋体" w:hAnsi="宋体" w:eastAsia="宋体" w:cs="宋体"/>
          <w:color w:val="000000" w:themeColor="text1"/>
          <w:sz w:val="28"/>
          <w:szCs w:val="28"/>
          <w:highlight w:val="none"/>
        </w:rPr>
        <w:t>46</w:t>
      </w:r>
      <w:r>
        <w:rPr>
          <w:rFonts w:hint="eastAsia" w:ascii="宋体" w:hAnsi="宋体" w:eastAsia="宋体" w:cs="宋体"/>
          <w:color w:val="000000" w:themeColor="text1"/>
          <w:sz w:val="28"/>
          <w:szCs w:val="28"/>
          <w:highlight w:val="none"/>
        </w:rPr>
        <w:sym w:font="Symbol" w:char="F0A2"/>
      </w:r>
      <w:r>
        <w:rPr>
          <w:rFonts w:hint="eastAsia" w:ascii="宋体" w:hAnsi="宋体" w:eastAsia="宋体" w:cs="宋体"/>
          <w:color w:val="000000" w:themeColor="text1"/>
          <w:sz w:val="28"/>
          <w:szCs w:val="28"/>
          <w:highlight w:val="none"/>
        </w:rPr>
        <w:t>，北纬29</w:t>
      </w:r>
      <w:r>
        <w:rPr>
          <w:rFonts w:hint="eastAsia" w:ascii="宋体" w:hAnsi="宋体" w:eastAsia="宋体" w:cs="宋体"/>
          <w:color w:val="000000" w:themeColor="text1"/>
          <w:sz w:val="28"/>
          <w:szCs w:val="28"/>
          <w:highlight w:val="none"/>
        </w:rPr>
        <w:sym w:font="Symbol" w:char="F0B0"/>
      </w:r>
      <w:r>
        <w:rPr>
          <w:rFonts w:hint="eastAsia" w:ascii="宋体" w:hAnsi="宋体" w:eastAsia="宋体" w:cs="宋体"/>
          <w:color w:val="000000" w:themeColor="text1"/>
          <w:sz w:val="28"/>
          <w:szCs w:val="28"/>
          <w:highlight w:val="none"/>
        </w:rPr>
        <w:t>53</w:t>
      </w:r>
      <w:r>
        <w:rPr>
          <w:rFonts w:hint="eastAsia" w:ascii="宋体" w:hAnsi="宋体" w:eastAsia="宋体" w:cs="宋体"/>
          <w:color w:val="000000" w:themeColor="text1"/>
          <w:sz w:val="28"/>
          <w:szCs w:val="28"/>
          <w:highlight w:val="none"/>
        </w:rPr>
        <w:sym w:font="Symbol" w:char="F0A2"/>
      </w:r>
      <w:r>
        <w:rPr>
          <w:rFonts w:hint="eastAsia" w:ascii="宋体" w:hAnsi="宋体" w:eastAsia="宋体" w:cs="宋体"/>
          <w:color w:val="000000" w:themeColor="text1"/>
          <w:sz w:val="28"/>
          <w:szCs w:val="28"/>
          <w:highlight w:val="none"/>
        </w:rPr>
        <w:t>-30</w:t>
      </w:r>
      <w:r>
        <w:rPr>
          <w:rFonts w:hint="eastAsia" w:ascii="宋体" w:hAnsi="宋体" w:eastAsia="宋体" w:cs="宋体"/>
          <w:color w:val="000000" w:themeColor="text1"/>
          <w:sz w:val="28"/>
          <w:szCs w:val="28"/>
          <w:highlight w:val="none"/>
        </w:rPr>
        <w:sym w:font="Symbol" w:char="F0B0"/>
      </w:r>
      <w:r>
        <w:rPr>
          <w:rFonts w:hint="eastAsia" w:ascii="宋体" w:hAnsi="宋体" w:eastAsia="宋体" w:cs="宋体"/>
          <w:color w:val="000000" w:themeColor="text1"/>
          <w:sz w:val="28"/>
          <w:szCs w:val="28"/>
          <w:highlight w:val="none"/>
        </w:rPr>
        <w:t>06</w:t>
      </w:r>
      <w:r>
        <w:rPr>
          <w:rFonts w:hint="eastAsia" w:ascii="宋体" w:hAnsi="宋体" w:eastAsia="宋体" w:cs="宋体"/>
          <w:color w:val="000000" w:themeColor="text1"/>
          <w:sz w:val="28"/>
          <w:szCs w:val="28"/>
          <w:highlight w:val="none"/>
        </w:rPr>
        <w:sym w:font="Symbol" w:char="F0A2"/>
      </w:r>
      <w:r>
        <w:rPr>
          <w:rFonts w:hint="eastAsia" w:ascii="宋体" w:hAnsi="宋体" w:eastAsia="宋体" w:cs="宋体"/>
          <w:color w:val="000000" w:themeColor="text1"/>
          <w:sz w:val="28"/>
          <w:szCs w:val="28"/>
          <w:highlight w:val="none"/>
        </w:rPr>
        <w:t>。镇海以港口著称，如今的镇海是中国沿海开放城市宁波的一个区，总面积218km</w:t>
      </w:r>
      <w:r>
        <w:rPr>
          <w:rFonts w:hint="eastAsia" w:ascii="宋体" w:hAnsi="宋体" w:eastAsia="宋体" w:cs="宋体"/>
          <w:color w:val="000000" w:themeColor="text1"/>
          <w:sz w:val="28"/>
          <w:szCs w:val="28"/>
          <w:highlight w:val="none"/>
          <w:vertAlign w:val="superscript"/>
        </w:rPr>
        <w:t>2</w:t>
      </w:r>
      <w:r>
        <w:rPr>
          <w:rFonts w:hint="eastAsia" w:ascii="宋体" w:hAnsi="宋体" w:eastAsia="宋体" w:cs="宋体"/>
          <w:color w:val="000000" w:themeColor="text1"/>
          <w:sz w:val="28"/>
          <w:szCs w:val="28"/>
          <w:highlight w:val="none"/>
        </w:rPr>
        <w:t>，为浙东的重要门户，素有“浙东玉门关”之誉。</w:t>
      </w:r>
    </w:p>
    <w:p w14:paraId="743B2438">
      <w:pPr>
        <w:keepNext w:val="0"/>
        <w:keepLines w:val="0"/>
        <w:pageBreakBefore w:val="0"/>
        <w:widowControl w:val="0"/>
        <w:kinsoku/>
        <w:wordWrap/>
        <w:topLinePunct w:val="0"/>
        <w:bidi w:val="0"/>
        <w:adjustRightInd w:val="0"/>
        <w:snapToGrid w:val="0"/>
        <w:spacing w:line="360" w:lineRule="auto"/>
        <w:ind w:firstLine="560" w:firstLineChars="200"/>
        <w:jc w:val="left"/>
        <w:rPr>
          <w:rFonts w:hint="eastAsia"/>
          <w:color w:val="000000" w:themeColor="text1"/>
          <w:sz w:val="28"/>
          <w:szCs w:val="28"/>
          <w:highlight w:val="none"/>
        </w:rPr>
      </w:pPr>
      <w:r>
        <w:rPr>
          <w:rFonts w:hint="eastAsia"/>
          <w:color w:val="000000" w:themeColor="text1"/>
          <w:sz w:val="28"/>
          <w:szCs w:val="28"/>
          <w:highlight w:val="none"/>
        </w:rPr>
        <w:t>华美线业地理位置见</w:t>
      </w:r>
      <w:r>
        <w:rPr>
          <w:rFonts w:hint="eastAsia"/>
          <w:color w:val="000000" w:themeColor="text1"/>
          <w:sz w:val="28"/>
          <w:szCs w:val="28"/>
          <w:highlight w:val="none"/>
          <w:lang w:eastAsia="zh-CN"/>
        </w:rPr>
        <w:t>下图</w:t>
      </w:r>
      <w:r>
        <w:rPr>
          <w:rFonts w:hint="eastAsia"/>
          <w:color w:val="000000" w:themeColor="text1"/>
          <w:sz w:val="28"/>
          <w:szCs w:val="28"/>
          <w:highlight w:val="none"/>
        </w:rPr>
        <w:t>。</w:t>
      </w:r>
    </w:p>
    <w:p w14:paraId="6512ACD4">
      <w:pPr>
        <w:keepNext w:val="0"/>
        <w:keepLines w:val="0"/>
        <w:pageBreakBefore w:val="0"/>
        <w:widowControl w:val="0"/>
        <w:kinsoku/>
        <w:wordWrap/>
        <w:topLinePunct w:val="0"/>
        <w:bidi w:val="0"/>
        <w:adjustRightInd w:val="0"/>
        <w:snapToGrid w:val="0"/>
        <w:spacing w:line="360" w:lineRule="auto"/>
        <w:ind w:firstLine="560" w:firstLineChars="200"/>
        <w:rPr>
          <w:rFonts w:hint="eastAsia" w:ascii="宋体" w:hAnsi="宋体" w:eastAsia="宋体" w:cs="宋体"/>
          <w:color w:val="000000" w:themeColor="text1"/>
          <w:sz w:val="28"/>
          <w:szCs w:val="28"/>
          <w:highlight w:val="none"/>
        </w:rPr>
        <w:sectPr>
          <w:headerReference r:id="rId13" w:type="default"/>
          <w:type w:val="nextColumn"/>
          <w:pgSz w:w="11907" w:h="16840"/>
          <w:pgMar w:top="1418" w:right="1134" w:bottom="1134" w:left="1588" w:header="794" w:footer="794" w:gutter="0"/>
          <w:paperSrc w:first="7" w:other="7"/>
          <w:pgBorders>
            <w:top w:val="none" w:sz="0" w:space="0"/>
            <w:left w:val="none" w:sz="0" w:space="0"/>
            <w:bottom w:val="none" w:sz="0" w:space="0"/>
            <w:right w:val="none" w:sz="0" w:space="0"/>
          </w:pgBorders>
          <w:cols w:space="720" w:num="1"/>
          <w:docGrid w:linePitch="312" w:charSpace="0"/>
        </w:sectPr>
      </w:pPr>
    </w:p>
    <w:p w14:paraId="2C64E35C">
      <w:pPr>
        <w:keepNext w:val="0"/>
        <w:keepLines w:val="0"/>
        <w:pageBreakBefore w:val="0"/>
        <w:widowControl w:val="0"/>
        <w:kinsoku/>
        <w:wordWrap/>
        <w:topLinePunct w:val="0"/>
        <w:bidi w:val="0"/>
        <w:adjustRightInd w:val="0"/>
        <w:snapToGrid w:val="0"/>
        <w:spacing w:line="240" w:lineRule="auto"/>
        <w:ind w:firstLine="560" w:firstLineChars="200"/>
        <w:jc w:val="center"/>
        <w:rPr>
          <w:color w:val="000000" w:themeColor="text1"/>
          <w:sz w:val="28"/>
          <w:szCs w:val="28"/>
          <w:highlight w:val="none"/>
        </w:rPr>
      </w:pPr>
      <w:r>
        <w:rPr>
          <w:color w:val="000000" w:themeColor="text1"/>
          <w:sz w:val="28"/>
          <w:highlight w:val="none"/>
        </w:rPr>
        <w:pict>
          <v:shape id="_x0000_s1171" o:spid="_x0000_s1171" o:spt="68" type="#_x0000_t68" style="position:absolute;left:0pt;margin-left:606.4pt;margin-top:1.15pt;height:47.3pt;width:18.75pt;z-index:251681792;mso-width-relative:page;mso-height-relative:page;" fillcolor="#000000" filled="t" stroked="t" coordsize="21600,21600" adj="5400,5400">
            <v:path/>
            <v:fill on="t" color2="#FFFFFF" focussize="0,0"/>
            <v:stroke color="#000000"/>
            <v:imagedata o:title=""/>
            <o:lock v:ext="edit" aspectratio="f"/>
          </v:shape>
        </w:pict>
      </w:r>
      <w:r>
        <w:rPr>
          <w:color w:val="000000" w:themeColor="text1"/>
          <w:sz w:val="28"/>
          <w:highlight w:val="none"/>
        </w:rPr>
        <w:pict>
          <v:shape id="_x0000_s1172" o:spid="_x0000_s1172" o:spt="202" type="#_x0000_t202" style="position:absolute;left:0pt;margin-left:575.65pt;margin-top:7.15pt;height:27pt;width:34.5pt;z-index:251682816;mso-width-relative:page;mso-height-relative:page;" filled="f" stroked="f" coordsize="21600,21600">
            <v:path/>
            <v:fill on="f" focussize="0,0"/>
            <v:stroke on="f"/>
            <v:imagedata o:title=""/>
            <o:lock v:ext="edit" aspectratio="f"/>
            <v:textbox>
              <w:txbxContent>
                <w:p w14:paraId="6ECF458F">
                  <w:pPr>
                    <w:jc w:val="center"/>
                    <w:rPr>
                      <w:rFonts w:hint="eastAsia" w:eastAsia="宋体"/>
                      <w:b/>
                      <w:bCs/>
                      <w:lang w:eastAsia="zh-CN"/>
                    </w:rPr>
                  </w:pPr>
                  <w:r>
                    <w:rPr>
                      <w:rFonts w:hint="eastAsia"/>
                      <w:b/>
                      <w:bCs/>
                      <w:lang w:eastAsia="zh-CN"/>
                    </w:rPr>
                    <w:t>北</w:t>
                  </w:r>
                </w:p>
              </w:txbxContent>
            </v:textbox>
          </v:shape>
        </w:pict>
      </w:r>
      <w:r>
        <w:rPr>
          <w:color w:val="000000" w:themeColor="text1"/>
          <w:sz w:val="28"/>
          <w:szCs w:val="28"/>
          <w:highlight w:val="none"/>
        </w:rPr>
        <w:pict>
          <v:shape id="AutoShape 84" o:spid="_x0000_s1105" o:spt="62" type="#_x0000_t62" style="position:absolute;left:0pt;margin-left:421.1pt;margin-top:25.35pt;height:28pt;width:89pt;z-index:251660288;mso-width-relative:page;mso-height-relative:page;" fillcolor="#FFFFFF" filled="t" stroked="t" coordsize="21600,21600" adj="-10726,102561">
            <v:path arrowok="t"/>
            <v:fill on="t" color2="#FFFFFF" focussize="0,0"/>
            <v:stroke color="#000000" joinstyle="miter"/>
            <v:imagedata o:title=""/>
            <o:lock v:ext="edit" aspectratio="f"/>
            <v:textbox>
              <w:txbxContent>
                <w:p w14:paraId="2330DCD9">
                  <w:pPr>
                    <w:jc w:val="center"/>
                  </w:pPr>
                  <w:r>
                    <w:rPr>
                      <w:rFonts w:hint="eastAsia"/>
                    </w:rPr>
                    <w:t>华美线业</w:t>
                  </w:r>
                </w:p>
              </w:txbxContent>
            </v:textbox>
          </v:shape>
        </w:pict>
      </w:r>
      <w:r>
        <w:rPr>
          <w:color w:val="000000" w:themeColor="text1"/>
          <w:sz w:val="28"/>
          <w:szCs w:val="28"/>
          <w:highlight w:val="none"/>
        </w:rPr>
        <w:drawing>
          <wp:inline distT="0" distB="0" distL="0" distR="0">
            <wp:extent cx="8215630" cy="5136515"/>
            <wp:effectExtent l="0" t="0" r="13970"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9" cstate="print"/>
                    <a:srcRect/>
                    <a:stretch>
                      <a:fillRect/>
                    </a:stretch>
                  </pic:blipFill>
                  <pic:spPr>
                    <a:xfrm>
                      <a:off x="0" y="0"/>
                      <a:ext cx="8215630" cy="5136515"/>
                    </a:xfrm>
                    <a:prstGeom prst="rect">
                      <a:avLst/>
                    </a:prstGeom>
                    <a:noFill/>
                    <a:ln w="9525">
                      <a:noFill/>
                      <a:miter lim="800000"/>
                      <a:headEnd/>
                      <a:tailEnd/>
                    </a:ln>
                  </pic:spPr>
                </pic:pic>
              </a:graphicData>
            </a:graphic>
          </wp:inline>
        </w:drawing>
      </w:r>
    </w:p>
    <w:p w14:paraId="54387544">
      <w:pPr>
        <w:pStyle w:val="738"/>
        <w:keepNext w:val="0"/>
        <w:keepLines w:val="0"/>
        <w:pageBreakBefore w:val="0"/>
        <w:widowControl w:val="0"/>
        <w:kinsoku/>
        <w:wordWrap/>
        <w:topLinePunct w:val="0"/>
        <w:bidi w:val="0"/>
        <w:spacing w:line="360" w:lineRule="auto"/>
        <w:ind w:firstLine="482"/>
        <w:rPr>
          <w:rFonts w:ascii="黑体" w:hAnsi="黑体" w:eastAsia="黑体"/>
          <w:b/>
          <w:color w:val="000000" w:themeColor="text1"/>
          <w:sz w:val="24"/>
          <w:szCs w:val="24"/>
          <w:highlight w:val="none"/>
        </w:rPr>
      </w:pPr>
      <w:r>
        <w:rPr>
          <w:rFonts w:hint="eastAsia" w:ascii="黑体" w:hAnsi="黑体" w:eastAsia="黑体"/>
          <w:b/>
          <w:color w:val="000000" w:themeColor="text1"/>
          <w:sz w:val="24"/>
          <w:szCs w:val="24"/>
          <w:highlight w:val="none"/>
        </w:rPr>
        <w:t>图</w:t>
      </w:r>
      <w:r>
        <w:rPr>
          <w:rFonts w:ascii="黑体" w:hAnsi="黑体" w:eastAsia="黑体"/>
          <w:b/>
          <w:color w:val="000000" w:themeColor="text1"/>
          <w:sz w:val="24"/>
          <w:szCs w:val="24"/>
          <w:highlight w:val="none"/>
        </w:rPr>
        <w:t xml:space="preserve">2.2-1 </w:t>
      </w:r>
      <w:r>
        <w:rPr>
          <w:rFonts w:hint="eastAsia" w:ascii="黑体" w:hAnsi="黑体" w:eastAsia="黑体"/>
          <w:b/>
          <w:color w:val="000000" w:themeColor="text1"/>
          <w:sz w:val="24"/>
          <w:szCs w:val="24"/>
          <w:highlight w:val="none"/>
        </w:rPr>
        <w:t>地理位置图</w:t>
      </w:r>
    </w:p>
    <w:p w14:paraId="652B77CD">
      <w:pPr>
        <w:pStyle w:val="738"/>
        <w:keepNext w:val="0"/>
        <w:keepLines w:val="0"/>
        <w:pageBreakBefore w:val="0"/>
        <w:widowControl w:val="0"/>
        <w:kinsoku/>
        <w:wordWrap/>
        <w:topLinePunct w:val="0"/>
        <w:bidi w:val="0"/>
        <w:spacing w:line="360" w:lineRule="auto"/>
        <w:ind w:firstLine="482"/>
        <w:rPr>
          <w:rFonts w:ascii="黑体" w:hAnsi="黑体" w:eastAsia="黑体"/>
          <w:b/>
          <w:color w:val="000000" w:themeColor="text1"/>
          <w:sz w:val="24"/>
          <w:szCs w:val="24"/>
          <w:highlight w:val="none"/>
        </w:rPr>
        <w:sectPr>
          <w:footerReference r:id="rId14" w:type="default"/>
          <w:pgSz w:w="16840" w:h="11907" w:orient="landscape"/>
          <w:pgMar w:top="1587" w:right="1417" w:bottom="1134" w:left="1134" w:header="794" w:footer="794" w:gutter="0"/>
          <w:paperSrc w:first="7" w:other="7"/>
          <w:pgBorders>
            <w:top w:val="none" w:sz="0" w:space="0"/>
            <w:left w:val="none" w:sz="0" w:space="0"/>
            <w:bottom w:val="none" w:sz="0" w:space="0"/>
            <w:right w:val="none" w:sz="0" w:space="0"/>
          </w:pgBorders>
          <w:cols w:space="720" w:num="1"/>
          <w:docGrid w:linePitch="326" w:charSpace="0"/>
        </w:sectPr>
      </w:pPr>
      <w:bookmarkStart w:id="214" w:name="_Toc198521461"/>
      <w:bookmarkStart w:id="215" w:name="_Toc234394472"/>
      <w:bookmarkStart w:id="216" w:name="_Toc449456883"/>
      <w:bookmarkStart w:id="217" w:name="_Toc449456792"/>
    </w:p>
    <w:p w14:paraId="77675BF4">
      <w:pPr>
        <w:pStyle w:val="7"/>
        <w:keepNext w:val="0"/>
        <w:keepLines w:val="0"/>
        <w:pageBreakBefore w:val="0"/>
        <w:widowControl w:val="0"/>
        <w:kinsoku/>
        <w:wordWrap/>
        <w:overflowPunct/>
        <w:topLinePunct w:val="0"/>
        <w:autoSpaceDE/>
        <w:autoSpaceDN/>
        <w:bidi w:val="0"/>
        <w:adjustRightInd w:val="0"/>
        <w:snapToGrid w:val="0"/>
        <w:textAlignment w:val="auto"/>
        <w:rPr>
          <w:rFonts w:ascii="宋体" w:eastAsia="宋体"/>
          <w:b w:val="0"/>
          <w:bCs w:val="0"/>
          <w:snapToGrid/>
          <w:color w:val="000000" w:themeColor="text1"/>
          <w:szCs w:val="28"/>
          <w:highlight w:val="none"/>
        </w:rPr>
      </w:pPr>
      <w:bookmarkStart w:id="218" w:name="_Toc8087"/>
      <w:bookmarkStart w:id="219" w:name="_Toc20260"/>
      <w:bookmarkStart w:id="220" w:name="_Toc16945"/>
      <w:bookmarkStart w:id="221" w:name="_Toc15427"/>
      <w:bookmarkStart w:id="222" w:name="_Toc10181"/>
      <w:bookmarkStart w:id="223" w:name="_Toc1406"/>
      <w:r>
        <w:rPr>
          <w:rFonts w:hint="eastAsia"/>
          <w:color w:val="000000" w:themeColor="text1"/>
          <w:highlight w:val="none"/>
        </w:rPr>
        <w:t>2</w:t>
      </w:r>
      <w:r>
        <w:rPr>
          <w:color w:val="000000" w:themeColor="text1"/>
          <w:highlight w:val="none"/>
        </w:rPr>
        <w:t>.2.</w:t>
      </w:r>
      <w:r>
        <w:rPr>
          <w:rFonts w:hint="eastAsia"/>
          <w:color w:val="000000" w:themeColor="text1"/>
          <w:highlight w:val="none"/>
          <w:lang w:val="en-US" w:eastAsia="zh-CN"/>
        </w:rPr>
        <w:t>2</w:t>
      </w:r>
      <w:r>
        <w:rPr>
          <w:color w:val="000000" w:themeColor="text1"/>
          <w:highlight w:val="none"/>
        </w:rPr>
        <w:t xml:space="preserve"> </w:t>
      </w:r>
      <w:r>
        <w:rPr>
          <w:rFonts w:hint="eastAsia"/>
          <w:color w:val="000000" w:themeColor="text1"/>
          <w:highlight w:val="none"/>
        </w:rPr>
        <w:t>周边环境</w:t>
      </w:r>
      <w:bookmarkEnd w:id="218"/>
      <w:bookmarkEnd w:id="219"/>
      <w:bookmarkEnd w:id="220"/>
      <w:bookmarkEnd w:id="221"/>
      <w:bookmarkEnd w:id="222"/>
      <w:bookmarkEnd w:id="223"/>
    </w:p>
    <w:p w14:paraId="505BBC9D">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bookmarkStart w:id="224" w:name="_Toc190762537"/>
      <w:bookmarkStart w:id="225" w:name="_Toc198457533"/>
      <w:r>
        <w:rPr>
          <w:rFonts w:hint="eastAsia" w:ascii="宋体" w:hAnsi="宋体" w:eastAsia="宋体" w:cs="宋体"/>
          <w:color w:val="000000" w:themeColor="text1"/>
          <w:sz w:val="28"/>
          <w:szCs w:val="28"/>
          <w:highlight w:val="none"/>
          <w:lang w:eastAsia="zh-CN"/>
        </w:rPr>
        <w:t>以下</w:t>
      </w:r>
      <w:r>
        <w:rPr>
          <w:rFonts w:hint="eastAsia" w:ascii="宋体" w:hAnsi="宋体" w:eastAsia="宋体" w:cs="宋体"/>
          <w:color w:val="000000" w:themeColor="text1"/>
          <w:sz w:val="28"/>
          <w:szCs w:val="28"/>
          <w:highlight w:val="none"/>
        </w:rPr>
        <w:t>均以建北方向表述</w:t>
      </w:r>
      <w:r>
        <w:rPr>
          <w:rFonts w:hint="eastAsia" w:ascii="宋体" w:hAnsi="宋体" w:eastAsia="宋体" w:cs="宋体"/>
          <w:color w:val="000000" w:themeColor="text1"/>
          <w:sz w:val="28"/>
          <w:szCs w:val="28"/>
          <w:highlight w:val="none"/>
          <w:lang w:eastAsia="zh-CN"/>
        </w:rPr>
        <w:t>。</w:t>
      </w:r>
      <w:r>
        <w:rPr>
          <w:rFonts w:hint="eastAsia"/>
          <w:color w:val="000000" w:themeColor="text1"/>
          <w:sz w:val="28"/>
          <w:szCs w:val="28"/>
          <w:highlight w:val="none"/>
        </w:rPr>
        <w:t>华美线业东面</w:t>
      </w:r>
      <w:r>
        <w:rPr>
          <w:rFonts w:hint="eastAsia"/>
          <w:color w:val="000000" w:themeColor="text1"/>
          <w:sz w:val="28"/>
          <w:szCs w:val="28"/>
          <w:highlight w:val="none"/>
          <w:lang w:eastAsia="zh-CN"/>
        </w:rPr>
        <w:t>为</w:t>
      </w:r>
      <w:r>
        <w:rPr>
          <w:rFonts w:hint="eastAsia"/>
          <w:color w:val="000000" w:themeColor="text1"/>
          <w:sz w:val="28"/>
          <w:szCs w:val="28"/>
          <w:highlight w:val="none"/>
        </w:rPr>
        <w:t>工一路</w:t>
      </w:r>
      <w:r>
        <w:rPr>
          <w:rFonts w:hint="eastAsia"/>
          <w:color w:val="000000" w:themeColor="text1"/>
          <w:sz w:val="28"/>
          <w:szCs w:val="28"/>
          <w:highlight w:val="none"/>
          <w:lang w:eastAsia="zh-CN"/>
        </w:rPr>
        <w:t>，</w:t>
      </w:r>
      <w:r>
        <w:rPr>
          <w:rFonts w:hint="eastAsia"/>
          <w:color w:val="000000" w:themeColor="text1"/>
          <w:sz w:val="28"/>
          <w:szCs w:val="28"/>
          <w:highlight w:val="none"/>
        </w:rPr>
        <w:t>隔工一路</w:t>
      </w:r>
      <w:r>
        <w:rPr>
          <w:rFonts w:hint="eastAsia"/>
          <w:color w:val="000000" w:themeColor="text1"/>
          <w:sz w:val="28"/>
          <w:szCs w:val="28"/>
          <w:highlight w:val="none"/>
          <w:lang w:eastAsia="zh-CN"/>
        </w:rPr>
        <w:t>为</w:t>
      </w:r>
      <w:r>
        <w:rPr>
          <w:rFonts w:hint="eastAsia"/>
          <w:color w:val="000000" w:themeColor="text1"/>
          <w:sz w:val="28"/>
          <w:szCs w:val="28"/>
          <w:highlight w:val="none"/>
        </w:rPr>
        <w:t>宁波甬利压铸有限公司、</w:t>
      </w:r>
      <w:r>
        <w:rPr>
          <w:rFonts w:hint="eastAsia"/>
          <w:color w:val="000000" w:themeColor="text1"/>
          <w:sz w:val="28"/>
          <w:szCs w:val="28"/>
          <w:highlight w:val="none"/>
          <w:lang w:eastAsia="zh-CN"/>
        </w:rPr>
        <w:t>建筑工地</w:t>
      </w:r>
      <w:r>
        <w:rPr>
          <w:rFonts w:hint="eastAsia"/>
          <w:color w:val="000000" w:themeColor="text1"/>
          <w:sz w:val="28"/>
          <w:szCs w:val="28"/>
          <w:highlight w:val="none"/>
        </w:rPr>
        <w:t>；</w:t>
      </w:r>
      <w:r>
        <w:rPr>
          <w:rFonts w:hint="eastAsia"/>
          <w:color w:val="000000" w:themeColor="text1"/>
          <w:sz w:val="28"/>
          <w:szCs w:val="28"/>
          <w:highlight w:val="none"/>
          <w:lang w:eastAsia="zh-CN"/>
        </w:rPr>
        <w:t>南面为兆龙路，</w:t>
      </w:r>
      <w:r>
        <w:rPr>
          <w:rFonts w:hint="eastAsia"/>
          <w:color w:val="000000" w:themeColor="text1"/>
          <w:sz w:val="28"/>
          <w:szCs w:val="28"/>
          <w:highlight w:val="none"/>
        </w:rPr>
        <w:t>隔</w:t>
      </w:r>
      <w:r>
        <w:rPr>
          <w:rFonts w:hint="eastAsia"/>
          <w:color w:val="000000" w:themeColor="text1"/>
          <w:sz w:val="28"/>
          <w:szCs w:val="28"/>
          <w:highlight w:val="none"/>
          <w:lang w:eastAsia="zh-CN"/>
        </w:rPr>
        <w:t>兆龙路为宁波创维双智双创产业园；西南面为</w:t>
      </w:r>
      <w:r>
        <w:rPr>
          <w:rFonts w:hint="eastAsia"/>
          <w:color w:val="000000" w:themeColor="text1"/>
          <w:sz w:val="28"/>
          <w:szCs w:val="28"/>
          <w:highlight w:val="none"/>
        </w:rPr>
        <w:t>宁波大贯制线有限公司</w:t>
      </w:r>
      <w:r>
        <w:rPr>
          <w:rFonts w:hint="eastAsia"/>
          <w:color w:val="000000" w:themeColor="text1"/>
          <w:sz w:val="28"/>
          <w:szCs w:val="28"/>
          <w:highlight w:val="none"/>
          <w:lang w:eastAsia="zh-CN"/>
        </w:rPr>
        <w:t>（空置）；西面为空地；北面为建筑工地、</w:t>
      </w:r>
      <w:r>
        <w:rPr>
          <w:rFonts w:hint="eastAsia"/>
          <w:color w:val="000000" w:themeColor="text1"/>
          <w:sz w:val="28"/>
          <w:szCs w:val="28"/>
          <w:highlight w:val="none"/>
        </w:rPr>
        <w:t>世纪大道</w:t>
      </w:r>
      <w:r>
        <w:rPr>
          <w:rFonts w:hint="eastAsia"/>
          <w:color w:val="000000" w:themeColor="text1"/>
          <w:sz w:val="28"/>
          <w:szCs w:val="28"/>
          <w:highlight w:val="none"/>
          <w:lang w:eastAsia="zh-CN"/>
        </w:rPr>
        <w:t>（公路）</w:t>
      </w:r>
      <w:r>
        <w:rPr>
          <w:rFonts w:hint="eastAsia"/>
          <w:color w:val="000000" w:themeColor="text1"/>
          <w:sz w:val="28"/>
          <w:szCs w:val="28"/>
          <w:highlight w:val="none"/>
        </w:rPr>
        <w:t>。</w:t>
      </w:r>
    </w:p>
    <w:p w14:paraId="60FF54F9">
      <w:pPr>
        <w:keepNext w:val="0"/>
        <w:keepLines w:val="0"/>
        <w:pageBreakBefore w:val="0"/>
        <w:widowControl w:val="0"/>
        <w:kinsoku/>
        <w:wordWrap/>
        <w:topLinePunct w:val="0"/>
        <w:bidi w:val="0"/>
        <w:adjustRightInd w:val="0"/>
        <w:snapToGrid w:val="0"/>
        <w:spacing w:line="360" w:lineRule="auto"/>
        <w:ind w:firstLine="560" w:firstLineChars="200"/>
        <w:rPr>
          <w:rFonts w:hint="eastAsia"/>
          <w:color w:val="000000" w:themeColor="text1"/>
          <w:sz w:val="28"/>
          <w:szCs w:val="28"/>
          <w:highlight w:val="none"/>
        </w:rPr>
      </w:pPr>
      <w:r>
        <w:rPr>
          <w:rFonts w:hint="eastAsia"/>
          <w:color w:val="000000" w:themeColor="text1"/>
          <w:sz w:val="28"/>
          <w:szCs w:val="28"/>
          <w:highlight w:val="none"/>
        </w:rPr>
        <w:t>华美线业周边环境情况见</w:t>
      </w:r>
      <w:r>
        <w:rPr>
          <w:rFonts w:hint="eastAsia"/>
          <w:color w:val="000000" w:themeColor="text1"/>
          <w:sz w:val="28"/>
          <w:szCs w:val="28"/>
          <w:highlight w:val="none"/>
          <w:lang w:eastAsia="zh-CN"/>
        </w:rPr>
        <w:t>下图</w:t>
      </w:r>
      <w:r>
        <w:rPr>
          <w:rFonts w:hint="eastAsia"/>
          <w:color w:val="000000" w:themeColor="text1"/>
          <w:sz w:val="28"/>
          <w:szCs w:val="28"/>
          <w:highlight w:val="none"/>
        </w:rPr>
        <w:t>。</w:t>
      </w:r>
    </w:p>
    <w:p w14:paraId="2EC229B7">
      <w:pPr>
        <w:widowControl w:val="0"/>
        <w:adjustRightInd w:val="0"/>
        <w:snapToGrid w:val="0"/>
        <w:rPr>
          <w:color w:val="000000" w:themeColor="text1"/>
          <w:sz w:val="21"/>
          <w:szCs w:val="21"/>
          <w:highlight w:val="none"/>
        </w:rPr>
      </w:pPr>
      <w:r>
        <w:rPr>
          <w:color w:val="000000" w:themeColor="text1"/>
          <w:sz w:val="28"/>
          <w:szCs w:val="28"/>
          <w:highlight w:val="none"/>
        </w:rPr>
        <w:pict>
          <v:roundrect id="_x0000_s1147" o:spid="_x0000_s1147" o:spt="2" style="position:absolute;left:0pt;margin-left:161.3pt;margin-top:17.7pt;height:29.25pt;width:102.65pt;z-index:251672576;mso-width-relative:page;mso-height-relative:page;" filled="f" stroked="t" coordsize="21600,21600" arcsize="0.166666666666667">
            <v:path arrowok="t"/>
            <v:fill on="f" focussize="0,0"/>
            <v:stroke color="#FFFFFF"/>
            <v:imagedata o:title=""/>
            <o:lock v:ext="edit" aspectratio="f"/>
            <v:textbox>
              <w:txbxContent>
                <w:p w14:paraId="705DDB0B">
                  <w:pPr>
                    <w:jc w:val="center"/>
                    <w:rPr>
                      <w:rFonts w:hint="eastAsia" w:eastAsia="宋体"/>
                      <w:b/>
                      <w:color w:val="auto"/>
                      <w:lang w:eastAsia="zh-CN"/>
                    </w:rPr>
                  </w:pPr>
                  <w:r>
                    <w:rPr>
                      <w:rFonts w:hint="eastAsia"/>
                      <w:b/>
                      <w:color w:val="auto"/>
                      <w:lang w:eastAsia="zh-CN"/>
                    </w:rPr>
                    <w:t>建筑工地</w:t>
                  </w:r>
                </w:p>
              </w:txbxContent>
            </v:textbox>
          </v:roundrect>
        </w:pict>
      </w:r>
      <w:r>
        <w:rPr>
          <w:color w:val="000000" w:themeColor="text1"/>
          <w:sz w:val="28"/>
          <w:szCs w:val="28"/>
          <w:highlight w:val="none"/>
        </w:rPr>
        <w:pict>
          <v:roundrect id="_x0000_s1145" o:spid="_x0000_s1145" o:spt="2" style="position:absolute;left:0pt;margin-left:56.9pt;margin-top:52.2pt;height:29.3pt;width:74.45pt;z-index:251674624;mso-width-relative:page;mso-height-relative:page;" filled="f" stroked="t" coordsize="21600,21600" arcsize="0.166666666666667">
            <v:path arrowok="t"/>
            <v:fill on="f" focussize="0,0"/>
            <v:stroke color="#FFFFFF"/>
            <v:imagedata o:title=""/>
            <o:lock v:ext="edit" aspectratio="f"/>
            <v:textbox>
              <w:txbxContent>
                <w:p w14:paraId="7C968BEB">
                  <w:pPr>
                    <w:jc w:val="center"/>
                    <w:rPr>
                      <w:rFonts w:hint="eastAsia"/>
                      <w:b/>
                      <w:bCs/>
                      <w:highlight w:val="none"/>
                      <w:lang w:eastAsia="zh-CN"/>
                    </w:rPr>
                  </w:pPr>
                  <w:r>
                    <w:rPr>
                      <w:rFonts w:hint="eastAsia" w:cs="宋体"/>
                      <w:b/>
                      <w:bCs/>
                      <w:color w:val="auto"/>
                      <w:kern w:val="0"/>
                      <w:sz w:val="24"/>
                      <w:szCs w:val="24"/>
                      <w:highlight w:val="none"/>
                      <w:lang w:val="en-US" w:eastAsia="zh-CN"/>
                    </w:rPr>
                    <w:t>建筑工地</w:t>
                  </w:r>
                </w:p>
              </w:txbxContent>
            </v:textbox>
          </v:roundrect>
        </w:pict>
      </w:r>
      <w:r>
        <w:rPr>
          <w:color w:val="000000" w:themeColor="text1"/>
          <w:sz w:val="28"/>
          <w:highlight w:val="none"/>
        </w:rPr>
        <w:pict>
          <v:rect id="_x0000_s1166" o:spid="_x0000_s1166" o:spt="1" style="position:absolute;left:0pt;margin-left:406.8pt;margin-top:33.5pt;height:20.25pt;width:33pt;z-index:251677696;mso-width-relative:page;mso-height-relative:page;" filled="f" stroked="f" coordsize="21600,21600">
            <v:path/>
            <v:fill on="f" focussize="0,0"/>
            <v:stroke on="f"/>
            <v:imagedata o:title=""/>
            <o:lock v:ext="edit" aspectratio="f"/>
            <v:textbox>
              <w:txbxContent>
                <w:p w14:paraId="7C4C91D1">
                  <w:pPr>
                    <w:jc w:val="center"/>
                    <w:rPr>
                      <w:rFonts w:hint="eastAsia" w:eastAsia="宋体"/>
                      <w:b/>
                      <w:bCs/>
                      <w:lang w:eastAsia="zh-CN"/>
                    </w:rPr>
                  </w:pPr>
                  <w:r>
                    <w:rPr>
                      <w:rFonts w:hint="eastAsia"/>
                      <w:b/>
                      <w:bCs/>
                      <w:lang w:eastAsia="zh-CN"/>
                    </w:rPr>
                    <w:t>北</w:t>
                  </w:r>
                </w:p>
              </w:txbxContent>
            </v:textbox>
          </v:rect>
        </w:pict>
      </w:r>
      <w:r>
        <w:rPr>
          <w:color w:val="000000" w:themeColor="text1"/>
          <w:sz w:val="28"/>
          <w:highlight w:val="none"/>
        </w:rPr>
        <w:pict>
          <v:shape id="_x0000_s1165" o:spid="_x0000_s1165" o:spt="68" type="#_x0000_t68" style="position:absolute;left:0pt;margin-left:384.3pt;margin-top:17pt;height:57.75pt;width:11.25pt;z-index:251676672;mso-width-relative:page;mso-height-relative:page;" fillcolor="#FFFFFF" filled="t" stroked="t" coordsize="21600,21600" adj="5400,5400">
            <v:path/>
            <v:fill on="t" color2="#FFFFFF" focussize="0,0"/>
            <v:stroke color="#000000"/>
            <v:imagedata o:title=""/>
            <o:lock v:ext="edit" aspectratio="f"/>
          </v:shape>
        </w:pict>
      </w:r>
      <w:r>
        <w:rPr>
          <w:color w:val="000000" w:themeColor="text1"/>
          <w:sz w:val="28"/>
          <w:szCs w:val="28"/>
          <w:highlight w:val="none"/>
        </w:rPr>
        <w:pict>
          <v:roundrect id="_x0000_s1144" o:spid="_x0000_s1144" o:spt="2" style="position:absolute;left:0pt;margin-left:273.95pt;margin-top:111.45pt;height:33pt;width:75pt;z-index:251675648;mso-width-relative:page;mso-height-relative:page;" filled="f" stroked="t" coordsize="21600,21600" arcsize="0.166666666666667">
            <v:path arrowok="t"/>
            <v:fill on="f" focussize="0,0"/>
            <v:stroke color="#000000"/>
            <v:imagedata o:title=""/>
            <o:lock v:ext="edit" aspectratio="f"/>
            <v:textbox>
              <w:txbxContent>
                <w:p w14:paraId="0CCDA960">
                  <w:pPr>
                    <w:jc w:val="center"/>
                    <w:rPr>
                      <w:rFonts w:hint="eastAsia" w:eastAsia="宋体"/>
                      <w:b/>
                      <w:bCs w:val="0"/>
                      <w:color w:val="auto"/>
                      <w:lang w:eastAsia="zh-CN"/>
                    </w:rPr>
                  </w:pPr>
                  <w:r>
                    <w:rPr>
                      <w:rFonts w:hint="eastAsia"/>
                      <w:b/>
                      <w:bCs w:val="0"/>
                      <w:color w:val="auto"/>
                      <w:lang w:eastAsia="zh-CN"/>
                    </w:rPr>
                    <w:t>甬利压铸</w:t>
                  </w:r>
                </w:p>
              </w:txbxContent>
            </v:textbox>
          </v:roundrect>
        </w:pict>
      </w:r>
      <w:r>
        <w:rPr>
          <w:color w:val="000000" w:themeColor="text1"/>
          <w:sz w:val="28"/>
          <w:szCs w:val="28"/>
          <w:highlight w:val="none"/>
        </w:rPr>
        <w:pict>
          <v:roundrect id="_x0000_s1146" o:spid="_x0000_s1146" o:spt="2" style="position:absolute;left:0pt;margin-left:332.9pt;margin-top:303.45pt;height:48.9pt;width:109.5pt;z-index:251673600;mso-width-relative:page;mso-height-relative:page;" filled="f" stroked="t" coordsize="21600,21600" arcsize="0.166666666666667">
            <v:path arrowok="t"/>
            <v:fill on="f" focussize="0,0"/>
            <v:stroke color="#FFFFFF"/>
            <v:imagedata o:title=""/>
            <o:lock v:ext="edit" aspectratio="f"/>
            <v:textbox>
              <w:txbxContent>
                <w:p w14:paraId="3FA25794">
                  <w:pPr>
                    <w:jc w:val="center"/>
                    <w:rPr>
                      <w:rFonts w:hint="eastAsia" w:cs="宋体"/>
                      <w:b/>
                      <w:bCs/>
                      <w:color w:val="auto"/>
                      <w:kern w:val="0"/>
                      <w:sz w:val="24"/>
                      <w:szCs w:val="24"/>
                      <w:highlight w:val="none"/>
                      <w:lang w:val="en-US" w:eastAsia="zh-CN"/>
                    </w:rPr>
                  </w:pPr>
                  <w:r>
                    <w:rPr>
                      <w:rFonts w:hint="eastAsia" w:cs="宋体"/>
                      <w:b/>
                      <w:bCs/>
                      <w:color w:val="auto"/>
                      <w:kern w:val="0"/>
                      <w:sz w:val="24"/>
                      <w:szCs w:val="24"/>
                      <w:highlight w:val="none"/>
                      <w:lang w:val="en-US" w:eastAsia="zh-CN"/>
                    </w:rPr>
                    <w:t>宁波创维双智双创产业园</w:t>
                  </w:r>
                </w:p>
              </w:txbxContent>
            </v:textbox>
          </v:roundrect>
        </w:pict>
      </w:r>
      <w:r>
        <w:rPr>
          <w:color w:val="000000" w:themeColor="text1"/>
          <w:sz w:val="24"/>
          <w:highlight w:val="none"/>
        </w:rPr>
        <w:pict>
          <v:line id="_x0000_s1148" o:spid="_x0000_s1148" o:spt="20" style="position:absolute;left:0pt;flip:x;margin-left:195.8pt;margin-top:363.05pt;height:71.25pt;width:49.5pt;z-index:251663360;mso-width-relative:page;mso-height-relative:page;" fillcolor="#FFFFFF" filled="t" stroked="t" coordsize="21600,21600">
            <v:path arrowok="t"/>
            <v:fill on="t" color2="#FFFFFF" focussize="0,0"/>
            <v:stroke weight="2.25pt" color="#FFFFFF" dashstyle="dashDot"/>
            <v:imagedata o:title=""/>
            <o:lock v:ext="edit" aspectratio="f"/>
          </v:line>
        </w:pict>
      </w:r>
      <w:r>
        <w:rPr>
          <w:color w:val="000000" w:themeColor="text1"/>
          <w:sz w:val="24"/>
          <w:highlight w:val="none"/>
        </w:rPr>
        <w:pict>
          <v:line id="_x0000_s1149" o:spid="_x0000_s1149" o:spt="20" style="position:absolute;left:0pt;margin-left:62.35pt;margin-top:228.8pt;height:78.1pt;width:113.2pt;z-index:251663360;mso-width-relative:page;mso-height-relative:page;" fillcolor="#FFFFFF" filled="t" stroked="t" coordsize="21600,21600">
            <v:path arrowok="t"/>
            <v:fill on="t" color2="#FFFFFF" focussize="0,0"/>
            <v:stroke weight="2.25pt" color="#FF0000"/>
            <v:imagedata o:title=""/>
            <o:lock v:ext="edit" aspectratio="f"/>
          </v:line>
        </w:pict>
      </w:r>
      <w:r>
        <w:rPr>
          <w:color w:val="000000" w:themeColor="text1"/>
          <w:sz w:val="28"/>
          <w:highlight w:val="none"/>
        </w:rPr>
        <w:pict>
          <v:line id="_x0000_s1150" o:spid="_x0000_s1150" o:spt="20" style="position:absolute;left:0pt;margin-left:60.8pt;margin-top:231.8pt;height:130.5pt;width:185.3pt;z-index:251662336;mso-width-relative:page;mso-height-relative:page;" fillcolor="#FFFFFF" filled="t" stroked="t" coordsize="21600,21600">
            <v:path arrowok="t"/>
            <v:fill on="t" color2="#FFFFFF" focussize="0,0"/>
            <v:stroke weight="2.25pt" color="#FFFFFF" dashstyle="dashDot"/>
            <v:imagedata o:title=""/>
            <o:lock v:ext="edit" aspectratio="f"/>
          </v:line>
        </w:pict>
      </w:r>
      <w:r>
        <w:rPr>
          <w:color w:val="000000" w:themeColor="text1"/>
          <w:sz w:val="28"/>
          <w:highlight w:val="none"/>
        </w:rPr>
        <w:pict>
          <v:line id="_x0000_s1151" o:spid="_x0000_s1151" o:spt="20" style="position:absolute;left:0pt;margin-left:60.8pt;margin-top:232.55pt;height:191.25pt;width:9pt;z-index:251661312;mso-width-relative:page;mso-height-relative:page;" fillcolor="#FFFFFF" filled="t" stroked="t" coordsize="21600,21600">
            <v:path arrowok="t"/>
            <v:fill on="t" color2="#FFFFFF" focussize="0,0"/>
            <v:stroke weight="2.25pt" color="#FFFFFF" dashstyle="dashDot"/>
            <v:imagedata o:title=""/>
            <o:lock v:ext="edit" aspectratio="f"/>
          </v:line>
        </w:pict>
      </w:r>
      <w:r>
        <w:rPr>
          <w:color w:val="000000" w:themeColor="text1"/>
          <w:sz w:val="28"/>
          <w:szCs w:val="28"/>
          <w:highlight w:val="none"/>
        </w:rPr>
        <w:pict>
          <v:roundrect id="_x0000_s1152" o:spid="_x0000_s1152" o:spt="2" style="position:absolute;left:0pt;margin-left:103.4pt;margin-top:340.2pt;height:42.35pt;width:81.05pt;z-index:251670528;mso-width-relative:page;mso-height-relative:page;" filled="f" stroked="t" coordsize="21600,21600" arcsize="0.166666666666667">
            <v:path arrowok="t"/>
            <v:fill on="f" focussize="0,0"/>
            <v:stroke color="#FFFFFF"/>
            <v:imagedata o:title=""/>
            <o:lock v:ext="edit" aspectratio="f"/>
            <v:textbox>
              <w:txbxContent>
                <w:p w14:paraId="1621A564">
                  <w:pPr>
                    <w:jc w:val="center"/>
                    <w:rPr>
                      <w:rFonts w:hint="eastAsia" w:eastAsia="宋体"/>
                      <w:b/>
                      <w:color w:val="auto"/>
                      <w:lang w:eastAsia="zh-CN"/>
                    </w:rPr>
                  </w:pPr>
                  <w:r>
                    <w:rPr>
                      <w:rFonts w:hint="eastAsia"/>
                      <w:b/>
                      <w:color w:val="auto"/>
                      <w:lang w:eastAsia="zh-CN"/>
                    </w:rPr>
                    <w:t>空地</w:t>
                  </w:r>
                </w:p>
              </w:txbxContent>
            </v:textbox>
          </v:roundrect>
        </w:pict>
      </w:r>
      <w:r>
        <w:rPr>
          <w:color w:val="000000" w:themeColor="text1"/>
          <w:sz w:val="28"/>
          <w:szCs w:val="28"/>
          <w:highlight w:val="none"/>
        </w:rPr>
        <w:pict>
          <v:shape id="_x0000_s1153" o:spid="_x0000_s1153" o:spt="62" type="#_x0000_t62" style="position:absolute;left:0pt;margin-left:258.9pt;margin-top:386.35pt;height:22pt;width:62.2pt;z-index:251671552;mso-width-relative:page;mso-height-relative:page;" filled="f" stroked="t" coordsize="21600,21600" adj="-11599,-60430">
            <v:path arrowok="t"/>
            <v:fill on="f" focussize="0,0"/>
            <v:stroke color="#000000" joinstyle="miter"/>
            <v:imagedata o:title=""/>
            <o:lock v:ext="edit" aspectratio="f"/>
            <v:textbox>
              <w:txbxContent>
                <w:p w14:paraId="01C5AB4F">
                  <w:pPr>
                    <w:rPr>
                      <w:rFonts w:hint="eastAsia" w:eastAsia="宋体"/>
                      <w:b/>
                      <w:bCs/>
                      <w:sz w:val="21"/>
                      <w:szCs w:val="21"/>
                      <w:lang w:eastAsia="zh-CN"/>
                    </w:rPr>
                  </w:pPr>
                  <w:r>
                    <w:rPr>
                      <w:rFonts w:hint="eastAsia"/>
                      <w:b/>
                      <w:bCs/>
                      <w:sz w:val="21"/>
                      <w:szCs w:val="21"/>
                      <w:lang w:eastAsia="zh-CN"/>
                    </w:rPr>
                    <w:t>空置厂房</w:t>
                  </w:r>
                </w:p>
              </w:txbxContent>
            </v:textbox>
          </v:shape>
        </w:pict>
      </w:r>
      <w:r>
        <w:rPr>
          <w:color w:val="000000" w:themeColor="text1"/>
          <w:sz w:val="28"/>
          <w:szCs w:val="28"/>
          <w:highlight w:val="none"/>
        </w:rPr>
        <w:pict>
          <v:roundrect id="AutoShape 79" o:spid="_x0000_s1154" o:spt="2" style="position:absolute;left:0pt;margin-left:168.95pt;margin-top:189.45pt;height:33pt;width:75pt;z-index:251669504;mso-width-relative:page;mso-height-relative:page;" filled="f" stroked="t" coordsize="21600,21600" arcsize="0.166666666666667">
            <v:path arrowok="t"/>
            <v:fill on="f" focussize="0,0"/>
            <v:stroke color="#FFFFFF"/>
            <v:imagedata o:title=""/>
            <o:lock v:ext="edit"/>
            <v:textbox>
              <w:txbxContent>
                <w:p w14:paraId="022D23B2">
                  <w:pPr>
                    <w:jc w:val="center"/>
                    <w:rPr>
                      <w:b/>
                      <w:color w:val="auto"/>
                    </w:rPr>
                  </w:pPr>
                  <w:r>
                    <w:rPr>
                      <w:rFonts w:hint="eastAsia"/>
                      <w:b/>
                      <w:color w:val="auto"/>
                    </w:rPr>
                    <w:t>华美线业</w:t>
                  </w:r>
                </w:p>
              </w:txbxContent>
            </v:textbox>
          </v:roundrect>
        </w:pict>
      </w:r>
      <w:r>
        <w:rPr>
          <w:color w:val="000000" w:themeColor="text1"/>
          <w:sz w:val="28"/>
          <w:szCs w:val="28"/>
          <w:highlight w:val="none"/>
        </w:rPr>
        <w:pict>
          <v:shape id="_x0000_s1155" o:spid="_x0000_s1155" o:spt="62" type="#_x0000_t62" style="position:absolute;left:0pt;margin-left:231.9pt;margin-top:63.1pt;height:22pt;width:60pt;z-index:251668480;mso-width-relative:page;mso-height-relative:page;" filled="f" stroked="t" coordsize="21600,21600" adj="-499,44869">
            <v:path arrowok="t"/>
            <v:fill on="f" focussize="0,0"/>
            <v:stroke color="#000000" joinstyle="miter"/>
            <v:imagedata o:title=""/>
            <o:lock v:ext="edit" aspectratio="f"/>
            <v:textbox>
              <w:txbxContent>
                <w:p w14:paraId="3FA6178D">
                  <w:pPr>
                    <w:jc w:val="center"/>
                    <w:rPr>
                      <w:rFonts w:hint="eastAsia" w:eastAsia="宋体"/>
                      <w:lang w:eastAsia="zh-CN"/>
                    </w:rPr>
                  </w:pPr>
                  <w:r>
                    <w:rPr>
                      <w:rFonts w:hint="eastAsia"/>
                      <w:b/>
                      <w:bCs/>
                      <w:lang w:eastAsia="zh-CN"/>
                    </w:rPr>
                    <w:t>工一路</w:t>
                  </w:r>
                </w:p>
              </w:txbxContent>
            </v:textbox>
          </v:shape>
        </w:pict>
      </w:r>
      <w:r>
        <w:rPr>
          <w:color w:val="000000" w:themeColor="text1"/>
          <w:sz w:val="28"/>
          <w:szCs w:val="28"/>
          <w:highlight w:val="none"/>
        </w:rPr>
        <w:pict>
          <v:shape id="AutoShape 74" o:spid="_x0000_s1156" o:spt="62" type="#_x0000_t62" style="position:absolute;left:0pt;margin-left:222.9pt;margin-top:432.85pt;height:22pt;width:54pt;z-index:251667456;mso-width-relative:page;mso-height-relative:page;" filled="f" stroked="t" coordsize="21600,21600" adj="5500,-36179">
            <v:path arrowok="t"/>
            <v:fill on="f" focussize="0,0"/>
            <v:stroke color="#000000" joinstyle="miter"/>
            <v:imagedata o:title=""/>
            <o:lock v:ext="edit" aspectratio="f"/>
            <v:textbox>
              <w:txbxContent>
                <w:p w14:paraId="65E48F75">
                  <w:pPr>
                    <w:rPr>
                      <w:b/>
                      <w:bCs/>
                      <w:sz w:val="21"/>
                      <w:szCs w:val="21"/>
                    </w:rPr>
                  </w:pPr>
                  <w:r>
                    <w:rPr>
                      <w:rFonts w:hint="eastAsia"/>
                      <w:b/>
                      <w:bCs/>
                      <w:sz w:val="21"/>
                      <w:szCs w:val="21"/>
                    </w:rPr>
                    <w:t>兆龙路</w:t>
                  </w:r>
                </w:p>
              </w:txbxContent>
            </v:textbox>
          </v:shape>
        </w:pict>
      </w:r>
      <w:r>
        <w:rPr>
          <w:color w:val="000000" w:themeColor="text1"/>
          <w:sz w:val="24"/>
          <w:highlight w:val="none"/>
        </w:rPr>
        <w:pict>
          <v:line id="_x0000_s1157" o:spid="_x0000_s1157" o:spt="20" style="position:absolute;left:0pt;flip:y;margin-left:69.8pt;margin-top:60.15pt;height:105.75pt;width:81pt;z-index:251666432;mso-width-relative:page;mso-height-relative:page;" fillcolor="#FFFFFF" filled="t" stroked="t" coordsize="21600,21600">
            <v:path arrowok="t"/>
            <v:fill on="t" color2="#FFFFFF" focussize="0,0"/>
            <v:stroke weight="2.25pt" color="#FF0000"/>
            <v:imagedata o:title=""/>
            <o:lock v:ext="edit" aspectratio="f"/>
          </v:line>
        </w:pict>
      </w:r>
      <w:r>
        <w:rPr>
          <w:color w:val="000000" w:themeColor="text1"/>
          <w:sz w:val="24"/>
          <w:highlight w:val="none"/>
        </w:rPr>
        <w:pict>
          <v:line id="_x0000_s1158" o:spid="_x0000_s1158" o:spt="20" style="position:absolute;left:0pt;margin-left:60.8pt;margin-top:161.4pt;height:5.25pt;width:8.25pt;z-index:251665408;mso-width-relative:page;mso-height-relative:page;" fillcolor="#FFFFFF" filled="t" stroked="t" coordsize="21600,21600">
            <v:path arrowok="t"/>
            <v:fill on="t" color2="#FFFFFF" focussize="0,0"/>
            <v:stroke weight="2.25pt" color="#FF0000"/>
            <v:imagedata o:title=""/>
            <o:lock v:ext="edit" aspectratio="f"/>
          </v:line>
        </w:pict>
      </w:r>
      <w:r>
        <w:rPr>
          <w:color w:val="000000" w:themeColor="text1"/>
          <w:sz w:val="24"/>
          <w:highlight w:val="none"/>
        </w:rPr>
        <w:pict>
          <v:line id="_x0000_s1159" o:spid="_x0000_s1159" o:spt="20" style="position:absolute;left:0pt;flip:x y;margin-left:60.05pt;margin-top:162.9pt;height:67.45pt;width:3pt;z-index:251664384;mso-width-relative:page;mso-height-relative:page;" fillcolor="#FFFFFF" filled="t" stroked="t" coordsize="21600,21600">
            <v:path arrowok="t"/>
            <v:fill on="t" color2="#FFFFFF" focussize="0,0"/>
            <v:stroke weight="2.25pt" color="#FF0000"/>
            <v:imagedata o:title=""/>
            <o:lock v:ext="edit" aspectratio="f"/>
          </v:line>
        </w:pict>
      </w:r>
      <w:r>
        <w:rPr>
          <w:color w:val="000000" w:themeColor="text1"/>
          <w:sz w:val="24"/>
          <w:highlight w:val="none"/>
        </w:rPr>
        <w:pict>
          <v:line id="_x0000_s1160" o:spid="_x0000_s1160" o:spt="20" style="position:absolute;left:0pt;flip:x;margin-left:177.05pt;margin-top:277.65pt;height:28.5pt;width:21pt;z-index:251662336;mso-width-relative:page;mso-height-relative:page;" fillcolor="#FFFFFF" filled="t" stroked="t" coordsize="21600,21600">
            <v:path arrowok="t"/>
            <v:fill on="t" color2="#FFFFFF" focussize="0,0"/>
            <v:stroke weight="2.25pt" color="#FF0000"/>
            <v:imagedata o:title=""/>
            <o:lock v:ext="edit" aspectratio="f"/>
          </v:line>
        </w:pict>
      </w:r>
      <w:r>
        <w:rPr>
          <w:color w:val="000000" w:themeColor="text1"/>
          <w:sz w:val="24"/>
          <w:highlight w:val="none"/>
        </w:rPr>
        <w:pict>
          <v:group id="_x0000_s1161" o:spid="_x0000_s1161" o:spt="203" style="position:absolute;left:0pt;margin-left:153.05pt;margin-top:61.05pt;height:272.2pt;width:204pt;z-index:251661312;mso-width-relative:page;mso-height-relative:page;" coordorigin="5792,360294" coordsize="4080,5444">
            <o:lock v:ext="edit" aspectratio="f"/>
            <v:line id="_x0000_s1162" o:spid="_x0000_s1162" o:spt="20" style="position:absolute;left:5792;top:360294;height:2910;width:4065;" fillcolor="#FF0000" filled="t" stroked="t" coordsize="21600,21600">
              <v:path arrowok="t"/>
              <v:fill on="t" color2="#FFFFFF" focussize="0,0"/>
              <v:stroke weight="2.25pt" color="#FF0000"/>
              <v:imagedata o:title=""/>
              <o:lock v:ext="edit" aspectratio="f"/>
            </v:line>
            <v:line id="_x0000_s1163" o:spid="_x0000_s1163" o:spt="20" style="position:absolute;left:8102;top:363234;flip:x;height:2505;width:1770;" fillcolor="#FFFFFF" filled="t" stroked="t" coordsize="21600,21600">
              <v:path arrowok="t"/>
              <v:fill on="t" color2="#FFFFFF" focussize="0,0"/>
              <v:stroke weight="2.25pt" color="#FF0000"/>
              <v:imagedata o:title=""/>
              <o:lock v:ext="edit" aspectratio="f"/>
            </v:line>
            <v:line id="_x0000_s1164" o:spid="_x0000_s1164" o:spt="20" style="position:absolute;left:6677;top:364617;flip:x y;height:1080;width:1425;" fillcolor="#FFFFFF" filled="t" stroked="t" coordsize="21600,21600">
              <v:path arrowok="t"/>
              <v:fill on="t" color2="#FFFFFF" focussize="0,0"/>
              <v:stroke weight="2.25pt" color="#FF0000"/>
              <v:imagedata o:title=""/>
              <o:lock v:ext="edit" aspectratio="f"/>
            </v:line>
          </v:group>
        </w:pict>
      </w:r>
      <w:r>
        <w:rPr>
          <w:color w:val="000000" w:themeColor="text1"/>
          <w:highlight w:val="none"/>
        </w:rPr>
        <w:drawing>
          <wp:inline distT="0" distB="0" distL="114300" distR="114300">
            <wp:extent cx="5824855" cy="5897245"/>
            <wp:effectExtent l="0" t="0" r="4445" b="8255"/>
            <wp:docPr id="1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8"/>
                    <pic:cNvPicPr>
                      <a:picLocks noChangeAspect="1"/>
                    </pic:cNvPicPr>
                  </pic:nvPicPr>
                  <pic:blipFill>
                    <a:blip r:embed="rId30"/>
                    <a:stretch>
                      <a:fillRect/>
                    </a:stretch>
                  </pic:blipFill>
                  <pic:spPr>
                    <a:xfrm>
                      <a:off x="0" y="0"/>
                      <a:ext cx="5824855" cy="5897245"/>
                    </a:xfrm>
                    <a:prstGeom prst="rect">
                      <a:avLst/>
                    </a:prstGeom>
                    <a:noFill/>
                    <a:ln>
                      <a:noFill/>
                    </a:ln>
                  </pic:spPr>
                </pic:pic>
              </a:graphicData>
            </a:graphic>
          </wp:inline>
        </w:drawing>
      </w:r>
    </w:p>
    <w:p w14:paraId="7071AF53">
      <w:pPr>
        <w:pStyle w:val="738"/>
        <w:keepNext w:val="0"/>
        <w:keepLines w:val="0"/>
        <w:pageBreakBefore w:val="0"/>
        <w:widowControl w:val="0"/>
        <w:kinsoku/>
        <w:wordWrap/>
        <w:topLinePunct w:val="0"/>
        <w:bidi w:val="0"/>
        <w:spacing w:line="360" w:lineRule="auto"/>
        <w:ind w:firstLine="482"/>
        <w:rPr>
          <w:rFonts w:hint="eastAsia" w:ascii="黑体" w:hAnsi="黑体" w:eastAsia="黑体"/>
          <w:b/>
          <w:color w:val="000000" w:themeColor="text1"/>
          <w:sz w:val="24"/>
          <w:szCs w:val="24"/>
          <w:highlight w:val="none"/>
          <w:lang w:eastAsia="zh-CN"/>
        </w:rPr>
      </w:pPr>
      <w:r>
        <w:rPr>
          <w:rFonts w:hint="eastAsia" w:ascii="黑体" w:hAnsi="黑体" w:eastAsia="黑体"/>
          <w:b/>
          <w:color w:val="000000" w:themeColor="text1"/>
          <w:sz w:val="24"/>
          <w:szCs w:val="24"/>
          <w:highlight w:val="none"/>
        </w:rPr>
        <w:t>图</w:t>
      </w:r>
      <w:r>
        <w:rPr>
          <w:rFonts w:ascii="黑体" w:hAnsi="黑体" w:eastAsia="黑体"/>
          <w:b/>
          <w:color w:val="000000" w:themeColor="text1"/>
          <w:sz w:val="24"/>
          <w:szCs w:val="24"/>
          <w:highlight w:val="none"/>
        </w:rPr>
        <w:t xml:space="preserve">2.2-2  </w:t>
      </w:r>
      <w:r>
        <w:rPr>
          <w:rFonts w:hint="eastAsia" w:ascii="黑体" w:hAnsi="黑体" w:eastAsia="黑体"/>
          <w:b/>
          <w:color w:val="000000" w:themeColor="text1"/>
          <w:sz w:val="24"/>
          <w:szCs w:val="24"/>
          <w:highlight w:val="none"/>
        </w:rPr>
        <w:t>厂区周边</w:t>
      </w:r>
      <w:r>
        <w:rPr>
          <w:rFonts w:hint="eastAsia" w:ascii="黑体" w:hAnsi="黑体" w:eastAsia="黑体"/>
          <w:b/>
          <w:color w:val="000000" w:themeColor="text1"/>
          <w:sz w:val="24"/>
          <w:szCs w:val="24"/>
          <w:highlight w:val="none"/>
          <w:lang w:eastAsia="zh-CN"/>
        </w:rPr>
        <w:t>环境图</w:t>
      </w:r>
    </w:p>
    <w:bookmarkEnd w:id="224"/>
    <w:bookmarkEnd w:id="225"/>
    <w:p w14:paraId="76DF7A6A">
      <w:pPr>
        <w:pStyle w:val="7"/>
        <w:keepNext w:val="0"/>
        <w:keepLines w:val="0"/>
        <w:pageBreakBefore w:val="0"/>
        <w:widowControl w:val="0"/>
        <w:kinsoku/>
        <w:wordWrap/>
        <w:overflowPunct/>
        <w:topLinePunct w:val="0"/>
        <w:autoSpaceDE/>
        <w:autoSpaceDN/>
        <w:bidi w:val="0"/>
        <w:adjustRightInd w:val="0"/>
        <w:snapToGrid w:val="0"/>
        <w:textAlignment w:val="auto"/>
        <w:rPr>
          <w:color w:val="000000" w:themeColor="text1"/>
          <w:highlight w:val="none"/>
        </w:rPr>
      </w:pPr>
      <w:bookmarkStart w:id="226" w:name="_Toc12870"/>
      <w:bookmarkStart w:id="227" w:name="_Toc7556"/>
      <w:bookmarkStart w:id="228" w:name="_Toc14768"/>
      <w:bookmarkStart w:id="229" w:name="_Toc27780"/>
      <w:bookmarkStart w:id="230" w:name="_Toc21577"/>
      <w:bookmarkStart w:id="231" w:name="_Toc12217"/>
      <w:r>
        <w:rPr>
          <w:rFonts w:hint="eastAsia"/>
          <w:color w:val="000000" w:themeColor="text1"/>
          <w:highlight w:val="none"/>
        </w:rPr>
        <w:t>2.2.</w:t>
      </w:r>
      <w:r>
        <w:rPr>
          <w:rFonts w:hint="eastAsia"/>
          <w:color w:val="000000" w:themeColor="text1"/>
          <w:highlight w:val="none"/>
          <w:lang w:val="en-US" w:eastAsia="zh-CN"/>
        </w:rPr>
        <w:t>3</w:t>
      </w:r>
      <w:r>
        <w:rPr>
          <w:rFonts w:hint="eastAsia"/>
          <w:color w:val="000000" w:themeColor="text1"/>
          <w:highlight w:val="none"/>
        </w:rPr>
        <w:t xml:space="preserve"> </w:t>
      </w:r>
      <w:bookmarkEnd w:id="214"/>
      <w:bookmarkEnd w:id="215"/>
      <w:bookmarkEnd w:id="216"/>
      <w:bookmarkEnd w:id="217"/>
      <w:r>
        <w:rPr>
          <w:rFonts w:hint="eastAsia"/>
          <w:color w:val="000000" w:themeColor="text1"/>
          <w:highlight w:val="none"/>
        </w:rPr>
        <w:t>自然条件</w:t>
      </w:r>
      <w:bookmarkEnd w:id="226"/>
      <w:bookmarkEnd w:id="227"/>
      <w:bookmarkEnd w:id="228"/>
      <w:bookmarkEnd w:id="229"/>
      <w:bookmarkEnd w:id="230"/>
      <w:bookmarkEnd w:id="231"/>
    </w:p>
    <w:p w14:paraId="1671F4AB">
      <w:pPr>
        <w:pStyle w:val="744"/>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地形、地貌、地质</w:t>
      </w:r>
    </w:p>
    <w:p w14:paraId="21FDD19E">
      <w:pPr>
        <w:pStyle w:val="95"/>
        <w:keepNext w:val="0"/>
        <w:keepLines w:val="0"/>
        <w:pageBreakBefore w:val="0"/>
        <w:widowControl w:val="0"/>
        <w:kinsoku/>
        <w:wordWrap/>
        <w:overflowPunct/>
        <w:topLinePunct w:val="0"/>
        <w:autoSpaceDE/>
        <w:autoSpaceDN/>
        <w:bidi w:val="0"/>
        <w:adjustRightInd w:val="0"/>
        <w:snapToGrid w:val="0"/>
        <w:spacing w:before="0" w:line="360" w:lineRule="auto"/>
        <w:ind w:left="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宁波平原属滨海沉积平原，是全新世海相黑色淤泥质土</w:t>
      </w:r>
      <w:r>
        <w:rPr>
          <w:rFonts w:hint="eastAsia" w:ascii="宋体" w:hAnsi="宋体" w:eastAsia="宋体"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厚30cm左右</w:t>
      </w:r>
      <w:r>
        <w:rPr>
          <w:rFonts w:hint="eastAsia" w:ascii="宋体" w:hAnsi="宋体" w:eastAsia="宋体" w:cs="宋体"/>
          <w:color w:val="000000" w:themeColor="text1"/>
          <w:sz w:val="28"/>
          <w:szCs w:val="28"/>
          <w:highlight w:val="none"/>
          <w:lang w:eastAsia="zh-CN"/>
        </w:rPr>
        <w:t>）覆盖在</w:t>
      </w:r>
      <w:r>
        <w:rPr>
          <w:rFonts w:hint="eastAsia" w:ascii="宋体" w:hAnsi="宋体" w:eastAsia="宋体" w:cs="宋体"/>
          <w:color w:val="000000" w:themeColor="text1"/>
          <w:sz w:val="28"/>
          <w:szCs w:val="28"/>
          <w:highlight w:val="none"/>
        </w:rPr>
        <w:t>更新世</w:t>
      </w:r>
      <w:r>
        <w:rPr>
          <w:rFonts w:hint="eastAsia" w:ascii="宋体" w:hAnsi="宋体" w:eastAsia="宋体"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厚80cm</w:t>
      </w:r>
      <w:r>
        <w:rPr>
          <w:rFonts w:hint="eastAsia" w:ascii="宋体" w:hAnsi="宋体" w:eastAsia="宋体"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海陆空交互相堆积层之上，沉积后海水退出成陆，为第四纪地层。镇海中大河以北地带，表层为灰色、灰黄色亚粘土，局部地段发育成湖沼，并有沼泽泥炭堆积形成较差的地基础。在甬江口的镇海、北仑一带，尚有侵蚀残余的山地分布，如招宝山、金鸡山等；在甬江口西侧沿海为滨海堆积型滩涂地貌，其东侧多海蚀岸地貌，形成深水良港。</w:t>
      </w:r>
    </w:p>
    <w:p w14:paraId="7DB19E61">
      <w:pPr>
        <w:pStyle w:val="95"/>
        <w:keepNext w:val="0"/>
        <w:keepLines w:val="0"/>
        <w:pageBreakBefore w:val="0"/>
        <w:widowControl w:val="0"/>
        <w:kinsoku/>
        <w:wordWrap/>
        <w:overflowPunct/>
        <w:topLinePunct w:val="0"/>
        <w:autoSpaceDE/>
        <w:autoSpaceDN/>
        <w:bidi w:val="0"/>
        <w:adjustRightInd w:val="0"/>
        <w:snapToGrid w:val="0"/>
        <w:spacing w:before="0" w:line="360" w:lineRule="auto"/>
        <w:ind w:firstLine="56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镇海区位于新华夏系巨形地质构造体系第二隆起带的南端，并有纬向构造复合，形成北东、北东隆起及凹陷低洼地带。北北东向压性、压扭性，东西向压性断裂。本区出露岩石以上，侏罗纪火山岩为主，如灰紫为主，如灰紫色英安质凝灰角砾岩、熔结凝灰岩、流纹质或角砾玻屑凝灰岩、砂岩、泥岩等。</w:t>
      </w:r>
    </w:p>
    <w:p w14:paraId="584AE07E">
      <w:pPr>
        <w:pStyle w:val="95"/>
        <w:keepNext w:val="0"/>
        <w:keepLines w:val="0"/>
        <w:pageBreakBefore w:val="0"/>
        <w:widowControl w:val="0"/>
        <w:kinsoku/>
        <w:wordWrap/>
        <w:overflowPunct/>
        <w:topLinePunct w:val="0"/>
        <w:autoSpaceDE/>
        <w:autoSpaceDN/>
        <w:bidi w:val="0"/>
        <w:adjustRightInd w:val="0"/>
        <w:snapToGrid w:val="0"/>
        <w:spacing w:before="0" w:line="360" w:lineRule="auto"/>
        <w:ind w:left="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镇海区处于浙东沿海断裂带，其地震活动特点是震级小、强度弱、频率低。根据地震部门对本区域基本烈度的鉴定值为7度。</w:t>
      </w:r>
    </w:p>
    <w:p w14:paraId="20C75618">
      <w:pPr>
        <w:pStyle w:val="744"/>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气候、气象状况</w:t>
      </w:r>
    </w:p>
    <w:p w14:paraId="31AC1F9C">
      <w:pPr>
        <w:pStyle w:val="95"/>
        <w:keepNext w:val="0"/>
        <w:keepLines w:val="0"/>
        <w:pageBreakBefore w:val="0"/>
        <w:widowControl w:val="0"/>
        <w:kinsoku/>
        <w:wordWrap/>
        <w:overflowPunct/>
        <w:topLinePunct w:val="0"/>
        <w:autoSpaceDE/>
        <w:autoSpaceDN/>
        <w:bidi w:val="0"/>
        <w:adjustRightInd w:val="0"/>
        <w:snapToGrid w:val="0"/>
        <w:spacing w:before="0" w:line="360" w:lineRule="auto"/>
        <w:ind w:left="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镇海区属亚热带季风气候，四季分明，气候温和湿润，雨量充沛。冬季少雨干冷，春末夏初为梅雨季节，7-8月受太平洋副热带高压控制，</w:t>
      </w:r>
      <w:r>
        <w:rPr>
          <w:rFonts w:hint="eastAsia" w:ascii="宋体" w:hAnsi="宋体" w:eastAsia="宋体" w:cs="宋体"/>
          <w:color w:val="000000" w:themeColor="text1"/>
          <w:sz w:val="28"/>
          <w:szCs w:val="28"/>
          <w:highlight w:val="none"/>
          <w:lang w:eastAsia="zh-CN"/>
        </w:rPr>
        <w:t>天气晴</w:t>
      </w:r>
      <w:r>
        <w:rPr>
          <w:rFonts w:hint="eastAsia" w:ascii="宋体" w:hAnsi="宋体" w:eastAsia="宋体" w:cs="宋体"/>
          <w:color w:val="000000" w:themeColor="text1"/>
          <w:sz w:val="28"/>
          <w:szCs w:val="28"/>
          <w:highlight w:val="none"/>
        </w:rPr>
        <w:t>热少雨。由于地处沿海，受海击风影响比较明显，夏秋季节受太平洋台风影响，伴有大风和暴雨。本区域主要气象要素如下：</w:t>
      </w:r>
    </w:p>
    <w:p w14:paraId="73D450EF">
      <w:pPr>
        <w:pStyle w:val="95"/>
        <w:keepNext w:val="0"/>
        <w:keepLines w:val="0"/>
        <w:pageBreakBefore w:val="0"/>
        <w:widowControl w:val="0"/>
        <w:kinsoku/>
        <w:wordWrap/>
        <w:topLinePunct w:val="0"/>
        <w:bidi w:val="0"/>
        <w:adjustRightInd w:val="0"/>
        <w:snapToGrid w:val="0"/>
        <w:spacing w:before="0" w:line="360" w:lineRule="auto"/>
        <w:ind w:left="0" w:leftChars="0" w:firstLine="0" w:firstLineChars="0"/>
        <w:jc w:val="center"/>
        <w:rPr>
          <w:rFonts w:hint="eastAsia" w:ascii="黑体" w:hAnsi="黑体" w:eastAsia="黑体" w:cs="黑体"/>
          <w:b/>
          <w:bCs/>
          <w:color w:val="000000" w:themeColor="text1"/>
          <w:sz w:val="24"/>
          <w:szCs w:val="24"/>
          <w:highlight w:val="none"/>
        </w:rPr>
      </w:pPr>
      <w:r>
        <w:rPr>
          <w:rFonts w:hint="eastAsia" w:ascii="黑体" w:hAnsi="黑体" w:eastAsia="黑体" w:cs="黑体"/>
          <w:b/>
          <w:bCs/>
          <w:color w:val="000000" w:themeColor="text1"/>
          <w:sz w:val="24"/>
          <w:szCs w:val="24"/>
          <w:highlight w:val="none"/>
          <w:lang w:eastAsia="zh-CN"/>
        </w:rPr>
        <w:t>表</w:t>
      </w:r>
      <w:r>
        <w:rPr>
          <w:rFonts w:hint="eastAsia" w:ascii="黑体" w:hAnsi="黑体" w:eastAsia="黑体" w:cs="黑体"/>
          <w:b/>
          <w:bCs/>
          <w:color w:val="000000" w:themeColor="text1"/>
          <w:sz w:val="24"/>
          <w:szCs w:val="24"/>
          <w:highlight w:val="none"/>
          <w:lang w:val="en-US" w:eastAsia="zh-CN"/>
        </w:rPr>
        <w:t xml:space="preserve">2.2-1 </w:t>
      </w:r>
      <w:r>
        <w:rPr>
          <w:rFonts w:hint="eastAsia" w:ascii="黑体" w:hAnsi="黑体" w:eastAsia="黑体" w:cs="黑体"/>
          <w:b/>
          <w:bCs/>
          <w:color w:val="000000" w:themeColor="text1"/>
          <w:sz w:val="24"/>
          <w:szCs w:val="24"/>
          <w:highlight w:val="none"/>
        </w:rPr>
        <w:t>主要气候特征</w:t>
      </w:r>
      <w:r>
        <w:rPr>
          <w:rFonts w:hint="eastAsia" w:ascii="黑体" w:hAnsi="黑体" w:eastAsia="黑体" w:cs="黑体"/>
          <w:b/>
          <w:bCs/>
          <w:color w:val="000000" w:themeColor="text1"/>
          <w:sz w:val="24"/>
          <w:szCs w:val="24"/>
          <w:highlight w:val="none"/>
          <w:lang w:eastAsia="zh-CN"/>
        </w:rPr>
        <w:t>表</w:t>
      </w:r>
    </w:p>
    <w:tbl>
      <w:tblPr>
        <w:tblStyle w:val="6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69"/>
        <w:gridCol w:w="5731"/>
      </w:tblGrid>
      <w:tr w14:paraId="70BD4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951" w:type="pct"/>
            <w:vAlign w:val="center"/>
          </w:tcPr>
          <w:p w14:paraId="7059DA96">
            <w:pPr>
              <w:keepNext w:val="0"/>
              <w:keepLines w:val="0"/>
              <w:pageBreakBefore w:val="0"/>
              <w:widowControl w:val="0"/>
              <w:kinsoku/>
              <w:wordWrap/>
              <w:topLinePunct w:val="0"/>
              <w:bidi w:val="0"/>
              <w:adjustRightInd w:val="0"/>
              <w:snapToGrid w:val="0"/>
              <w:spacing w:line="240" w:lineRule="auto"/>
              <w:jc w:val="center"/>
              <w:rPr>
                <w:b/>
                <w:bCs w:val="0"/>
                <w:color w:val="000000" w:themeColor="text1"/>
                <w:sz w:val="21"/>
                <w:szCs w:val="21"/>
                <w:highlight w:val="none"/>
              </w:rPr>
            </w:pPr>
            <w:r>
              <w:rPr>
                <w:b/>
                <w:bCs w:val="0"/>
                <w:color w:val="000000" w:themeColor="text1"/>
                <w:sz w:val="21"/>
                <w:szCs w:val="21"/>
                <w:highlight w:val="none"/>
              </w:rPr>
              <w:t>气象因素</w:t>
            </w:r>
          </w:p>
        </w:tc>
        <w:tc>
          <w:tcPr>
            <w:tcW w:w="3048" w:type="pct"/>
            <w:vAlign w:val="center"/>
          </w:tcPr>
          <w:p w14:paraId="08E532F7">
            <w:pPr>
              <w:keepNext w:val="0"/>
              <w:keepLines w:val="0"/>
              <w:pageBreakBefore w:val="0"/>
              <w:widowControl w:val="0"/>
              <w:kinsoku/>
              <w:wordWrap/>
              <w:topLinePunct w:val="0"/>
              <w:bidi w:val="0"/>
              <w:adjustRightInd w:val="0"/>
              <w:snapToGrid w:val="0"/>
              <w:spacing w:line="240" w:lineRule="auto"/>
              <w:jc w:val="center"/>
              <w:rPr>
                <w:b/>
                <w:bCs w:val="0"/>
                <w:color w:val="000000" w:themeColor="text1"/>
                <w:sz w:val="21"/>
                <w:szCs w:val="21"/>
                <w:highlight w:val="none"/>
              </w:rPr>
            </w:pPr>
            <w:r>
              <w:rPr>
                <w:b/>
                <w:bCs w:val="0"/>
                <w:color w:val="000000" w:themeColor="text1"/>
                <w:sz w:val="21"/>
                <w:szCs w:val="21"/>
                <w:highlight w:val="none"/>
              </w:rPr>
              <w:t>本区域情况</w:t>
            </w:r>
          </w:p>
        </w:tc>
      </w:tr>
      <w:tr w14:paraId="417F8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1" w:type="pct"/>
            <w:vAlign w:val="center"/>
          </w:tcPr>
          <w:p w14:paraId="41E2E65A">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历年最高气温</w:t>
            </w:r>
          </w:p>
        </w:tc>
        <w:tc>
          <w:tcPr>
            <w:tcW w:w="3048" w:type="pct"/>
            <w:vAlign w:val="center"/>
          </w:tcPr>
          <w:p w14:paraId="0CB93110">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38.7℃</w:t>
            </w:r>
          </w:p>
        </w:tc>
      </w:tr>
      <w:tr w14:paraId="4A7C3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1" w:type="pct"/>
            <w:vAlign w:val="center"/>
          </w:tcPr>
          <w:p w14:paraId="0E064213">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历年最低气温</w:t>
            </w:r>
          </w:p>
        </w:tc>
        <w:tc>
          <w:tcPr>
            <w:tcW w:w="3048" w:type="pct"/>
            <w:vAlign w:val="center"/>
          </w:tcPr>
          <w:p w14:paraId="5192D8E9">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-8.8℃</w:t>
            </w:r>
          </w:p>
        </w:tc>
      </w:tr>
      <w:tr w14:paraId="73FB3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1" w:type="pct"/>
            <w:vAlign w:val="center"/>
          </w:tcPr>
          <w:p w14:paraId="484654EE">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年平均气温</w:t>
            </w:r>
          </w:p>
        </w:tc>
        <w:tc>
          <w:tcPr>
            <w:tcW w:w="3048" w:type="pct"/>
            <w:vAlign w:val="center"/>
          </w:tcPr>
          <w:p w14:paraId="5E249686">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16.3℃</w:t>
            </w:r>
          </w:p>
        </w:tc>
      </w:tr>
      <w:tr w14:paraId="0F1FA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1" w:type="pct"/>
            <w:vAlign w:val="center"/>
          </w:tcPr>
          <w:p w14:paraId="78EE23EF">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年平均相对湿度</w:t>
            </w:r>
          </w:p>
        </w:tc>
        <w:tc>
          <w:tcPr>
            <w:tcW w:w="3048" w:type="pct"/>
            <w:vAlign w:val="center"/>
          </w:tcPr>
          <w:p w14:paraId="65222F66">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82%</w:t>
            </w:r>
          </w:p>
        </w:tc>
      </w:tr>
      <w:tr w14:paraId="7C4E9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1" w:type="pct"/>
            <w:vAlign w:val="center"/>
          </w:tcPr>
          <w:p w14:paraId="41456211">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多年平均降水量</w:t>
            </w:r>
          </w:p>
        </w:tc>
        <w:tc>
          <w:tcPr>
            <w:tcW w:w="3048" w:type="pct"/>
            <w:vAlign w:val="center"/>
          </w:tcPr>
          <w:p w14:paraId="2114A686">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1312.3mm</w:t>
            </w:r>
          </w:p>
        </w:tc>
      </w:tr>
      <w:tr w14:paraId="257A1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1" w:type="pct"/>
            <w:vAlign w:val="center"/>
          </w:tcPr>
          <w:p w14:paraId="24D0CF6D">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年平均气压</w:t>
            </w:r>
          </w:p>
        </w:tc>
        <w:tc>
          <w:tcPr>
            <w:tcW w:w="3048" w:type="pct"/>
            <w:vAlign w:val="center"/>
          </w:tcPr>
          <w:p w14:paraId="3B24532B">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1016.5hpa</w:t>
            </w:r>
          </w:p>
        </w:tc>
      </w:tr>
      <w:tr w14:paraId="637D1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1" w:type="pct"/>
            <w:vAlign w:val="center"/>
          </w:tcPr>
          <w:p w14:paraId="77191627">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年平均雨日</w:t>
            </w:r>
          </w:p>
        </w:tc>
        <w:tc>
          <w:tcPr>
            <w:tcW w:w="3048" w:type="pct"/>
            <w:vAlign w:val="center"/>
          </w:tcPr>
          <w:p w14:paraId="26F58826">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159.5天</w:t>
            </w:r>
          </w:p>
        </w:tc>
      </w:tr>
      <w:tr w14:paraId="6D815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1" w:type="pct"/>
            <w:vAlign w:val="center"/>
          </w:tcPr>
          <w:p w14:paraId="73A4C023">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年平均风速</w:t>
            </w:r>
          </w:p>
        </w:tc>
        <w:tc>
          <w:tcPr>
            <w:tcW w:w="3048" w:type="pct"/>
            <w:vAlign w:val="center"/>
          </w:tcPr>
          <w:p w14:paraId="28509700">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4.82m/s</w:t>
            </w:r>
          </w:p>
        </w:tc>
      </w:tr>
      <w:tr w14:paraId="4F391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1" w:type="pct"/>
            <w:vAlign w:val="center"/>
          </w:tcPr>
          <w:p w14:paraId="2EE6F1E5">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主导风向</w:t>
            </w:r>
          </w:p>
        </w:tc>
        <w:tc>
          <w:tcPr>
            <w:tcW w:w="3048" w:type="pct"/>
            <w:vAlign w:val="center"/>
          </w:tcPr>
          <w:p w14:paraId="7B162543">
            <w:pPr>
              <w:keepNext w:val="0"/>
              <w:keepLines w:val="0"/>
              <w:pageBreakBefore w:val="0"/>
              <w:widowControl w:val="0"/>
              <w:kinsoku/>
              <w:wordWrap/>
              <w:topLinePunct w:val="0"/>
              <w:bidi w:val="0"/>
              <w:adjustRightInd w:val="0"/>
              <w:snapToGrid w:val="0"/>
              <w:spacing w:line="240" w:lineRule="auto"/>
              <w:jc w:val="center"/>
              <w:rPr>
                <w:bCs/>
                <w:color w:val="000000" w:themeColor="text1"/>
                <w:sz w:val="21"/>
                <w:szCs w:val="21"/>
                <w:highlight w:val="none"/>
              </w:rPr>
            </w:pPr>
            <w:r>
              <w:rPr>
                <w:bCs/>
                <w:color w:val="000000" w:themeColor="text1"/>
                <w:sz w:val="21"/>
                <w:szCs w:val="21"/>
                <w:highlight w:val="none"/>
              </w:rPr>
              <w:t>NW(9.5%)、SE(8.3%)</w:t>
            </w:r>
          </w:p>
        </w:tc>
      </w:tr>
    </w:tbl>
    <w:p w14:paraId="214D2D49">
      <w:pPr>
        <w:pStyle w:val="744"/>
        <w:keepNext w:val="0"/>
        <w:keepLines w:val="0"/>
        <w:pageBreakBefore w:val="0"/>
        <w:widowControl w:val="0"/>
        <w:numPr>
          <w:ilvl w:val="0"/>
          <w:numId w:val="7"/>
        </w:numPr>
        <w:kinsoku/>
        <w:wordWrap/>
        <w:overflowPunct/>
        <w:topLinePunct w:val="0"/>
        <w:autoSpaceDE/>
        <w:autoSpaceDN/>
        <w:bidi w:val="0"/>
        <w:adjustRightInd w:val="0"/>
        <w:snapToGrid w:val="0"/>
        <w:spacing w:before="164" w:beforeLines="50" w:line="360" w:lineRule="auto"/>
        <w:ind w:left="0" w:leftChars="0" w:firstLine="560" w:firstLineChars="200"/>
        <w:textAlignment w:val="auto"/>
        <w:rPr>
          <w:rFonts w:cs="Helvetica"/>
          <w:color w:val="000000" w:themeColor="text1"/>
          <w:sz w:val="28"/>
          <w:szCs w:val="28"/>
          <w:highlight w:val="none"/>
        </w:rPr>
      </w:pPr>
      <w:r>
        <w:rPr>
          <w:rFonts w:cs="Helvetica"/>
          <w:color w:val="000000" w:themeColor="text1"/>
          <w:sz w:val="28"/>
          <w:szCs w:val="28"/>
          <w:highlight w:val="none"/>
        </w:rPr>
        <w:t>陆域水文</w:t>
      </w:r>
    </w:p>
    <w:p w14:paraId="3E5741F4">
      <w:pPr>
        <w:pStyle w:val="95"/>
        <w:keepNext w:val="0"/>
        <w:keepLines w:val="0"/>
        <w:pageBreakBefore w:val="0"/>
        <w:widowControl w:val="0"/>
        <w:kinsoku/>
        <w:wordWrap/>
        <w:overflowPunct/>
        <w:topLinePunct w:val="0"/>
        <w:autoSpaceDE/>
        <w:autoSpaceDN/>
        <w:bidi w:val="0"/>
        <w:adjustRightInd w:val="0"/>
        <w:snapToGrid w:val="0"/>
        <w:spacing w:before="0" w:line="360" w:lineRule="auto"/>
        <w:ind w:firstLine="560"/>
        <w:textAlignment w:val="auto"/>
        <w:rPr>
          <w:color w:val="000000" w:themeColor="text1"/>
          <w:sz w:val="28"/>
          <w:szCs w:val="28"/>
          <w:highlight w:val="none"/>
        </w:rPr>
      </w:pPr>
      <w:r>
        <w:rPr>
          <w:rFonts w:hint="eastAsia"/>
          <w:color w:val="000000" w:themeColor="text1"/>
          <w:sz w:val="28"/>
          <w:szCs w:val="28"/>
          <w:highlight w:val="none"/>
        </w:rPr>
        <w:t>镇海区平原河网密布，分属于5大水系。主要河流有中大河，一支发源于汶溪，另一支发源于丈亭江，两支汇合于黄洋桥续向东流入甬江，全长22千米；前大河由宁波市北郊流入至白龙洋汇合中大河，长约13千米；澥浦大河是一条新掘河，西起三七房口接沿山大河，长3千米，均宽20</w:t>
      </w:r>
      <w:r>
        <w:rPr>
          <w:rFonts w:hint="eastAsia"/>
          <w:color w:val="000000" w:themeColor="text1"/>
          <w:sz w:val="28"/>
          <w:szCs w:val="28"/>
          <w:highlight w:val="none"/>
          <w:lang w:eastAsia="zh-CN"/>
        </w:rPr>
        <w:t>～</w:t>
      </w:r>
      <w:r>
        <w:rPr>
          <w:rFonts w:hint="eastAsia"/>
          <w:color w:val="000000" w:themeColor="text1"/>
          <w:sz w:val="28"/>
          <w:szCs w:val="28"/>
          <w:highlight w:val="none"/>
        </w:rPr>
        <w:t>30米，均深2.1米；万弓塘河北起岚山嘴接浦大河，最后汇入石塘下河，长9.8千米。</w:t>
      </w:r>
    </w:p>
    <w:p w14:paraId="3ABF0DA3">
      <w:pPr>
        <w:pStyle w:val="9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color w:val="000000" w:themeColor="text1"/>
          <w:sz w:val="28"/>
          <w:szCs w:val="28"/>
          <w:highlight w:val="none"/>
        </w:rPr>
      </w:pPr>
      <w:r>
        <w:rPr>
          <w:rFonts w:hint="eastAsia"/>
          <w:color w:val="000000" w:themeColor="text1"/>
          <w:sz w:val="28"/>
          <w:szCs w:val="28"/>
          <w:highlight w:val="none"/>
        </w:rPr>
        <w:t>镇海以北为杭州湾海域，该海域潮波来自东海，属非正规半日潮。海域基本为沿岸往复流，具有落潮流大于涨潮流，涨潮流历时大于落潮流历时的特征。其多年平均潮差为1.76m，历年最大潮差为3.67m；最高潮位4.97m，历年最低潮位-0.2m；平均涨潮历时6小时18分，平均落潮历时6小时7分。</w:t>
      </w:r>
    </w:p>
    <w:p w14:paraId="5FBDE19D">
      <w:pPr>
        <w:pStyle w:val="9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color w:val="000000" w:themeColor="text1"/>
          <w:sz w:val="28"/>
          <w:szCs w:val="28"/>
          <w:highlight w:val="none"/>
        </w:rPr>
      </w:pPr>
      <w:r>
        <w:rPr>
          <w:rFonts w:hint="eastAsia"/>
          <w:color w:val="000000" w:themeColor="text1"/>
          <w:sz w:val="28"/>
          <w:szCs w:val="28"/>
          <w:highlight w:val="none"/>
        </w:rPr>
        <w:t>附近海域出现海浪有风浪、涌浪、混合浪3种类型，以混合浪为主。春、夏、秋季节</w:t>
      </w:r>
      <w:r>
        <w:rPr>
          <w:rFonts w:hint="eastAsia"/>
          <w:color w:val="000000" w:themeColor="text1"/>
          <w:sz w:val="28"/>
          <w:szCs w:val="28"/>
          <w:highlight w:val="none"/>
          <w:lang w:eastAsia="zh-CN"/>
        </w:rPr>
        <w:t>（</w:t>
      </w:r>
      <w:r>
        <w:rPr>
          <w:rFonts w:hint="eastAsia"/>
          <w:color w:val="000000" w:themeColor="text1"/>
          <w:sz w:val="28"/>
          <w:szCs w:val="28"/>
          <w:highlight w:val="none"/>
        </w:rPr>
        <w:t>除受台风影响外</w:t>
      </w:r>
      <w:r>
        <w:rPr>
          <w:rFonts w:hint="eastAsia"/>
          <w:color w:val="000000" w:themeColor="text1"/>
          <w:sz w:val="28"/>
          <w:szCs w:val="28"/>
          <w:highlight w:val="none"/>
          <w:lang w:eastAsia="zh-CN"/>
        </w:rPr>
        <w:t>）</w:t>
      </w:r>
      <w:r>
        <w:rPr>
          <w:rFonts w:hint="eastAsia"/>
          <w:color w:val="000000" w:themeColor="text1"/>
          <w:sz w:val="28"/>
          <w:szCs w:val="28"/>
          <w:highlight w:val="none"/>
        </w:rPr>
        <w:t>海区海面出现海浪波高平均0.5</w:t>
      </w:r>
      <w:r>
        <w:rPr>
          <w:rFonts w:hint="eastAsia"/>
          <w:color w:val="000000" w:themeColor="text1"/>
          <w:sz w:val="28"/>
          <w:szCs w:val="28"/>
          <w:highlight w:val="none"/>
          <w:lang w:eastAsia="zh-CN"/>
        </w:rPr>
        <w:t>—</w:t>
      </w:r>
      <w:r>
        <w:rPr>
          <w:rFonts w:hint="eastAsia"/>
          <w:color w:val="000000" w:themeColor="text1"/>
          <w:sz w:val="28"/>
          <w:szCs w:val="28"/>
          <w:highlight w:val="none"/>
        </w:rPr>
        <w:t>0.8m，最大波高1m左右，周期3.0</w:t>
      </w:r>
      <w:r>
        <w:rPr>
          <w:rFonts w:hint="eastAsia"/>
          <w:color w:val="000000" w:themeColor="text1"/>
          <w:sz w:val="28"/>
          <w:szCs w:val="28"/>
          <w:highlight w:val="none"/>
          <w:lang w:eastAsia="zh-CN"/>
        </w:rPr>
        <w:t>—</w:t>
      </w:r>
      <w:r>
        <w:rPr>
          <w:rFonts w:hint="eastAsia"/>
          <w:color w:val="000000" w:themeColor="text1"/>
          <w:sz w:val="28"/>
          <w:szCs w:val="28"/>
          <w:highlight w:val="none"/>
        </w:rPr>
        <w:t>4.0秒，浪向多偏东。冬季海区内出现海浪状况较为复杂，受冷空气频繁侵袭，海面经常出现8-10级偏北大风，由此产生偏北大浪。大风过后由外海传来涌浪随之出现，海面海浪平均波高0.5</w:t>
      </w:r>
      <w:r>
        <w:rPr>
          <w:rFonts w:hint="eastAsia"/>
          <w:color w:val="000000" w:themeColor="text1"/>
          <w:sz w:val="28"/>
          <w:szCs w:val="28"/>
          <w:highlight w:val="none"/>
          <w:lang w:eastAsia="zh-CN"/>
        </w:rPr>
        <w:t>—</w:t>
      </w:r>
      <w:r>
        <w:rPr>
          <w:rFonts w:hint="eastAsia"/>
          <w:color w:val="000000" w:themeColor="text1"/>
          <w:sz w:val="28"/>
          <w:szCs w:val="28"/>
          <w:highlight w:val="none"/>
        </w:rPr>
        <w:t>2.5m，最大波高1.0</w:t>
      </w:r>
      <w:r>
        <w:rPr>
          <w:rFonts w:hint="eastAsia"/>
          <w:color w:val="000000" w:themeColor="text1"/>
          <w:sz w:val="28"/>
          <w:szCs w:val="28"/>
          <w:highlight w:val="none"/>
          <w:lang w:eastAsia="zh-CN"/>
        </w:rPr>
        <w:t>—</w:t>
      </w:r>
      <w:r>
        <w:rPr>
          <w:rFonts w:hint="eastAsia"/>
          <w:color w:val="000000" w:themeColor="text1"/>
          <w:sz w:val="28"/>
          <w:szCs w:val="28"/>
          <w:highlight w:val="none"/>
        </w:rPr>
        <w:t>3.0m，周期4.5</w:t>
      </w:r>
      <w:r>
        <w:rPr>
          <w:rFonts w:hint="eastAsia"/>
          <w:color w:val="000000" w:themeColor="text1"/>
          <w:sz w:val="28"/>
          <w:szCs w:val="28"/>
          <w:highlight w:val="none"/>
          <w:lang w:eastAsia="zh-CN"/>
        </w:rPr>
        <w:t>—</w:t>
      </w:r>
      <w:r>
        <w:rPr>
          <w:rFonts w:hint="eastAsia"/>
          <w:color w:val="000000" w:themeColor="text1"/>
          <w:sz w:val="28"/>
          <w:szCs w:val="28"/>
          <w:highlight w:val="none"/>
        </w:rPr>
        <w:t>6.0秒。附近海域受台风直接或边缘影响，通常出现波高3.0</w:t>
      </w:r>
      <w:r>
        <w:rPr>
          <w:rFonts w:hint="eastAsia"/>
          <w:color w:val="000000" w:themeColor="text1"/>
          <w:sz w:val="28"/>
          <w:szCs w:val="28"/>
          <w:highlight w:val="none"/>
          <w:lang w:eastAsia="zh-CN"/>
        </w:rPr>
        <w:t>—</w:t>
      </w:r>
      <w:r>
        <w:rPr>
          <w:rFonts w:hint="eastAsia"/>
          <w:color w:val="000000" w:themeColor="text1"/>
          <w:sz w:val="28"/>
          <w:szCs w:val="28"/>
          <w:highlight w:val="none"/>
        </w:rPr>
        <w:t>5.0m巨浪，最大波高6m左右，周期6.0</w:t>
      </w:r>
      <w:r>
        <w:rPr>
          <w:rFonts w:hint="eastAsia"/>
          <w:color w:val="000000" w:themeColor="text1"/>
          <w:sz w:val="28"/>
          <w:szCs w:val="28"/>
          <w:highlight w:val="none"/>
          <w:lang w:eastAsia="zh-CN"/>
        </w:rPr>
        <w:t>—</w:t>
      </w:r>
      <w:r>
        <w:rPr>
          <w:rFonts w:hint="eastAsia"/>
          <w:color w:val="000000" w:themeColor="text1"/>
          <w:sz w:val="28"/>
          <w:szCs w:val="28"/>
          <w:highlight w:val="none"/>
        </w:rPr>
        <w:t>7.0秒，浪向偏东转偏北向。</w:t>
      </w:r>
    </w:p>
    <w:p w14:paraId="27F5CAD4">
      <w:pPr>
        <w:pStyle w:val="6"/>
        <w:keepNext w:val="0"/>
        <w:keepLines w:val="0"/>
        <w:pageBreakBefore w:val="0"/>
        <w:widowControl w:val="0"/>
        <w:kinsoku/>
        <w:wordWrap/>
        <w:overflowPunct/>
        <w:topLinePunct w:val="0"/>
        <w:autoSpaceDE/>
        <w:autoSpaceDN/>
        <w:bidi w:val="0"/>
        <w:adjustRightInd w:val="0"/>
        <w:snapToGrid w:val="0"/>
        <w:textAlignment w:val="auto"/>
        <w:rPr>
          <w:rFonts w:hint="eastAsia" w:hAnsi="宋体" w:cs="宋体"/>
          <w:color w:val="000000" w:themeColor="text1"/>
          <w:highlight w:val="none"/>
        </w:rPr>
      </w:pPr>
      <w:bookmarkStart w:id="232" w:name="_Toc234394473"/>
      <w:bookmarkStart w:id="233" w:name="_Toc190762538"/>
      <w:bookmarkStart w:id="234" w:name="_Toc449456793"/>
      <w:bookmarkStart w:id="235" w:name="_Toc150849425"/>
      <w:bookmarkStart w:id="236" w:name="_Toc151792112"/>
      <w:bookmarkStart w:id="237" w:name="_Toc176576638"/>
      <w:bookmarkStart w:id="238" w:name="_Toc161042268"/>
      <w:bookmarkStart w:id="239" w:name="_Toc160859590"/>
      <w:bookmarkStart w:id="240" w:name="_Toc186273625"/>
      <w:bookmarkStart w:id="241" w:name="_Toc449456884"/>
      <w:bookmarkStart w:id="242" w:name="_Toc198457534"/>
      <w:bookmarkStart w:id="243" w:name="_Toc198521462"/>
      <w:bookmarkStart w:id="244" w:name="_Toc9371"/>
      <w:bookmarkStart w:id="245" w:name="_Toc2389"/>
      <w:bookmarkStart w:id="246" w:name="_Toc3295"/>
      <w:bookmarkStart w:id="247" w:name="_Toc8709"/>
      <w:bookmarkStart w:id="248" w:name="_Toc15655"/>
      <w:bookmarkStart w:id="249" w:name="_Toc28878"/>
      <w:r>
        <w:rPr>
          <w:rFonts w:hint="eastAsia" w:hAnsi="宋体" w:cs="宋体"/>
          <w:color w:val="000000" w:themeColor="text1"/>
          <w:highlight w:val="none"/>
        </w:rPr>
        <w:t>2.</w:t>
      </w:r>
      <w:r>
        <w:rPr>
          <w:rFonts w:hint="eastAsia" w:hAnsi="宋体" w:cs="宋体"/>
          <w:color w:val="000000" w:themeColor="text1"/>
          <w:highlight w:val="none"/>
          <w:lang w:val="en-US" w:eastAsia="zh-CN"/>
        </w:rPr>
        <w:t>3</w:t>
      </w:r>
      <w:r>
        <w:rPr>
          <w:rFonts w:hint="eastAsia" w:hAnsi="宋体" w:cs="宋体"/>
          <w:color w:val="000000" w:themeColor="text1"/>
          <w:highlight w:val="none"/>
        </w:rPr>
        <w:t>总平面布置</w:t>
      </w:r>
      <w:bookmarkEnd w:id="232"/>
      <w:bookmarkEnd w:id="233"/>
      <w:bookmarkEnd w:id="234"/>
      <w:bookmarkEnd w:id="235"/>
      <w:bookmarkEnd w:id="236"/>
      <w:bookmarkEnd w:id="237"/>
      <w:bookmarkEnd w:id="238"/>
      <w:bookmarkEnd w:id="239"/>
      <w:bookmarkEnd w:id="240"/>
      <w:bookmarkEnd w:id="241"/>
      <w:bookmarkEnd w:id="242"/>
      <w:bookmarkEnd w:id="243"/>
      <w:bookmarkStart w:id="250" w:name="_Toc160859591"/>
      <w:bookmarkStart w:id="251" w:name="_Toc151792113"/>
      <w:bookmarkStart w:id="252" w:name="_Toc176576639"/>
      <w:bookmarkStart w:id="253" w:name="_Toc186273626"/>
      <w:bookmarkStart w:id="254" w:name="_Toc150849426"/>
      <w:bookmarkStart w:id="255" w:name="_Toc161042269"/>
      <w:r>
        <w:rPr>
          <w:rFonts w:hint="eastAsia" w:hAnsi="宋体" w:cs="宋体"/>
          <w:color w:val="000000" w:themeColor="text1"/>
          <w:highlight w:val="none"/>
        </w:rPr>
        <w:t>及建</w:t>
      </w:r>
      <w:r>
        <w:rPr>
          <w:rFonts w:hint="eastAsia" w:hAnsi="宋体" w:cs="宋体"/>
          <w:color w:val="000000" w:themeColor="text1"/>
          <w:highlight w:val="none"/>
          <w:lang w:eastAsia="zh-CN"/>
        </w:rPr>
        <w:t>（</w:t>
      </w:r>
      <w:r>
        <w:rPr>
          <w:rFonts w:hint="eastAsia" w:hAnsi="宋体" w:cs="宋体"/>
          <w:color w:val="000000" w:themeColor="text1"/>
          <w:highlight w:val="none"/>
        </w:rPr>
        <w:t>构</w:t>
      </w:r>
      <w:r>
        <w:rPr>
          <w:rFonts w:hint="eastAsia" w:hAnsi="宋体" w:cs="宋体"/>
          <w:color w:val="000000" w:themeColor="text1"/>
          <w:highlight w:val="none"/>
          <w:lang w:eastAsia="zh-CN"/>
        </w:rPr>
        <w:t>）</w:t>
      </w:r>
      <w:r>
        <w:rPr>
          <w:rFonts w:hint="eastAsia" w:hAnsi="宋体" w:cs="宋体"/>
          <w:color w:val="000000" w:themeColor="text1"/>
          <w:highlight w:val="none"/>
        </w:rPr>
        <w:t>筑物</w:t>
      </w:r>
      <w:bookmarkEnd w:id="244"/>
      <w:bookmarkEnd w:id="245"/>
      <w:bookmarkEnd w:id="246"/>
      <w:bookmarkEnd w:id="247"/>
      <w:bookmarkEnd w:id="248"/>
      <w:bookmarkEnd w:id="249"/>
    </w:p>
    <w:p w14:paraId="714D54FE">
      <w:pPr>
        <w:pStyle w:val="744"/>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color w:val="000000" w:themeColor="text1"/>
          <w:sz w:val="28"/>
          <w:szCs w:val="28"/>
          <w:highlight w:val="none"/>
        </w:rPr>
      </w:pPr>
      <w:bookmarkStart w:id="256" w:name="OLE_LINK13"/>
      <w:bookmarkStart w:id="257" w:name="OLE_LINK14"/>
      <w:r>
        <w:rPr>
          <w:rFonts w:hint="eastAsia"/>
          <w:color w:val="000000" w:themeColor="text1"/>
          <w:sz w:val="28"/>
          <w:szCs w:val="28"/>
          <w:highlight w:val="none"/>
        </w:rPr>
        <w:t>总平面布置</w:t>
      </w:r>
    </w:p>
    <w:p w14:paraId="4A982755">
      <w:pPr>
        <w:pStyle w:val="744"/>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560" w:firstLineChars="200"/>
        <w:textAlignment w:val="auto"/>
        <w:rPr>
          <w:rFonts w:hint="eastAsia"/>
          <w:color w:val="000000" w:themeColor="text1"/>
          <w:sz w:val="28"/>
          <w:szCs w:val="28"/>
          <w:highlight w:val="none"/>
          <w:lang w:eastAsia="zh-CN"/>
        </w:rPr>
      </w:pPr>
      <w:r>
        <w:rPr>
          <w:rFonts w:hint="eastAsia"/>
          <w:color w:val="000000" w:themeColor="text1"/>
          <w:sz w:val="28"/>
          <w:szCs w:val="28"/>
          <w:highlight w:val="none"/>
        </w:rPr>
        <w:t>华美线业</w:t>
      </w:r>
      <w:r>
        <w:rPr>
          <w:rFonts w:hint="eastAsia"/>
          <w:color w:val="000000" w:themeColor="text1"/>
          <w:sz w:val="28"/>
          <w:szCs w:val="28"/>
          <w:highlight w:val="none"/>
          <w:lang w:eastAsia="zh-CN"/>
        </w:rPr>
        <w:t>厂区大致呈长方形，</w:t>
      </w:r>
      <w:r>
        <w:rPr>
          <w:rFonts w:hint="eastAsia"/>
          <w:color w:val="000000" w:themeColor="text1"/>
          <w:sz w:val="28"/>
          <w:szCs w:val="28"/>
          <w:highlight w:val="none"/>
        </w:rPr>
        <w:t>厂区四面均设有围墙。总平面布置</w:t>
      </w:r>
      <w:r>
        <w:rPr>
          <w:rFonts w:hint="eastAsia"/>
          <w:color w:val="000000" w:themeColor="text1"/>
          <w:sz w:val="28"/>
          <w:szCs w:val="28"/>
          <w:highlight w:val="none"/>
          <w:lang w:eastAsia="zh-CN"/>
        </w:rPr>
        <w:t>情况如下：</w:t>
      </w:r>
    </w:p>
    <w:p w14:paraId="0B09ED61">
      <w:pPr>
        <w:pStyle w:val="744"/>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lang w:val="en-US" w:eastAsia="zh-CN"/>
        </w:rPr>
      </w:pPr>
      <w:r>
        <w:rPr>
          <w:rFonts w:hint="eastAsia"/>
          <w:color w:val="000000" w:themeColor="text1"/>
          <w:sz w:val="28"/>
          <w:szCs w:val="28"/>
          <w:highlight w:val="none"/>
          <w:lang w:val="en-US" w:eastAsia="zh-CN"/>
        </w:rPr>
        <w:t>两个厂区大门</w:t>
      </w:r>
      <w:r>
        <w:rPr>
          <w:rFonts w:hint="eastAsia"/>
          <w:color w:val="000000" w:themeColor="text1"/>
          <w:sz w:val="28"/>
          <w:szCs w:val="28"/>
          <w:highlight w:val="none"/>
          <w:lang w:eastAsia="zh-CN"/>
        </w:rPr>
        <w:t>分别布置于西北角、西南角</w:t>
      </w:r>
      <w:r>
        <w:rPr>
          <w:rFonts w:hint="eastAsia"/>
          <w:color w:val="000000" w:themeColor="text1"/>
          <w:sz w:val="28"/>
          <w:szCs w:val="28"/>
          <w:highlight w:val="none"/>
          <w:lang w:val="en-US" w:eastAsia="zh-CN"/>
        </w:rPr>
        <w:t>；</w:t>
      </w:r>
    </w:p>
    <w:p w14:paraId="67856685">
      <w:pPr>
        <w:pStyle w:val="744"/>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lang w:val="en-US" w:eastAsia="zh-CN"/>
        </w:rPr>
      </w:pPr>
      <w:r>
        <w:rPr>
          <w:rFonts w:hint="eastAsia" w:ascii="宋体" w:hAnsi="宋体" w:eastAsia="宋体" w:cs="宋体"/>
          <w:color w:val="000000" w:themeColor="text1"/>
          <w:sz w:val="28"/>
          <w:szCs w:val="28"/>
          <w:highlight w:val="none"/>
          <w:lang w:val="en-US" w:eastAsia="zh-CN"/>
        </w:rPr>
        <w:t>公司办公楼布置于西北部，生产办公楼布置于西南部；</w:t>
      </w:r>
    </w:p>
    <w:p w14:paraId="3AB38F39">
      <w:pPr>
        <w:pStyle w:val="744"/>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lang w:val="en-US" w:eastAsia="zh-CN"/>
        </w:rPr>
      </w:pPr>
      <w:r>
        <w:rPr>
          <w:rFonts w:hint="eastAsia" w:cs="宋体"/>
          <w:color w:val="000000" w:themeColor="text1"/>
          <w:sz w:val="28"/>
          <w:szCs w:val="28"/>
          <w:highlight w:val="none"/>
          <w:lang w:val="en-US" w:eastAsia="zh-CN"/>
        </w:rPr>
        <w:t>废水</w:t>
      </w:r>
      <w:r>
        <w:rPr>
          <w:rFonts w:hint="eastAsia" w:ascii="宋体" w:hAnsi="宋体" w:eastAsia="宋体" w:cs="宋体"/>
          <w:color w:val="000000" w:themeColor="text1"/>
          <w:sz w:val="28"/>
          <w:szCs w:val="28"/>
          <w:highlight w:val="none"/>
          <w:lang w:val="en-US" w:eastAsia="zh-CN"/>
        </w:rPr>
        <w:t>处理站布置于厂区西北部；</w:t>
      </w:r>
    </w:p>
    <w:p w14:paraId="417820D3">
      <w:pPr>
        <w:pStyle w:val="744"/>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lang w:val="en-US" w:eastAsia="zh-CN"/>
        </w:rPr>
      </w:pPr>
      <w:r>
        <w:rPr>
          <w:rFonts w:hint="eastAsia" w:ascii="宋体" w:hAnsi="宋体" w:eastAsia="宋体" w:cs="宋体"/>
          <w:color w:val="000000" w:themeColor="text1"/>
          <w:sz w:val="28"/>
          <w:szCs w:val="28"/>
          <w:highlight w:val="none"/>
          <w:lang w:val="en-US" w:eastAsia="zh-CN"/>
        </w:rPr>
        <w:t>主要生产车间长丝车间1、长丝车间2、漂染车间、打线车间布置于厂区中部，功能分别为将原料制成涤纶线、线的染色和成品线的卷绕和检验包装；漂染车间东面布置了</w:t>
      </w:r>
      <w:r>
        <w:rPr>
          <w:rFonts w:hint="eastAsia"/>
          <w:color w:val="000000" w:themeColor="text1"/>
          <w:sz w:val="28"/>
          <w:szCs w:val="28"/>
          <w:highlight w:val="none"/>
        </w:rPr>
        <w:t>漂染车间附房</w:t>
      </w:r>
      <w:r>
        <w:rPr>
          <w:rFonts w:hint="eastAsia"/>
          <w:color w:val="000000" w:themeColor="text1"/>
          <w:sz w:val="28"/>
          <w:szCs w:val="28"/>
          <w:highlight w:val="none"/>
          <w:lang w:eastAsia="zh-CN"/>
        </w:rPr>
        <w:t>；</w:t>
      </w:r>
    </w:p>
    <w:p w14:paraId="4EB027B7">
      <w:pPr>
        <w:pStyle w:val="744"/>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lang w:val="en-US" w:eastAsia="zh-CN"/>
        </w:rPr>
      </w:pPr>
      <w:r>
        <w:rPr>
          <w:rFonts w:hint="eastAsia" w:cs="宋体"/>
          <w:color w:val="000000" w:themeColor="text1"/>
          <w:sz w:val="28"/>
          <w:szCs w:val="28"/>
          <w:highlight w:val="none"/>
          <w:lang w:val="en-US" w:eastAsia="zh-CN"/>
        </w:rPr>
        <w:t>配电房</w:t>
      </w:r>
      <w:r>
        <w:rPr>
          <w:rFonts w:hint="eastAsia" w:ascii="宋体" w:hAnsi="宋体" w:eastAsia="宋体" w:cs="宋体"/>
          <w:color w:val="000000" w:themeColor="text1"/>
          <w:sz w:val="28"/>
          <w:szCs w:val="28"/>
          <w:highlight w:val="none"/>
          <w:lang w:val="en-US" w:eastAsia="zh-CN"/>
        </w:rPr>
        <w:t>布置于厂区中部1#仓库</w:t>
      </w:r>
      <w:r>
        <w:rPr>
          <w:rFonts w:hint="eastAsia" w:cs="宋体"/>
          <w:color w:val="000000" w:themeColor="text1"/>
          <w:sz w:val="28"/>
          <w:szCs w:val="28"/>
          <w:highlight w:val="none"/>
          <w:lang w:val="en-US" w:eastAsia="zh-CN"/>
        </w:rPr>
        <w:t>西面，消防泵房</w:t>
      </w:r>
      <w:r>
        <w:rPr>
          <w:rFonts w:hint="eastAsia" w:ascii="宋体" w:hAnsi="宋体" w:eastAsia="宋体" w:cs="宋体"/>
          <w:color w:val="000000" w:themeColor="text1"/>
          <w:sz w:val="28"/>
          <w:szCs w:val="28"/>
          <w:highlight w:val="none"/>
          <w:lang w:val="en-US" w:eastAsia="zh-CN"/>
        </w:rPr>
        <w:t>布置于厂区中部1#仓库</w:t>
      </w:r>
      <w:r>
        <w:rPr>
          <w:rFonts w:hint="eastAsia" w:cs="宋体"/>
          <w:color w:val="000000" w:themeColor="text1"/>
          <w:sz w:val="28"/>
          <w:szCs w:val="28"/>
          <w:highlight w:val="none"/>
          <w:lang w:val="en-US" w:eastAsia="zh-CN"/>
        </w:rPr>
        <w:t>东面。</w:t>
      </w:r>
    </w:p>
    <w:p w14:paraId="2AB22FAE">
      <w:pPr>
        <w:pStyle w:val="744"/>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lang w:val="en-US" w:eastAsia="zh-CN"/>
        </w:rPr>
      </w:pPr>
      <w:r>
        <w:rPr>
          <w:rFonts w:hint="eastAsia" w:ascii="宋体" w:hAnsi="宋体" w:eastAsia="宋体" w:cs="宋体"/>
          <w:color w:val="000000" w:themeColor="text1"/>
          <w:sz w:val="28"/>
          <w:szCs w:val="28"/>
          <w:highlight w:val="none"/>
          <w:lang w:val="en-US" w:eastAsia="zh-CN"/>
        </w:rPr>
        <w:t>3#仓库、4#仓库、8#仓库、宿舍布置于厂区东北部；</w:t>
      </w:r>
    </w:p>
    <w:p w14:paraId="7E036981">
      <w:pPr>
        <w:pStyle w:val="744"/>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lang w:val="en-US" w:eastAsia="zh-CN"/>
        </w:rPr>
      </w:pPr>
      <w:r>
        <w:rPr>
          <w:rFonts w:hint="eastAsia" w:ascii="宋体" w:hAnsi="宋体" w:eastAsia="宋体" w:cs="宋体"/>
          <w:color w:val="000000" w:themeColor="text1"/>
          <w:sz w:val="28"/>
          <w:szCs w:val="28"/>
          <w:highlight w:val="none"/>
          <w:lang w:val="en-US" w:eastAsia="zh-CN"/>
        </w:rPr>
        <w:t>1#仓库、2#仓库布置于厂区中部；</w:t>
      </w:r>
    </w:p>
    <w:p w14:paraId="68AAD594">
      <w:pPr>
        <w:pStyle w:val="744"/>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lang w:val="en-US" w:eastAsia="zh-CN"/>
        </w:rPr>
      </w:pPr>
      <w:r>
        <w:rPr>
          <w:rFonts w:hint="eastAsia" w:ascii="宋体" w:hAnsi="宋体" w:eastAsia="宋体" w:cs="宋体"/>
          <w:color w:val="000000" w:themeColor="text1"/>
          <w:sz w:val="28"/>
          <w:szCs w:val="28"/>
          <w:highlight w:val="none"/>
          <w:lang w:val="en-US" w:eastAsia="zh-CN"/>
        </w:rPr>
        <w:t>空压机房、冷冻机房、食堂、氢氧化钠溶液储罐布置于厂区中东部；</w:t>
      </w:r>
    </w:p>
    <w:p w14:paraId="187BAA4A">
      <w:pPr>
        <w:pStyle w:val="744"/>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lang w:val="en-US" w:eastAsia="zh-CN"/>
        </w:rPr>
      </w:pPr>
      <w:r>
        <w:rPr>
          <w:rFonts w:hint="eastAsia" w:ascii="宋体" w:hAnsi="宋体" w:eastAsia="宋体" w:cs="宋体"/>
          <w:color w:val="000000" w:themeColor="text1"/>
          <w:sz w:val="28"/>
          <w:szCs w:val="28"/>
          <w:highlight w:val="none"/>
          <w:lang w:val="en-US" w:eastAsia="zh-CN"/>
        </w:rPr>
        <w:t>5#仓库、6#仓库、7#仓库和MARA车间布置于厂区东南部。</w:t>
      </w:r>
    </w:p>
    <w:p w14:paraId="75C87A37">
      <w:pPr>
        <w:pStyle w:val="744"/>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lang w:val="en-US" w:eastAsia="zh-CN"/>
        </w:rPr>
      </w:pPr>
      <w:r>
        <w:rPr>
          <w:rFonts w:hint="eastAsia"/>
          <w:color w:val="000000" w:themeColor="text1"/>
          <w:sz w:val="28"/>
          <w:szCs w:val="28"/>
          <w:highlight w:val="none"/>
        </w:rPr>
        <w:t>华美线业的场地标高为3.90m，最小坡度0.3％</w:t>
      </w:r>
      <w:r>
        <w:rPr>
          <w:rFonts w:hint="eastAsia"/>
          <w:color w:val="000000" w:themeColor="text1"/>
          <w:sz w:val="28"/>
          <w:szCs w:val="28"/>
          <w:highlight w:val="none"/>
          <w:lang w:eastAsia="zh-CN"/>
        </w:rPr>
        <w:t>，</w:t>
      </w:r>
      <w:r>
        <w:rPr>
          <w:rFonts w:hint="eastAsia"/>
          <w:color w:val="000000" w:themeColor="text1"/>
          <w:sz w:val="28"/>
          <w:szCs w:val="28"/>
          <w:highlight w:val="none"/>
        </w:rPr>
        <w:t>场地雨水通过排水坡向道路路边排水沟。</w:t>
      </w:r>
    </w:p>
    <w:p w14:paraId="46750550">
      <w:pPr>
        <w:pStyle w:val="744"/>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560" w:firstLineChars="200"/>
        <w:textAlignment w:val="auto"/>
        <w:rPr>
          <w:rFonts w:hint="eastAsia"/>
          <w:color w:val="000000" w:themeColor="text1"/>
          <w:sz w:val="28"/>
          <w:szCs w:val="28"/>
          <w:highlight w:val="none"/>
        </w:rPr>
      </w:pPr>
      <w:r>
        <w:rPr>
          <w:rFonts w:hint="eastAsia"/>
          <w:color w:val="000000" w:themeColor="text1"/>
          <w:sz w:val="28"/>
          <w:szCs w:val="28"/>
          <w:highlight w:val="none"/>
        </w:rPr>
        <w:t>华美线业总平面布置图见附件。</w:t>
      </w:r>
    </w:p>
    <w:p w14:paraId="7F561256">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eastAsia="宋体"/>
          <w:color w:val="000000" w:themeColor="text1"/>
          <w:sz w:val="28"/>
          <w:szCs w:val="28"/>
          <w:highlight w:val="none"/>
          <w:lang w:eastAsia="zh-CN"/>
        </w:rPr>
      </w:pPr>
      <w:r>
        <w:rPr>
          <w:rFonts w:hint="eastAsia"/>
          <w:color w:val="000000" w:themeColor="text1"/>
          <w:sz w:val="28"/>
          <w:szCs w:val="28"/>
          <w:highlight w:val="none"/>
        </w:rPr>
        <w:t>华美线业涉及危险化学品的建</w:t>
      </w:r>
      <w:r>
        <w:rPr>
          <w:rFonts w:hint="eastAsia"/>
          <w:color w:val="000000" w:themeColor="text1"/>
          <w:sz w:val="28"/>
          <w:szCs w:val="28"/>
          <w:highlight w:val="none"/>
          <w:lang w:eastAsia="zh-CN"/>
        </w:rPr>
        <w:t>（</w:t>
      </w:r>
      <w:r>
        <w:rPr>
          <w:rFonts w:hint="eastAsia"/>
          <w:color w:val="000000" w:themeColor="text1"/>
          <w:sz w:val="28"/>
          <w:szCs w:val="28"/>
          <w:highlight w:val="none"/>
        </w:rPr>
        <w:t>构</w:t>
      </w:r>
      <w:r>
        <w:rPr>
          <w:rFonts w:hint="eastAsia"/>
          <w:color w:val="000000" w:themeColor="text1"/>
          <w:sz w:val="28"/>
          <w:szCs w:val="28"/>
          <w:highlight w:val="none"/>
          <w:lang w:eastAsia="zh-CN"/>
        </w:rPr>
        <w:t>）</w:t>
      </w:r>
      <w:r>
        <w:rPr>
          <w:rFonts w:hint="eastAsia"/>
          <w:color w:val="000000" w:themeColor="text1"/>
          <w:sz w:val="28"/>
          <w:szCs w:val="28"/>
          <w:highlight w:val="none"/>
        </w:rPr>
        <w:t>筑物主要为</w:t>
      </w:r>
      <w:r>
        <w:rPr>
          <w:rFonts w:hint="eastAsia" w:ascii="宋体" w:hAnsi="宋体" w:eastAsia="宋体" w:cs="宋体"/>
          <w:color w:val="000000" w:themeColor="text1"/>
          <w:sz w:val="28"/>
          <w:szCs w:val="28"/>
          <w:highlight w:val="none"/>
          <w:lang w:val="en-US" w:eastAsia="zh-CN"/>
        </w:rPr>
        <w:t>氢氧化钠溶液</w:t>
      </w:r>
      <w:r>
        <w:rPr>
          <w:rFonts w:hint="eastAsia"/>
          <w:color w:val="000000" w:themeColor="text1"/>
          <w:sz w:val="28"/>
          <w:szCs w:val="28"/>
          <w:highlight w:val="none"/>
        </w:rPr>
        <w:t>储罐</w:t>
      </w:r>
      <w:r>
        <w:rPr>
          <w:rFonts w:hint="eastAsia"/>
          <w:color w:val="000000" w:themeColor="text1"/>
          <w:sz w:val="28"/>
          <w:szCs w:val="28"/>
          <w:highlight w:val="none"/>
          <w:lang w:eastAsia="zh-CN"/>
        </w:rPr>
        <w:t>、</w:t>
      </w:r>
      <w:r>
        <w:rPr>
          <w:rFonts w:hint="eastAsia"/>
          <w:color w:val="000000" w:themeColor="text1"/>
          <w:sz w:val="28"/>
          <w:szCs w:val="28"/>
          <w:highlight w:val="none"/>
        </w:rPr>
        <w:t>漂染车间附房</w:t>
      </w:r>
      <w:r>
        <w:rPr>
          <w:rFonts w:hint="eastAsia"/>
          <w:color w:val="000000" w:themeColor="text1"/>
          <w:sz w:val="28"/>
          <w:szCs w:val="28"/>
          <w:highlight w:val="none"/>
          <w:lang w:eastAsia="zh-CN"/>
        </w:rPr>
        <w:t>、</w:t>
      </w:r>
      <w:r>
        <w:rPr>
          <w:rFonts w:hint="eastAsia"/>
          <w:color w:val="000000" w:themeColor="text1"/>
          <w:sz w:val="28"/>
          <w:szCs w:val="28"/>
          <w:highlight w:val="none"/>
        </w:rPr>
        <w:t>漂染车间</w:t>
      </w:r>
      <w:r>
        <w:rPr>
          <w:rFonts w:hint="eastAsia"/>
          <w:color w:val="000000" w:themeColor="text1"/>
          <w:sz w:val="28"/>
          <w:szCs w:val="28"/>
          <w:highlight w:val="none"/>
          <w:lang w:eastAsia="zh-CN"/>
        </w:rPr>
        <w:t>、</w:t>
      </w:r>
      <w:r>
        <w:rPr>
          <w:rFonts w:hint="eastAsia" w:cs="宋体"/>
          <w:color w:val="000000" w:themeColor="text1"/>
          <w:sz w:val="28"/>
          <w:szCs w:val="28"/>
          <w:highlight w:val="none"/>
          <w:lang w:val="en-US" w:eastAsia="zh-CN"/>
        </w:rPr>
        <w:t>废水</w:t>
      </w:r>
      <w:r>
        <w:rPr>
          <w:rFonts w:hint="eastAsia" w:ascii="宋体" w:hAnsi="宋体" w:eastAsia="宋体" w:cs="宋体"/>
          <w:color w:val="000000" w:themeColor="text1"/>
          <w:sz w:val="28"/>
          <w:szCs w:val="28"/>
          <w:highlight w:val="none"/>
          <w:lang w:val="en-US" w:eastAsia="zh-CN"/>
        </w:rPr>
        <w:t>处理站</w:t>
      </w:r>
      <w:r>
        <w:rPr>
          <w:color w:val="000000" w:themeColor="text1"/>
          <w:spacing w:val="0"/>
          <w:sz w:val="28"/>
          <w:szCs w:val="28"/>
          <w:highlight w:val="none"/>
        </w:rPr>
        <w:t>药剂房</w:t>
      </w:r>
      <w:r>
        <w:rPr>
          <w:rFonts w:hint="eastAsia"/>
          <w:color w:val="000000" w:themeColor="text1"/>
          <w:sz w:val="28"/>
          <w:szCs w:val="28"/>
          <w:highlight w:val="none"/>
          <w:lang w:eastAsia="zh-CN"/>
        </w:rPr>
        <w:t>和</w:t>
      </w:r>
      <w:r>
        <w:rPr>
          <w:rFonts w:hint="eastAsia"/>
          <w:color w:val="000000" w:themeColor="text1"/>
          <w:sz w:val="28"/>
          <w:szCs w:val="28"/>
          <w:highlight w:val="none"/>
        </w:rPr>
        <w:t>次氯酸钠溶液加药区</w:t>
      </w:r>
      <w:r>
        <w:rPr>
          <w:rFonts w:hint="eastAsia"/>
          <w:color w:val="000000" w:themeColor="text1"/>
          <w:sz w:val="28"/>
          <w:szCs w:val="28"/>
          <w:highlight w:val="none"/>
          <w:lang w:eastAsia="zh-CN"/>
        </w:rPr>
        <w:t>。</w:t>
      </w:r>
    </w:p>
    <w:p w14:paraId="3CD411E2">
      <w:pPr>
        <w:pStyle w:val="744"/>
        <w:keepNext w:val="0"/>
        <w:keepLines w:val="0"/>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560" w:firstLineChars="200"/>
        <w:textAlignment w:val="auto"/>
        <w:rPr>
          <w:color w:val="000000" w:themeColor="text1"/>
          <w:sz w:val="28"/>
          <w:szCs w:val="28"/>
          <w:highlight w:val="none"/>
        </w:rPr>
      </w:pPr>
      <w:r>
        <w:rPr>
          <w:rFonts w:hint="eastAsia"/>
          <w:color w:val="000000" w:themeColor="text1"/>
          <w:sz w:val="28"/>
          <w:szCs w:val="28"/>
          <w:highlight w:val="none"/>
        </w:rPr>
        <w:t>涉及危险化学品的建</w:t>
      </w:r>
      <w:r>
        <w:rPr>
          <w:rFonts w:hint="eastAsia"/>
          <w:color w:val="000000" w:themeColor="text1"/>
          <w:sz w:val="28"/>
          <w:szCs w:val="28"/>
          <w:highlight w:val="none"/>
          <w:lang w:eastAsia="zh-CN"/>
        </w:rPr>
        <w:t>（</w:t>
      </w:r>
      <w:r>
        <w:rPr>
          <w:rFonts w:hint="eastAsia"/>
          <w:color w:val="000000" w:themeColor="text1"/>
          <w:sz w:val="28"/>
          <w:szCs w:val="28"/>
          <w:highlight w:val="none"/>
        </w:rPr>
        <w:t>构</w:t>
      </w:r>
      <w:r>
        <w:rPr>
          <w:rFonts w:hint="eastAsia"/>
          <w:color w:val="000000" w:themeColor="text1"/>
          <w:sz w:val="28"/>
          <w:szCs w:val="28"/>
          <w:highlight w:val="none"/>
          <w:lang w:eastAsia="zh-CN"/>
        </w:rPr>
        <w:t>）</w:t>
      </w:r>
      <w:r>
        <w:rPr>
          <w:rFonts w:hint="eastAsia"/>
          <w:color w:val="000000" w:themeColor="text1"/>
          <w:sz w:val="28"/>
          <w:szCs w:val="28"/>
          <w:highlight w:val="none"/>
        </w:rPr>
        <w:t>筑物</w:t>
      </w:r>
    </w:p>
    <w:p w14:paraId="4875E810">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color w:val="000000" w:themeColor="text1"/>
          <w:sz w:val="28"/>
          <w:szCs w:val="28"/>
          <w:highlight w:val="none"/>
        </w:rPr>
      </w:pPr>
      <w:r>
        <w:rPr>
          <w:rFonts w:hint="eastAsia"/>
          <w:color w:val="000000" w:themeColor="text1"/>
          <w:sz w:val="28"/>
          <w:szCs w:val="28"/>
          <w:highlight w:val="none"/>
        </w:rPr>
        <w:t>华美线业涉及危险化学品的建</w:t>
      </w:r>
      <w:r>
        <w:rPr>
          <w:rFonts w:hint="eastAsia"/>
          <w:color w:val="000000" w:themeColor="text1"/>
          <w:sz w:val="28"/>
          <w:szCs w:val="28"/>
          <w:highlight w:val="none"/>
          <w:lang w:eastAsia="zh-CN"/>
        </w:rPr>
        <w:t>（</w:t>
      </w:r>
      <w:r>
        <w:rPr>
          <w:rFonts w:hint="eastAsia"/>
          <w:color w:val="000000" w:themeColor="text1"/>
          <w:sz w:val="28"/>
          <w:szCs w:val="28"/>
          <w:highlight w:val="none"/>
        </w:rPr>
        <w:t>构</w:t>
      </w:r>
      <w:r>
        <w:rPr>
          <w:rFonts w:hint="eastAsia"/>
          <w:color w:val="000000" w:themeColor="text1"/>
          <w:sz w:val="28"/>
          <w:szCs w:val="28"/>
          <w:highlight w:val="none"/>
          <w:lang w:eastAsia="zh-CN"/>
        </w:rPr>
        <w:t>）</w:t>
      </w:r>
      <w:r>
        <w:rPr>
          <w:rFonts w:hint="eastAsia"/>
          <w:color w:val="000000" w:themeColor="text1"/>
          <w:sz w:val="28"/>
          <w:szCs w:val="28"/>
          <w:highlight w:val="none"/>
        </w:rPr>
        <w:t>筑物情况见下表。</w:t>
      </w:r>
    </w:p>
    <w:p w14:paraId="77E601E1">
      <w:pPr>
        <w:pStyle w:val="738"/>
        <w:keepNext w:val="0"/>
        <w:keepLines w:val="0"/>
        <w:pageBreakBefore w:val="0"/>
        <w:widowControl w:val="0"/>
        <w:kinsoku/>
        <w:wordWrap/>
        <w:topLinePunct w:val="0"/>
        <w:bidi w:val="0"/>
        <w:spacing w:line="360" w:lineRule="auto"/>
        <w:ind w:firstLine="482"/>
        <w:rPr>
          <w:rFonts w:ascii="黑体" w:hAnsi="黑体" w:eastAsia="黑体"/>
          <w:b/>
          <w:color w:val="000000" w:themeColor="text1"/>
          <w:sz w:val="24"/>
          <w:szCs w:val="24"/>
          <w:highlight w:val="none"/>
        </w:rPr>
      </w:pPr>
      <w:r>
        <w:rPr>
          <w:rFonts w:hint="eastAsia" w:ascii="黑体" w:hAnsi="黑体" w:eastAsia="黑体"/>
          <w:b/>
          <w:color w:val="000000" w:themeColor="text1"/>
          <w:sz w:val="24"/>
          <w:szCs w:val="24"/>
          <w:highlight w:val="none"/>
        </w:rPr>
        <w:t>表</w:t>
      </w:r>
      <w:r>
        <w:rPr>
          <w:rFonts w:ascii="黑体" w:hAnsi="黑体" w:eastAsia="黑体"/>
          <w:b/>
          <w:color w:val="000000" w:themeColor="text1"/>
          <w:sz w:val="24"/>
          <w:szCs w:val="24"/>
          <w:highlight w:val="none"/>
        </w:rPr>
        <w:t>2.3-</w:t>
      </w:r>
      <w:r>
        <w:rPr>
          <w:rFonts w:hint="eastAsia" w:ascii="黑体" w:hAnsi="黑体" w:eastAsia="黑体"/>
          <w:b/>
          <w:color w:val="000000" w:themeColor="text1"/>
          <w:sz w:val="24"/>
          <w:szCs w:val="24"/>
          <w:highlight w:val="none"/>
          <w:lang w:val="en-US" w:eastAsia="zh-CN"/>
        </w:rPr>
        <w:t>1</w:t>
      </w:r>
      <w:r>
        <w:rPr>
          <w:rFonts w:hint="eastAsia" w:ascii="黑体" w:hAnsi="黑体" w:eastAsia="黑体"/>
          <w:b/>
          <w:color w:val="000000" w:themeColor="text1"/>
          <w:sz w:val="24"/>
          <w:szCs w:val="24"/>
          <w:highlight w:val="none"/>
        </w:rPr>
        <w:t>涉及危险化学品的建</w:t>
      </w:r>
      <w:r>
        <w:rPr>
          <w:rFonts w:hint="eastAsia" w:ascii="黑体" w:hAnsi="黑体" w:eastAsia="黑体"/>
          <w:b/>
          <w:color w:val="000000" w:themeColor="text1"/>
          <w:sz w:val="24"/>
          <w:szCs w:val="24"/>
          <w:highlight w:val="none"/>
          <w:lang w:eastAsia="zh-CN"/>
        </w:rPr>
        <w:t>（</w:t>
      </w:r>
      <w:r>
        <w:rPr>
          <w:rFonts w:hint="eastAsia" w:ascii="黑体" w:hAnsi="黑体" w:eastAsia="黑体"/>
          <w:b/>
          <w:color w:val="000000" w:themeColor="text1"/>
          <w:sz w:val="24"/>
          <w:szCs w:val="24"/>
          <w:highlight w:val="none"/>
        </w:rPr>
        <w:t>构</w:t>
      </w:r>
      <w:r>
        <w:rPr>
          <w:rFonts w:hint="eastAsia" w:ascii="黑体" w:hAnsi="黑体" w:eastAsia="黑体"/>
          <w:b/>
          <w:color w:val="000000" w:themeColor="text1"/>
          <w:sz w:val="24"/>
          <w:szCs w:val="24"/>
          <w:highlight w:val="none"/>
          <w:lang w:eastAsia="zh-CN"/>
        </w:rPr>
        <w:t>）</w:t>
      </w:r>
      <w:r>
        <w:rPr>
          <w:rFonts w:hint="eastAsia" w:ascii="黑体" w:hAnsi="黑体" w:eastAsia="黑体"/>
          <w:b/>
          <w:color w:val="000000" w:themeColor="text1"/>
          <w:sz w:val="24"/>
          <w:szCs w:val="24"/>
          <w:highlight w:val="none"/>
        </w:rPr>
        <w:t>筑物一览表</w:t>
      </w:r>
    </w:p>
    <w:bookmarkEnd w:id="256"/>
    <w:bookmarkEnd w:id="257"/>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
        <w:gridCol w:w="1176"/>
        <w:gridCol w:w="753"/>
        <w:gridCol w:w="431"/>
        <w:gridCol w:w="753"/>
        <w:gridCol w:w="964"/>
        <w:gridCol w:w="943"/>
        <w:gridCol w:w="929"/>
        <w:gridCol w:w="840"/>
        <w:gridCol w:w="2185"/>
      </w:tblGrid>
      <w:tr w14:paraId="2BBAA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227" w:type="pct"/>
            <w:noWrap/>
            <w:vAlign w:val="center"/>
          </w:tcPr>
          <w:p w14:paraId="5B9697E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序号</w:t>
            </w:r>
          </w:p>
        </w:tc>
        <w:tc>
          <w:tcPr>
            <w:tcW w:w="625" w:type="pct"/>
            <w:noWrap/>
            <w:vAlign w:val="center"/>
          </w:tcPr>
          <w:p w14:paraId="5211594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建（构）筑物名称</w:t>
            </w:r>
          </w:p>
        </w:tc>
        <w:tc>
          <w:tcPr>
            <w:tcW w:w="400" w:type="pct"/>
            <w:noWrap/>
            <w:vAlign w:val="center"/>
          </w:tcPr>
          <w:p w14:paraId="1285048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占地面积m</w:t>
            </w:r>
            <w:r>
              <w:rPr>
                <w:rFonts w:hint="eastAsia" w:ascii="宋体" w:hAnsi="宋体" w:eastAsia="宋体" w:cs="宋体"/>
                <w:b/>
                <w:bCs/>
                <w:color w:val="000000" w:themeColor="text1"/>
                <w:kern w:val="0"/>
                <w:sz w:val="21"/>
                <w:szCs w:val="21"/>
                <w:highlight w:val="none"/>
                <w:vertAlign w:val="superscript"/>
              </w:rPr>
              <w:t>2</w:t>
            </w:r>
          </w:p>
        </w:tc>
        <w:tc>
          <w:tcPr>
            <w:tcW w:w="229" w:type="pct"/>
            <w:noWrap/>
            <w:vAlign w:val="center"/>
          </w:tcPr>
          <w:p w14:paraId="2BDF313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层数</w:t>
            </w:r>
          </w:p>
        </w:tc>
        <w:tc>
          <w:tcPr>
            <w:tcW w:w="400" w:type="pct"/>
            <w:noWrap/>
            <w:vAlign w:val="center"/>
          </w:tcPr>
          <w:p w14:paraId="1168DEA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建筑面积m</w:t>
            </w:r>
            <w:r>
              <w:rPr>
                <w:rFonts w:hint="eastAsia" w:ascii="宋体" w:hAnsi="宋体" w:eastAsia="宋体" w:cs="宋体"/>
                <w:b/>
                <w:bCs/>
                <w:color w:val="000000" w:themeColor="text1"/>
                <w:kern w:val="0"/>
                <w:sz w:val="21"/>
                <w:szCs w:val="21"/>
                <w:highlight w:val="none"/>
                <w:vertAlign w:val="superscript"/>
              </w:rPr>
              <w:t>2</w:t>
            </w:r>
          </w:p>
        </w:tc>
        <w:tc>
          <w:tcPr>
            <w:tcW w:w="512" w:type="pct"/>
            <w:noWrap/>
            <w:vAlign w:val="center"/>
          </w:tcPr>
          <w:p w14:paraId="00F685D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结构形式</w:t>
            </w:r>
          </w:p>
        </w:tc>
        <w:tc>
          <w:tcPr>
            <w:tcW w:w="501" w:type="pct"/>
            <w:noWrap/>
            <w:vAlign w:val="center"/>
          </w:tcPr>
          <w:p w14:paraId="0BD86AD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耐火等级</w:t>
            </w:r>
          </w:p>
        </w:tc>
        <w:tc>
          <w:tcPr>
            <w:tcW w:w="494" w:type="pct"/>
            <w:noWrap/>
            <w:vAlign w:val="center"/>
          </w:tcPr>
          <w:p w14:paraId="79071B4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火灾</w:t>
            </w:r>
          </w:p>
          <w:p w14:paraId="33E2D23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危险性</w:t>
            </w:r>
          </w:p>
        </w:tc>
        <w:tc>
          <w:tcPr>
            <w:tcW w:w="446" w:type="pct"/>
            <w:noWrap/>
            <w:vAlign w:val="center"/>
          </w:tcPr>
          <w:p w14:paraId="76654E6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color w:val="000000" w:themeColor="text1"/>
                <w:sz w:val="21"/>
                <w:szCs w:val="21"/>
                <w:highlight w:val="none"/>
                <w:lang w:val="en-US" w:eastAsia="zh-CN"/>
              </w:rPr>
            </w:pPr>
            <w:r>
              <w:rPr>
                <w:rFonts w:hint="eastAsia" w:ascii="宋体" w:hAnsi="宋体" w:eastAsia="宋体" w:cs="宋体"/>
                <w:b/>
                <w:bCs/>
                <w:color w:val="000000" w:themeColor="text1"/>
                <w:sz w:val="21"/>
                <w:szCs w:val="21"/>
                <w:highlight w:val="none"/>
                <w:lang w:eastAsia="zh-CN"/>
              </w:rPr>
              <w:t>危化品储存</w:t>
            </w:r>
            <w:r>
              <w:rPr>
                <w:rFonts w:hint="eastAsia" w:ascii="宋体" w:hAnsi="宋体" w:eastAsia="宋体" w:cs="宋体"/>
                <w:b/>
                <w:bCs/>
                <w:color w:val="000000" w:themeColor="text1"/>
                <w:sz w:val="21"/>
                <w:szCs w:val="21"/>
                <w:highlight w:val="none"/>
                <w:lang w:val="en-US" w:eastAsia="zh-CN"/>
              </w:rPr>
              <w:t>/使用</w:t>
            </w:r>
          </w:p>
        </w:tc>
        <w:tc>
          <w:tcPr>
            <w:tcW w:w="1161" w:type="pct"/>
            <w:noWrap/>
            <w:vAlign w:val="center"/>
          </w:tcPr>
          <w:p w14:paraId="6065A86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color w:val="000000" w:themeColor="text1"/>
                <w:kern w:val="0"/>
                <w:sz w:val="21"/>
                <w:szCs w:val="21"/>
                <w:highlight w:val="none"/>
                <w:lang w:eastAsia="zh-CN"/>
              </w:rPr>
            </w:pPr>
            <w:r>
              <w:rPr>
                <w:rFonts w:hint="eastAsia" w:ascii="宋体" w:hAnsi="宋体" w:eastAsia="宋体" w:cs="宋体"/>
                <w:b/>
                <w:bCs/>
                <w:color w:val="000000" w:themeColor="text1"/>
                <w:sz w:val="21"/>
                <w:szCs w:val="21"/>
                <w:highlight w:val="none"/>
                <w:lang w:eastAsia="zh-CN"/>
              </w:rPr>
              <w:t>涉及危化品种类</w:t>
            </w:r>
          </w:p>
        </w:tc>
      </w:tr>
      <w:tr w14:paraId="326C6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7" w:type="pct"/>
            <w:noWrap/>
            <w:vAlign w:val="center"/>
          </w:tcPr>
          <w:p w14:paraId="574E4B23">
            <w:pPr>
              <w:keepNext w:val="0"/>
              <w:keepLines w:val="0"/>
              <w:pageBreakBefore w:val="0"/>
              <w:widowControl w:val="0"/>
              <w:numPr>
                <w:ilvl w:val="0"/>
                <w:numId w:val="10"/>
              </w:numPr>
              <w:kinsoku/>
              <w:wordWrap/>
              <w:overflowPunct/>
              <w:topLinePunct w:val="0"/>
              <w:autoSpaceDE/>
              <w:autoSpaceDN/>
              <w:bidi w:val="0"/>
              <w:adjustRightInd w:val="0"/>
              <w:snapToGrid w:val="0"/>
              <w:spacing w:line="240" w:lineRule="auto"/>
              <w:ind w:left="425" w:hanging="425"/>
              <w:jc w:val="center"/>
              <w:textAlignment w:val="auto"/>
              <w:outlineLvl w:val="9"/>
              <w:rPr>
                <w:rFonts w:hint="eastAsia" w:ascii="宋体" w:hAnsi="宋体" w:eastAsia="宋体" w:cs="宋体"/>
                <w:b w:val="0"/>
                <w:bCs/>
                <w:color w:val="000000" w:themeColor="text1"/>
                <w:kern w:val="0"/>
                <w:sz w:val="21"/>
                <w:szCs w:val="21"/>
                <w:highlight w:val="none"/>
              </w:rPr>
            </w:pPr>
          </w:p>
        </w:tc>
        <w:tc>
          <w:tcPr>
            <w:tcW w:w="625" w:type="pct"/>
            <w:noWrap/>
            <w:vAlign w:val="center"/>
          </w:tcPr>
          <w:p w14:paraId="2828C7D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themeColor="text1"/>
                <w:kern w:val="0"/>
                <w:sz w:val="21"/>
                <w:szCs w:val="21"/>
                <w:highlight w:val="none"/>
              </w:rPr>
            </w:pPr>
            <w:r>
              <w:rPr>
                <w:rFonts w:hint="eastAsia" w:ascii="宋体" w:hAnsi="宋体" w:eastAsia="宋体" w:cs="宋体"/>
                <w:color w:val="000000" w:themeColor="text1"/>
                <w:sz w:val="21"/>
                <w:szCs w:val="21"/>
                <w:highlight w:val="none"/>
                <w:lang w:val="en-US" w:eastAsia="zh-CN"/>
              </w:rPr>
              <w:t>氢氧化钠溶液</w:t>
            </w:r>
            <w:r>
              <w:rPr>
                <w:rFonts w:hint="eastAsia" w:ascii="宋体" w:hAnsi="宋体" w:eastAsia="宋体" w:cs="宋体"/>
                <w:color w:val="000000" w:themeColor="text1"/>
                <w:kern w:val="0"/>
                <w:sz w:val="21"/>
                <w:szCs w:val="21"/>
                <w:highlight w:val="none"/>
                <w:lang w:eastAsia="zh-CN"/>
              </w:rPr>
              <w:t>储罐</w:t>
            </w:r>
          </w:p>
        </w:tc>
        <w:tc>
          <w:tcPr>
            <w:tcW w:w="400" w:type="pct"/>
            <w:noWrap/>
            <w:vAlign w:val="center"/>
          </w:tcPr>
          <w:p w14:paraId="7AE1666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25</w:t>
            </w:r>
          </w:p>
        </w:tc>
        <w:tc>
          <w:tcPr>
            <w:tcW w:w="229" w:type="pct"/>
            <w:noWrap/>
            <w:vAlign w:val="center"/>
          </w:tcPr>
          <w:p w14:paraId="5BF9ECA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w:t>
            </w:r>
          </w:p>
        </w:tc>
        <w:tc>
          <w:tcPr>
            <w:tcW w:w="400" w:type="pct"/>
            <w:noWrap/>
            <w:vAlign w:val="center"/>
          </w:tcPr>
          <w:p w14:paraId="6A9310B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w:t>
            </w:r>
          </w:p>
        </w:tc>
        <w:tc>
          <w:tcPr>
            <w:tcW w:w="512" w:type="pct"/>
            <w:noWrap/>
            <w:vAlign w:val="center"/>
          </w:tcPr>
          <w:p w14:paraId="3A71128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w:t>
            </w:r>
          </w:p>
        </w:tc>
        <w:tc>
          <w:tcPr>
            <w:tcW w:w="501" w:type="pct"/>
            <w:noWrap/>
            <w:vAlign w:val="center"/>
          </w:tcPr>
          <w:p w14:paraId="5CAD446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val="en-US" w:eastAsia="zh-CN"/>
              </w:rPr>
              <w:t>/</w:t>
            </w:r>
          </w:p>
        </w:tc>
        <w:tc>
          <w:tcPr>
            <w:tcW w:w="494" w:type="pct"/>
            <w:noWrap/>
            <w:vAlign w:val="center"/>
          </w:tcPr>
          <w:p w14:paraId="536295D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rPr>
              <w:t>戊</w:t>
            </w:r>
          </w:p>
        </w:tc>
        <w:tc>
          <w:tcPr>
            <w:tcW w:w="446" w:type="pct"/>
            <w:noWrap/>
            <w:vAlign w:val="center"/>
          </w:tcPr>
          <w:p w14:paraId="1B782C4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储存</w:t>
            </w:r>
          </w:p>
        </w:tc>
        <w:tc>
          <w:tcPr>
            <w:tcW w:w="1161" w:type="pct"/>
            <w:noWrap/>
            <w:vAlign w:val="center"/>
          </w:tcPr>
          <w:p w14:paraId="51EC3DB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lang w:val="en-US" w:eastAsia="zh-CN"/>
              </w:rPr>
              <w:t>氢氧化钠溶液</w:t>
            </w:r>
          </w:p>
        </w:tc>
      </w:tr>
      <w:tr w14:paraId="3BF10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7" w:type="pct"/>
            <w:noWrap/>
            <w:vAlign w:val="center"/>
          </w:tcPr>
          <w:p w14:paraId="352132E0">
            <w:pPr>
              <w:keepNext w:val="0"/>
              <w:keepLines w:val="0"/>
              <w:pageBreakBefore w:val="0"/>
              <w:widowControl w:val="0"/>
              <w:numPr>
                <w:ilvl w:val="0"/>
                <w:numId w:val="10"/>
              </w:numPr>
              <w:kinsoku/>
              <w:wordWrap/>
              <w:overflowPunct/>
              <w:topLinePunct w:val="0"/>
              <w:autoSpaceDE/>
              <w:autoSpaceDN/>
              <w:bidi w:val="0"/>
              <w:adjustRightInd w:val="0"/>
              <w:snapToGrid w:val="0"/>
              <w:spacing w:line="240" w:lineRule="auto"/>
              <w:ind w:left="425" w:hanging="425"/>
              <w:jc w:val="center"/>
              <w:textAlignment w:val="auto"/>
              <w:outlineLvl w:val="9"/>
              <w:rPr>
                <w:rFonts w:hint="eastAsia" w:ascii="宋体" w:hAnsi="宋体" w:eastAsia="宋体" w:cs="宋体"/>
                <w:b w:val="0"/>
                <w:bCs/>
                <w:color w:val="000000" w:themeColor="text1"/>
                <w:kern w:val="0"/>
                <w:sz w:val="21"/>
                <w:szCs w:val="21"/>
                <w:highlight w:val="none"/>
              </w:rPr>
            </w:pPr>
          </w:p>
        </w:tc>
        <w:tc>
          <w:tcPr>
            <w:tcW w:w="625" w:type="pct"/>
            <w:noWrap/>
            <w:vAlign w:val="center"/>
          </w:tcPr>
          <w:p w14:paraId="0357407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漂染车间附房</w:t>
            </w:r>
          </w:p>
        </w:tc>
        <w:tc>
          <w:tcPr>
            <w:tcW w:w="400" w:type="pct"/>
            <w:noWrap/>
            <w:vAlign w:val="center"/>
          </w:tcPr>
          <w:p w14:paraId="4377A3F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163</w:t>
            </w:r>
          </w:p>
        </w:tc>
        <w:tc>
          <w:tcPr>
            <w:tcW w:w="229" w:type="pct"/>
            <w:noWrap/>
            <w:vAlign w:val="center"/>
          </w:tcPr>
          <w:p w14:paraId="5E8B742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1</w:t>
            </w:r>
          </w:p>
        </w:tc>
        <w:tc>
          <w:tcPr>
            <w:tcW w:w="400" w:type="pct"/>
            <w:noWrap/>
            <w:vAlign w:val="center"/>
          </w:tcPr>
          <w:p w14:paraId="28F2EF3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163</w:t>
            </w:r>
          </w:p>
        </w:tc>
        <w:tc>
          <w:tcPr>
            <w:tcW w:w="512" w:type="pct"/>
            <w:noWrap/>
            <w:vAlign w:val="center"/>
          </w:tcPr>
          <w:p w14:paraId="6F77A7F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钢筋混凝土</w:t>
            </w:r>
            <w:r>
              <w:rPr>
                <w:rFonts w:hint="eastAsia" w:ascii="宋体" w:hAnsi="宋体" w:eastAsia="宋体" w:cs="宋体"/>
                <w:color w:val="000000" w:themeColor="text1"/>
                <w:kern w:val="0"/>
                <w:sz w:val="21"/>
                <w:szCs w:val="21"/>
                <w:highlight w:val="none"/>
              </w:rPr>
              <w:t>结构</w:t>
            </w:r>
          </w:p>
        </w:tc>
        <w:tc>
          <w:tcPr>
            <w:tcW w:w="501" w:type="pct"/>
            <w:noWrap/>
            <w:vAlign w:val="center"/>
          </w:tcPr>
          <w:p w14:paraId="6CF4AA6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二级</w:t>
            </w:r>
          </w:p>
        </w:tc>
        <w:tc>
          <w:tcPr>
            <w:tcW w:w="494" w:type="pct"/>
            <w:noWrap/>
            <w:vAlign w:val="center"/>
          </w:tcPr>
          <w:p w14:paraId="2B899FF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eastAsia="zh-CN"/>
              </w:rPr>
            </w:pPr>
            <w:r>
              <w:rPr>
                <w:rFonts w:hint="eastAsia" w:cs="宋体"/>
                <w:color w:val="000000" w:themeColor="text1"/>
                <w:kern w:val="0"/>
                <w:sz w:val="21"/>
                <w:szCs w:val="21"/>
                <w:highlight w:val="none"/>
                <w:lang w:eastAsia="zh-CN"/>
              </w:rPr>
              <w:t>乙</w:t>
            </w:r>
          </w:p>
        </w:tc>
        <w:tc>
          <w:tcPr>
            <w:tcW w:w="446" w:type="pct"/>
            <w:noWrap/>
            <w:vAlign w:val="center"/>
          </w:tcPr>
          <w:p w14:paraId="29C7598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储存</w:t>
            </w:r>
          </w:p>
        </w:tc>
        <w:tc>
          <w:tcPr>
            <w:tcW w:w="1161" w:type="pct"/>
            <w:noWrap/>
            <w:vAlign w:val="center"/>
          </w:tcPr>
          <w:p w14:paraId="5D65920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vertAlign w:val="baseline"/>
                <w:lang w:val="en-US" w:eastAsia="zh-CN"/>
              </w:rPr>
              <w:t>乙酸</w:t>
            </w:r>
            <w:r>
              <w:rPr>
                <w:rFonts w:hint="eastAsia" w:ascii="宋体" w:hAnsi="宋体" w:eastAsia="宋体" w:cs="宋体"/>
                <w:color w:val="000000" w:themeColor="text1"/>
                <w:kern w:val="0"/>
                <w:sz w:val="21"/>
                <w:szCs w:val="21"/>
                <w:highlight w:val="none"/>
              </w:rPr>
              <w:t>、过碳酸钠、保险粉</w:t>
            </w:r>
          </w:p>
        </w:tc>
      </w:tr>
      <w:tr w14:paraId="2D957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7" w:type="pct"/>
            <w:noWrap/>
            <w:vAlign w:val="center"/>
          </w:tcPr>
          <w:p w14:paraId="0413D7C3">
            <w:pPr>
              <w:keepNext w:val="0"/>
              <w:keepLines w:val="0"/>
              <w:pageBreakBefore w:val="0"/>
              <w:widowControl w:val="0"/>
              <w:numPr>
                <w:ilvl w:val="0"/>
                <w:numId w:val="10"/>
              </w:numPr>
              <w:kinsoku/>
              <w:wordWrap/>
              <w:overflowPunct/>
              <w:topLinePunct w:val="0"/>
              <w:autoSpaceDE/>
              <w:autoSpaceDN/>
              <w:bidi w:val="0"/>
              <w:adjustRightInd w:val="0"/>
              <w:snapToGrid w:val="0"/>
              <w:spacing w:line="240" w:lineRule="auto"/>
              <w:ind w:left="425" w:hanging="425"/>
              <w:jc w:val="center"/>
              <w:textAlignment w:val="auto"/>
              <w:outlineLvl w:val="9"/>
              <w:rPr>
                <w:rFonts w:hint="eastAsia" w:ascii="宋体" w:hAnsi="宋体" w:eastAsia="宋体" w:cs="宋体"/>
                <w:b w:val="0"/>
                <w:bCs/>
                <w:color w:val="000000" w:themeColor="text1"/>
                <w:kern w:val="0"/>
                <w:sz w:val="21"/>
                <w:szCs w:val="21"/>
                <w:highlight w:val="none"/>
              </w:rPr>
            </w:pPr>
          </w:p>
        </w:tc>
        <w:tc>
          <w:tcPr>
            <w:tcW w:w="625" w:type="pct"/>
            <w:noWrap/>
            <w:vAlign w:val="center"/>
          </w:tcPr>
          <w:p w14:paraId="486D57B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漂染车间</w:t>
            </w:r>
          </w:p>
        </w:tc>
        <w:tc>
          <w:tcPr>
            <w:tcW w:w="400" w:type="pct"/>
            <w:noWrap/>
            <w:vAlign w:val="center"/>
          </w:tcPr>
          <w:p w14:paraId="125BC9D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5711</w:t>
            </w:r>
          </w:p>
        </w:tc>
        <w:tc>
          <w:tcPr>
            <w:tcW w:w="229" w:type="pct"/>
            <w:noWrap/>
            <w:vAlign w:val="center"/>
          </w:tcPr>
          <w:p w14:paraId="283D896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1</w:t>
            </w:r>
          </w:p>
        </w:tc>
        <w:tc>
          <w:tcPr>
            <w:tcW w:w="400" w:type="pct"/>
            <w:noWrap/>
            <w:vAlign w:val="center"/>
          </w:tcPr>
          <w:p w14:paraId="04C55FB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5711</w:t>
            </w:r>
          </w:p>
        </w:tc>
        <w:tc>
          <w:tcPr>
            <w:tcW w:w="512" w:type="pct"/>
            <w:noWrap/>
            <w:vAlign w:val="center"/>
          </w:tcPr>
          <w:p w14:paraId="42B00BF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钢筋混凝土</w:t>
            </w:r>
            <w:r>
              <w:rPr>
                <w:rFonts w:hint="eastAsia" w:ascii="宋体" w:hAnsi="宋体" w:eastAsia="宋体" w:cs="宋体"/>
                <w:color w:val="000000" w:themeColor="text1"/>
                <w:kern w:val="0"/>
                <w:sz w:val="21"/>
                <w:szCs w:val="21"/>
                <w:highlight w:val="none"/>
              </w:rPr>
              <w:t>结构</w:t>
            </w:r>
          </w:p>
        </w:tc>
        <w:tc>
          <w:tcPr>
            <w:tcW w:w="501" w:type="pct"/>
            <w:noWrap/>
            <w:vAlign w:val="center"/>
          </w:tcPr>
          <w:p w14:paraId="0A81236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二级</w:t>
            </w:r>
          </w:p>
        </w:tc>
        <w:tc>
          <w:tcPr>
            <w:tcW w:w="494" w:type="pct"/>
            <w:noWrap/>
            <w:vAlign w:val="center"/>
          </w:tcPr>
          <w:p w14:paraId="5EBB496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eastAsia="zh-CN"/>
              </w:rPr>
              <w:t>丙</w:t>
            </w:r>
            <w:r>
              <w:rPr>
                <w:rFonts w:hint="eastAsia" w:cs="宋体"/>
                <w:color w:val="000000" w:themeColor="text1"/>
                <w:kern w:val="0"/>
                <w:sz w:val="21"/>
                <w:szCs w:val="21"/>
                <w:highlight w:val="none"/>
                <w:lang w:val="en-US" w:eastAsia="zh-CN"/>
              </w:rPr>
              <w:t>（注1）</w:t>
            </w:r>
          </w:p>
        </w:tc>
        <w:tc>
          <w:tcPr>
            <w:tcW w:w="446" w:type="pct"/>
            <w:noWrap/>
            <w:vAlign w:val="center"/>
          </w:tcPr>
          <w:p w14:paraId="05B25B1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使用</w:t>
            </w:r>
          </w:p>
        </w:tc>
        <w:tc>
          <w:tcPr>
            <w:tcW w:w="1161" w:type="pct"/>
            <w:noWrap/>
            <w:vAlign w:val="center"/>
          </w:tcPr>
          <w:p w14:paraId="623B731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lang w:val="en-US" w:eastAsia="zh-CN"/>
              </w:rPr>
              <w:t>氢氧化钠溶液</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sz w:val="21"/>
                <w:szCs w:val="21"/>
                <w:highlight w:val="none"/>
                <w:vertAlign w:val="baseline"/>
                <w:lang w:val="en-US" w:eastAsia="zh-CN"/>
              </w:rPr>
              <w:t>乙酸</w:t>
            </w:r>
            <w:r>
              <w:rPr>
                <w:rFonts w:hint="eastAsia" w:ascii="宋体" w:hAnsi="宋体" w:eastAsia="宋体" w:cs="宋体"/>
                <w:color w:val="000000" w:themeColor="text1"/>
                <w:kern w:val="0"/>
                <w:sz w:val="21"/>
                <w:szCs w:val="21"/>
                <w:highlight w:val="none"/>
              </w:rPr>
              <w:t>、过碳酸钠、保险粉</w:t>
            </w:r>
          </w:p>
        </w:tc>
      </w:tr>
      <w:tr w14:paraId="190CB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7" w:type="pct"/>
            <w:noWrap/>
            <w:vAlign w:val="center"/>
          </w:tcPr>
          <w:p w14:paraId="00C98D0E">
            <w:pPr>
              <w:keepNext w:val="0"/>
              <w:keepLines w:val="0"/>
              <w:pageBreakBefore w:val="0"/>
              <w:widowControl w:val="0"/>
              <w:numPr>
                <w:ilvl w:val="0"/>
                <w:numId w:val="10"/>
              </w:numPr>
              <w:kinsoku/>
              <w:wordWrap/>
              <w:overflowPunct/>
              <w:topLinePunct w:val="0"/>
              <w:autoSpaceDE/>
              <w:autoSpaceDN/>
              <w:bidi w:val="0"/>
              <w:adjustRightInd w:val="0"/>
              <w:snapToGrid w:val="0"/>
              <w:spacing w:line="240" w:lineRule="auto"/>
              <w:ind w:left="425" w:hanging="425"/>
              <w:jc w:val="center"/>
              <w:textAlignment w:val="auto"/>
              <w:outlineLvl w:val="9"/>
              <w:rPr>
                <w:rFonts w:hint="eastAsia" w:ascii="宋体" w:hAnsi="宋体" w:eastAsia="宋体" w:cs="宋体"/>
                <w:b w:val="0"/>
                <w:bCs/>
                <w:color w:val="000000" w:themeColor="text1"/>
                <w:kern w:val="0"/>
                <w:sz w:val="21"/>
                <w:szCs w:val="21"/>
                <w:highlight w:val="none"/>
              </w:rPr>
            </w:pPr>
          </w:p>
        </w:tc>
        <w:tc>
          <w:tcPr>
            <w:tcW w:w="625" w:type="pct"/>
            <w:noWrap/>
            <w:vAlign w:val="center"/>
          </w:tcPr>
          <w:p w14:paraId="3C54A0F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rPr>
            </w:pPr>
            <w:r>
              <w:rPr>
                <w:rFonts w:hint="eastAsia"/>
                <w:color w:val="000000" w:themeColor="text1"/>
                <w:sz w:val="21"/>
                <w:szCs w:val="21"/>
                <w:highlight w:val="none"/>
              </w:rPr>
              <w:t>废水处理站</w:t>
            </w:r>
            <w:r>
              <w:rPr>
                <w:rFonts w:hint="eastAsia" w:ascii="宋体" w:hAnsi="宋体" w:eastAsia="宋体" w:cs="宋体"/>
                <w:color w:val="000000" w:themeColor="text1"/>
                <w:spacing w:val="0"/>
                <w:sz w:val="21"/>
                <w:szCs w:val="21"/>
                <w:highlight w:val="none"/>
              </w:rPr>
              <w:t>药剂房</w:t>
            </w:r>
          </w:p>
        </w:tc>
        <w:tc>
          <w:tcPr>
            <w:tcW w:w="400" w:type="pct"/>
            <w:noWrap/>
            <w:vAlign w:val="center"/>
          </w:tcPr>
          <w:p w14:paraId="0B234F8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84</w:t>
            </w:r>
          </w:p>
        </w:tc>
        <w:tc>
          <w:tcPr>
            <w:tcW w:w="229" w:type="pct"/>
            <w:noWrap/>
            <w:vAlign w:val="center"/>
          </w:tcPr>
          <w:p w14:paraId="5B427F8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1</w:t>
            </w:r>
          </w:p>
        </w:tc>
        <w:tc>
          <w:tcPr>
            <w:tcW w:w="400" w:type="pct"/>
            <w:noWrap/>
            <w:vAlign w:val="center"/>
          </w:tcPr>
          <w:p w14:paraId="7BA1AEF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84</w:t>
            </w:r>
          </w:p>
        </w:tc>
        <w:tc>
          <w:tcPr>
            <w:tcW w:w="512" w:type="pct"/>
            <w:noWrap/>
            <w:vAlign w:val="center"/>
          </w:tcPr>
          <w:p w14:paraId="0B6D74D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钢筋混凝土</w:t>
            </w:r>
            <w:r>
              <w:rPr>
                <w:rFonts w:hint="eastAsia" w:ascii="宋体" w:hAnsi="宋体" w:eastAsia="宋体" w:cs="宋体"/>
                <w:color w:val="000000" w:themeColor="text1"/>
                <w:kern w:val="0"/>
                <w:sz w:val="21"/>
                <w:szCs w:val="21"/>
                <w:highlight w:val="none"/>
              </w:rPr>
              <w:t>结构</w:t>
            </w:r>
          </w:p>
        </w:tc>
        <w:tc>
          <w:tcPr>
            <w:tcW w:w="501" w:type="pct"/>
            <w:noWrap/>
            <w:vAlign w:val="center"/>
          </w:tcPr>
          <w:p w14:paraId="31A6A93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二级</w:t>
            </w:r>
          </w:p>
        </w:tc>
        <w:tc>
          <w:tcPr>
            <w:tcW w:w="494" w:type="pct"/>
            <w:noWrap/>
            <w:vAlign w:val="center"/>
          </w:tcPr>
          <w:p w14:paraId="5CACD3E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rPr>
              <w:t>戊</w:t>
            </w:r>
          </w:p>
        </w:tc>
        <w:tc>
          <w:tcPr>
            <w:tcW w:w="446" w:type="pct"/>
            <w:noWrap/>
            <w:vAlign w:val="center"/>
          </w:tcPr>
          <w:p w14:paraId="07B9C6C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储存</w:t>
            </w:r>
          </w:p>
        </w:tc>
        <w:tc>
          <w:tcPr>
            <w:tcW w:w="1161" w:type="pct"/>
            <w:noWrap/>
            <w:vAlign w:val="center"/>
          </w:tcPr>
          <w:p w14:paraId="15A9639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次氯酸钠溶液</w:t>
            </w:r>
          </w:p>
        </w:tc>
      </w:tr>
      <w:tr w14:paraId="58AF5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7" w:type="pct"/>
            <w:noWrap/>
            <w:vAlign w:val="center"/>
          </w:tcPr>
          <w:p w14:paraId="582C4C57">
            <w:pPr>
              <w:keepNext w:val="0"/>
              <w:keepLines w:val="0"/>
              <w:pageBreakBefore w:val="0"/>
              <w:widowControl w:val="0"/>
              <w:numPr>
                <w:ilvl w:val="0"/>
                <w:numId w:val="10"/>
              </w:numPr>
              <w:kinsoku/>
              <w:wordWrap/>
              <w:overflowPunct/>
              <w:topLinePunct w:val="0"/>
              <w:autoSpaceDE/>
              <w:autoSpaceDN/>
              <w:bidi w:val="0"/>
              <w:adjustRightInd w:val="0"/>
              <w:snapToGrid w:val="0"/>
              <w:spacing w:line="240" w:lineRule="auto"/>
              <w:ind w:left="425" w:hanging="425"/>
              <w:jc w:val="center"/>
              <w:textAlignment w:val="auto"/>
              <w:outlineLvl w:val="9"/>
              <w:rPr>
                <w:rFonts w:hint="eastAsia" w:ascii="宋体" w:hAnsi="宋体" w:eastAsia="宋体" w:cs="宋体"/>
                <w:b w:val="0"/>
                <w:bCs/>
                <w:color w:val="000000" w:themeColor="text1"/>
                <w:kern w:val="0"/>
                <w:sz w:val="21"/>
                <w:szCs w:val="21"/>
                <w:highlight w:val="none"/>
              </w:rPr>
            </w:pPr>
          </w:p>
        </w:tc>
        <w:tc>
          <w:tcPr>
            <w:tcW w:w="625" w:type="pct"/>
            <w:noWrap/>
            <w:vAlign w:val="center"/>
          </w:tcPr>
          <w:p w14:paraId="218C288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废水处理站加药区</w:t>
            </w:r>
          </w:p>
        </w:tc>
        <w:tc>
          <w:tcPr>
            <w:tcW w:w="400" w:type="pct"/>
            <w:noWrap/>
            <w:vAlign w:val="center"/>
          </w:tcPr>
          <w:p w14:paraId="3E8A877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135</w:t>
            </w:r>
          </w:p>
        </w:tc>
        <w:tc>
          <w:tcPr>
            <w:tcW w:w="229" w:type="pct"/>
            <w:noWrap/>
            <w:vAlign w:val="center"/>
          </w:tcPr>
          <w:p w14:paraId="22FAD76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w:t>
            </w:r>
          </w:p>
        </w:tc>
        <w:tc>
          <w:tcPr>
            <w:tcW w:w="400" w:type="pct"/>
            <w:noWrap/>
            <w:vAlign w:val="center"/>
          </w:tcPr>
          <w:p w14:paraId="66ED766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w:t>
            </w:r>
          </w:p>
        </w:tc>
        <w:tc>
          <w:tcPr>
            <w:tcW w:w="512" w:type="pct"/>
            <w:noWrap/>
            <w:vAlign w:val="center"/>
          </w:tcPr>
          <w:p w14:paraId="647534F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val="en-US" w:eastAsia="zh-CN"/>
              </w:rPr>
              <w:t>/</w:t>
            </w:r>
          </w:p>
        </w:tc>
        <w:tc>
          <w:tcPr>
            <w:tcW w:w="501" w:type="pct"/>
            <w:noWrap/>
            <w:vAlign w:val="center"/>
          </w:tcPr>
          <w:p w14:paraId="0955128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w:t>
            </w:r>
          </w:p>
        </w:tc>
        <w:tc>
          <w:tcPr>
            <w:tcW w:w="494" w:type="pct"/>
            <w:noWrap/>
            <w:vAlign w:val="center"/>
          </w:tcPr>
          <w:p w14:paraId="4F7B1D1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rPr>
              <w:t>戊</w:t>
            </w:r>
          </w:p>
        </w:tc>
        <w:tc>
          <w:tcPr>
            <w:tcW w:w="446" w:type="pct"/>
            <w:noWrap/>
            <w:vAlign w:val="center"/>
          </w:tcPr>
          <w:p w14:paraId="31AD4E9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使用</w:t>
            </w:r>
          </w:p>
        </w:tc>
        <w:tc>
          <w:tcPr>
            <w:tcW w:w="1161" w:type="pct"/>
            <w:noWrap/>
            <w:vAlign w:val="center"/>
          </w:tcPr>
          <w:p w14:paraId="2E00E45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次氯酸钠溶液</w:t>
            </w:r>
          </w:p>
        </w:tc>
      </w:tr>
    </w:tbl>
    <w:p w14:paraId="1EBA30DB">
      <w:pPr>
        <w:pStyle w:val="2"/>
        <w:keepNext w:val="0"/>
        <w:keepLines w:val="0"/>
        <w:pageBreakBefore w:val="0"/>
        <w:widowControl w:val="0"/>
        <w:kinsoku/>
        <w:wordWrap/>
        <w:overflowPunct/>
        <w:topLinePunct w:val="0"/>
        <w:autoSpaceDE/>
        <w:autoSpaceDN/>
        <w:bidi w:val="0"/>
        <w:adjustRightInd w:val="0"/>
        <w:snapToGrid w:val="0"/>
        <w:spacing w:after="327" w:afterLines="100" w:line="240" w:lineRule="auto"/>
        <w:ind w:left="0" w:leftChars="0" w:firstLine="0" w:firstLineChars="0"/>
        <w:jc w:val="left"/>
        <w:textAlignment w:val="auto"/>
        <w:rPr>
          <w:rFonts w:hint="eastAsia" w:ascii="宋体" w:hAnsi="宋体" w:cs="宋体"/>
          <w:bCs/>
          <w:color w:val="000000" w:themeColor="text1"/>
          <w:sz w:val="21"/>
          <w:szCs w:val="21"/>
          <w:highlight w:val="none"/>
        </w:rPr>
      </w:pPr>
      <w:r>
        <w:rPr>
          <w:rFonts w:hint="eastAsia"/>
          <w:color w:val="000000" w:themeColor="text1"/>
          <w:sz w:val="21"/>
          <w:szCs w:val="21"/>
          <w:highlight w:val="none"/>
          <w:lang w:eastAsia="zh-CN"/>
        </w:rPr>
        <w:t>注</w:t>
      </w:r>
      <w:r>
        <w:rPr>
          <w:rFonts w:hint="eastAsia"/>
          <w:color w:val="000000" w:themeColor="text1"/>
          <w:sz w:val="21"/>
          <w:szCs w:val="21"/>
          <w:highlight w:val="none"/>
          <w:lang w:val="en-US" w:eastAsia="zh-CN"/>
        </w:rPr>
        <w:t>1：</w:t>
      </w:r>
      <w:r>
        <w:rPr>
          <w:rFonts w:hint="eastAsia" w:ascii="宋体" w:hAnsi="宋体" w:eastAsia="宋体" w:cs="宋体"/>
          <w:color w:val="000000" w:themeColor="text1"/>
          <w:kern w:val="0"/>
          <w:sz w:val="21"/>
          <w:szCs w:val="21"/>
          <w:highlight w:val="none"/>
          <w:lang w:eastAsia="zh-CN"/>
        </w:rPr>
        <w:t>漂染车间</w:t>
      </w:r>
      <w:r>
        <w:rPr>
          <w:rFonts w:hint="eastAsia" w:cs="宋体"/>
          <w:color w:val="000000" w:themeColor="text1"/>
          <w:kern w:val="0"/>
          <w:sz w:val="21"/>
          <w:szCs w:val="21"/>
          <w:highlight w:val="none"/>
          <w:lang w:eastAsia="zh-CN"/>
        </w:rPr>
        <w:t>共</w:t>
      </w:r>
      <w:r>
        <w:rPr>
          <w:rFonts w:hint="eastAsia" w:ascii="宋体" w:hAnsi="宋体" w:cs="宋体"/>
          <w:bCs/>
          <w:color w:val="000000" w:themeColor="text1"/>
          <w:kern w:val="0"/>
          <w:sz w:val="21"/>
          <w:szCs w:val="21"/>
          <w:highlight w:val="none"/>
        </w:rPr>
        <w:t>一层</w:t>
      </w:r>
      <w:r>
        <w:rPr>
          <w:rFonts w:hint="eastAsia" w:ascii="宋体" w:hAnsi="宋体" w:cs="宋体"/>
          <w:bCs/>
          <w:color w:val="000000" w:themeColor="text1"/>
          <w:kern w:val="0"/>
          <w:sz w:val="21"/>
          <w:szCs w:val="21"/>
          <w:highlight w:val="none"/>
          <w:lang w:eastAsia="zh-CN"/>
        </w:rPr>
        <w:t>，</w:t>
      </w:r>
      <w:r>
        <w:rPr>
          <w:rFonts w:hint="eastAsia" w:ascii="宋体" w:hAnsi="宋体" w:cs="宋体"/>
          <w:bCs/>
          <w:color w:val="000000" w:themeColor="text1"/>
          <w:kern w:val="0"/>
          <w:sz w:val="21"/>
          <w:szCs w:val="21"/>
          <w:highlight w:val="none"/>
        </w:rPr>
        <w:t>建筑面积</w:t>
      </w:r>
      <w:r>
        <w:rPr>
          <w:rFonts w:hint="eastAsia" w:ascii="宋体" w:hAnsi="宋体" w:cs="宋体"/>
          <w:bCs/>
          <w:color w:val="000000" w:themeColor="text1"/>
          <w:kern w:val="0"/>
          <w:sz w:val="21"/>
          <w:szCs w:val="21"/>
          <w:highlight w:val="none"/>
          <w:lang w:val="en-US" w:eastAsia="zh-CN"/>
        </w:rPr>
        <w:t>5711</w:t>
      </w:r>
      <w:r>
        <w:rPr>
          <w:rFonts w:hint="eastAsia" w:ascii="宋体" w:hAnsi="宋体" w:cs="宋体"/>
          <w:bCs/>
          <w:color w:val="000000" w:themeColor="text1"/>
          <w:kern w:val="0"/>
          <w:sz w:val="21"/>
          <w:szCs w:val="21"/>
          <w:highlight w:val="none"/>
        </w:rPr>
        <w:t>m</w:t>
      </w:r>
      <w:r>
        <w:rPr>
          <w:rFonts w:hint="eastAsia" w:ascii="宋体" w:hAnsi="宋体" w:cs="宋体"/>
          <w:bCs/>
          <w:color w:val="000000" w:themeColor="text1"/>
          <w:kern w:val="0"/>
          <w:sz w:val="21"/>
          <w:szCs w:val="21"/>
          <w:highlight w:val="none"/>
          <w:vertAlign w:val="superscript"/>
        </w:rPr>
        <w:t>2</w:t>
      </w:r>
      <w:r>
        <w:rPr>
          <w:rFonts w:hint="eastAsia" w:ascii="宋体" w:hAnsi="宋体" w:cs="宋体"/>
          <w:bCs/>
          <w:color w:val="000000" w:themeColor="text1"/>
          <w:kern w:val="0"/>
          <w:sz w:val="21"/>
          <w:szCs w:val="21"/>
          <w:highlight w:val="none"/>
        </w:rPr>
        <w:t>，</w:t>
      </w:r>
      <w:r>
        <w:rPr>
          <w:rFonts w:hint="eastAsia" w:ascii="宋体" w:hAnsi="宋体" w:cs="宋体"/>
          <w:bCs/>
          <w:color w:val="000000" w:themeColor="text1"/>
          <w:kern w:val="0"/>
          <w:sz w:val="21"/>
          <w:szCs w:val="21"/>
          <w:highlight w:val="none"/>
          <w:lang w:eastAsia="zh-CN"/>
        </w:rPr>
        <w:t>一</w:t>
      </w:r>
      <w:r>
        <w:rPr>
          <w:rFonts w:hint="eastAsia" w:ascii="宋体" w:hAnsi="宋体" w:cs="宋体"/>
          <w:bCs/>
          <w:color w:val="000000" w:themeColor="text1"/>
          <w:kern w:val="0"/>
          <w:sz w:val="21"/>
          <w:szCs w:val="21"/>
          <w:highlight w:val="none"/>
        </w:rPr>
        <w:t>层为一个防火分区，</w:t>
      </w:r>
      <w:r>
        <w:rPr>
          <w:rFonts w:hint="eastAsia" w:ascii="宋体" w:hAnsi="宋体" w:cs="宋体"/>
          <w:bCs/>
          <w:color w:val="000000" w:themeColor="text1"/>
          <w:kern w:val="0"/>
          <w:sz w:val="21"/>
          <w:szCs w:val="21"/>
          <w:highlight w:val="none"/>
          <w:lang w:eastAsia="zh-CN"/>
        </w:rPr>
        <w:t>使用</w:t>
      </w:r>
      <w:r>
        <w:rPr>
          <w:rFonts w:hint="eastAsia" w:ascii="宋体" w:hAnsi="宋体" w:cs="宋体"/>
          <w:bCs/>
          <w:color w:val="000000" w:themeColor="text1"/>
          <w:sz w:val="21"/>
          <w:szCs w:val="21"/>
          <w:highlight w:val="none"/>
        </w:rPr>
        <w:t>乙酸、过碳酸钠、保险粉</w:t>
      </w:r>
      <w:r>
        <w:rPr>
          <w:rFonts w:hint="eastAsia" w:ascii="宋体" w:hAnsi="宋体" w:cs="宋体"/>
          <w:bCs/>
          <w:color w:val="000000" w:themeColor="text1"/>
          <w:sz w:val="21"/>
          <w:szCs w:val="21"/>
          <w:highlight w:val="none"/>
          <w:lang w:eastAsia="zh-CN"/>
        </w:rPr>
        <w:t>的</w:t>
      </w:r>
      <w:r>
        <w:rPr>
          <w:rFonts w:hint="eastAsia" w:ascii="宋体" w:hAnsi="宋体" w:cs="宋体"/>
          <w:bCs/>
          <w:color w:val="000000" w:themeColor="text1"/>
          <w:sz w:val="21"/>
          <w:szCs w:val="21"/>
          <w:highlight w:val="none"/>
        </w:rPr>
        <w:t>染色平台CD、染色平台F和染色平台S</w:t>
      </w:r>
      <w:r>
        <w:rPr>
          <w:rFonts w:hint="eastAsia" w:ascii="宋体" w:hAnsi="宋体" w:cs="宋体"/>
          <w:bCs/>
          <w:color w:val="000000" w:themeColor="text1"/>
          <w:sz w:val="21"/>
          <w:szCs w:val="21"/>
          <w:highlight w:val="none"/>
          <w:lang w:eastAsia="zh-CN"/>
        </w:rPr>
        <w:t>的</w:t>
      </w:r>
      <w:r>
        <w:rPr>
          <w:rFonts w:hint="eastAsia" w:ascii="宋体" w:hAnsi="宋体" w:cs="宋体"/>
          <w:bCs/>
          <w:color w:val="000000" w:themeColor="text1"/>
          <w:kern w:val="0"/>
          <w:sz w:val="21"/>
          <w:szCs w:val="21"/>
          <w:highlight w:val="none"/>
        </w:rPr>
        <w:t>建筑面积约</w:t>
      </w:r>
      <w:r>
        <w:rPr>
          <w:rFonts w:hint="eastAsia" w:ascii="宋体" w:hAnsi="宋体" w:cs="宋体"/>
          <w:bCs/>
          <w:color w:val="000000" w:themeColor="text1"/>
          <w:kern w:val="0"/>
          <w:sz w:val="21"/>
          <w:szCs w:val="21"/>
          <w:highlight w:val="none"/>
          <w:lang w:val="en-US" w:eastAsia="zh-CN"/>
        </w:rPr>
        <w:t>260</w:t>
      </w:r>
      <w:r>
        <w:rPr>
          <w:rFonts w:hint="eastAsia" w:ascii="宋体" w:hAnsi="宋体" w:cs="宋体"/>
          <w:bCs/>
          <w:color w:val="000000" w:themeColor="text1"/>
          <w:kern w:val="0"/>
          <w:sz w:val="21"/>
          <w:szCs w:val="21"/>
          <w:highlight w:val="none"/>
        </w:rPr>
        <w:t>m</w:t>
      </w:r>
      <w:r>
        <w:rPr>
          <w:rFonts w:hint="eastAsia" w:ascii="宋体" w:hAnsi="宋体" w:cs="宋体"/>
          <w:bCs/>
          <w:color w:val="000000" w:themeColor="text1"/>
          <w:kern w:val="0"/>
          <w:sz w:val="21"/>
          <w:szCs w:val="21"/>
          <w:highlight w:val="none"/>
          <w:vertAlign w:val="superscript"/>
        </w:rPr>
        <w:t>2</w:t>
      </w:r>
      <w:r>
        <w:rPr>
          <w:rFonts w:hint="eastAsia" w:ascii="宋体" w:hAnsi="宋体" w:cs="宋体"/>
          <w:bCs/>
          <w:color w:val="000000" w:themeColor="text1"/>
          <w:kern w:val="0"/>
          <w:sz w:val="21"/>
          <w:szCs w:val="21"/>
          <w:highlight w:val="none"/>
        </w:rPr>
        <w:t>，占</w:t>
      </w:r>
      <w:r>
        <w:rPr>
          <w:rFonts w:hint="eastAsia" w:ascii="宋体" w:hAnsi="宋体" w:eastAsia="宋体" w:cs="宋体"/>
          <w:color w:val="000000" w:themeColor="text1"/>
          <w:kern w:val="0"/>
          <w:sz w:val="21"/>
          <w:szCs w:val="21"/>
          <w:highlight w:val="none"/>
          <w:lang w:eastAsia="zh-CN"/>
        </w:rPr>
        <w:t>漂染车间</w:t>
      </w:r>
      <w:r>
        <w:rPr>
          <w:rFonts w:hint="eastAsia" w:ascii="宋体" w:hAnsi="宋体" w:cs="宋体"/>
          <w:bCs/>
          <w:color w:val="000000" w:themeColor="text1"/>
          <w:kern w:val="0"/>
          <w:sz w:val="21"/>
          <w:szCs w:val="21"/>
          <w:highlight w:val="none"/>
        </w:rPr>
        <w:t>防火分区面积的比例为4</w:t>
      </w:r>
      <w:r>
        <w:rPr>
          <w:rFonts w:hint="eastAsia" w:ascii="宋体" w:hAnsi="宋体" w:cs="宋体"/>
          <w:bCs/>
          <w:color w:val="000000" w:themeColor="text1"/>
          <w:kern w:val="0"/>
          <w:sz w:val="21"/>
          <w:szCs w:val="21"/>
          <w:highlight w:val="none"/>
          <w:lang w:val="en-US" w:eastAsia="zh-CN"/>
        </w:rPr>
        <w:t>.5</w:t>
      </w:r>
      <w:r>
        <w:rPr>
          <w:rFonts w:hint="eastAsia" w:ascii="宋体" w:hAnsi="宋体" w:cs="宋体"/>
          <w:bCs/>
          <w:color w:val="000000" w:themeColor="text1"/>
          <w:kern w:val="0"/>
          <w:sz w:val="21"/>
          <w:szCs w:val="21"/>
          <w:highlight w:val="none"/>
        </w:rPr>
        <w:t>%，</w:t>
      </w:r>
      <w:r>
        <w:rPr>
          <w:rFonts w:hint="eastAsia" w:ascii="宋体" w:hAnsi="宋体" w:cs="宋体"/>
          <w:bCs/>
          <w:color w:val="000000" w:themeColor="text1"/>
          <w:sz w:val="21"/>
          <w:szCs w:val="21"/>
          <w:highlight w:val="none"/>
        </w:rPr>
        <w:t>小于5%，</w:t>
      </w:r>
      <w:r>
        <w:rPr>
          <w:rFonts w:hint="eastAsia" w:ascii="宋体" w:hAnsi="宋体" w:cs="宋体"/>
          <w:bCs/>
          <w:color w:val="000000" w:themeColor="text1"/>
          <w:kern w:val="0"/>
          <w:sz w:val="21"/>
          <w:szCs w:val="21"/>
          <w:highlight w:val="none"/>
        </w:rPr>
        <w:t>且</w:t>
      </w:r>
      <w:r>
        <w:rPr>
          <w:rFonts w:hint="eastAsia" w:ascii="宋体" w:hAnsi="宋体" w:cs="宋体"/>
          <w:bCs/>
          <w:color w:val="000000" w:themeColor="text1"/>
          <w:sz w:val="21"/>
          <w:szCs w:val="21"/>
          <w:highlight w:val="none"/>
        </w:rPr>
        <w:t>染色平台CD、染色平台F和染色平台S</w:t>
      </w:r>
      <w:r>
        <w:rPr>
          <w:rFonts w:hint="eastAsia" w:cs="宋体"/>
          <w:bCs/>
          <w:color w:val="000000" w:themeColor="text1"/>
          <w:sz w:val="21"/>
          <w:szCs w:val="21"/>
          <w:highlight w:val="none"/>
          <w:lang w:eastAsia="zh-CN"/>
        </w:rPr>
        <w:t>存在的可燃物很少，与其他部位保持一定的间隔，正常情况下</w:t>
      </w:r>
      <w:r>
        <w:rPr>
          <w:rFonts w:hint="eastAsia" w:cs="宋体"/>
          <w:color w:val="000000" w:themeColor="text1"/>
          <w:kern w:val="0"/>
          <w:sz w:val="21"/>
          <w:szCs w:val="21"/>
          <w:highlight w:val="none"/>
          <w:lang w:eastAsia="zh-CN"/>
        </w:rPr>
        <w:t>发生火灾时不足以蔓延至其他部位</w:t>
      </w:r>
      <w:r>
        <w:rPr>
          <w:rFonts w:hint="eastAsia" w:ascii="宋体" w:hAnsi="宋体" w:cs="宋体"/>
          <w:bCs/>
          <w:color w:val="000000" w:themeColor="text1"/>
          <w:kern w:val="0"/>
          <w:sz w:val="21"/>
          <w:szCs w:val="21"/>
          <w:highlight w:val="none"/>
          <w:lang w:eastAsia="zh-CN"/>
        </w:rPr>
        <w:t>，因此，</w:t>
      </w:r>
      <w:r>
        <w:rPr>
          <w:rFonts w:hint="eastAsia" w:ascii="宋体" w:hAnsi="宋体" w:cs="宋体"/>
          <w:bCs/>
          <w:color w:val="000000" w:themeColor="text1"/>
          <w:sz w:val="21"/>
          <w:szCs w:val="21"/>
          <w:highlight w:val="none"/>
        </w:rPr>
        <w:t>不影响</w:t>
      </w:r>
      <w:r>
        <w:rPr>
          <w:rFonts w:hint="eastAsia" w:ascii="宋体" w:hAnsi="宋体" w:eastAsia="宋体" w:cs="宋体"/>
          <w:color w:val="000000" w:themeColor="text1"/>
          <w:kern w:val="0"/>
          <w:sz w:val="21"/>
          <w:szCs w:val="21"/>
          <w:highlight w:val="none"/>
          <w:lang w:eastAsia="zh-CN"/>
        </w:rPr>
        <w:t>漂染车间</w:t>
      </w:r>
      <w:r>
        <w:rPr>
          <w:rFonts w:hint="eastAsia" w:ascii="宋体" w:hAnsi="宋体" w:cs="宋体"/>
          <w:bCs/>
          <w:color w:val="000000" w:themeColor="text1"/>
          <w:sz w:val="21"/>
          <w:szCs w:val="21"/>
          <w:highlight w:val="none"/>
        </w:rPr>
        <w:t>火灾危险性分类</w:t>
      </w:r>
      <w:r>
        <w:rPr>
          <w:rFonts w:hint="eastAsia"/>
          <w:bCs/>
          <w:color w:val="000000" w:themeColor="text1"/>
          <w:sz w:val="21"/>
          <w:szCs w:val="21"/>
          <w:highlight w:val="none"/>
        </w:rPr>
        <w:t>。</w:t>
      </w:r>
    </w:p>
    <w:p w14:paraId="6CDAEBBE">
      <w:pPr>
        <w:keepNext w:val="0"/>
        <w:keepLines w:val="0"/>
        <w:pageBreakBefore w:val="0"/>
        <w:widowControl w:val="0"/>
        <w:kinsoku/>
        <w:wordWrap/>
        <w:overflowPunct/>
        <w:topLinePunct w:val="0"/>
        <w:autoSpaceDE/>
        <w:autoSpaceDN/>
        <w:bidi w:val="0"/>
        <w:adjustRightInd w:val="0"/>
        <w:snapToGrid w:val="0"/>
        <w:spacing w:line="360" w:lineRule="auto"/>
        <w:ind w:leftChars="0" w:firstLine="560" w:firstLineChars="200"/>
        <w:textAlignment w:val="auto"/>
        <w:rPr>
          <w:rFonts w:hint="eastAsia" w:eastAsia="宋体"/>
          <w:color w:val="000000" w:themeColor="text1"/>
          <w:sz w:val="28"/>
          <w:szCs w:val="28"/>
          <w:highlight w:val="none"/>
          <w:lang w:eastAsia="zh-CN"/>
        </w:rPr>
      </w:pPr>
      <w:r>
        <w:rPr>
          <w:rFonts w:hint="eastAsia" w:ascii="宋体" w:hAnsi="宋体" w:eastAsia="宋体" w:cs="宋体"/>
          <w:color w:val="000000" w:themeColor="text1"/>
          <w:kern w:val="0"/>
          <w:sz w:val="28"/>
          <w:szCs w:val="28"/>
          <w:highlight w:val="none"/>
          <w:lang w:eastAsia="zh-CN"/>
        </w:rPr>
        <w:t>漂染车间</w:t>
      </w:r>
      <w:r>
        <w:rPr>
          <w:rFonts w:hint="eastAsia"/>
          <w:color w:val="000000" w:themeColor="text1"/>
          <w:sz w:val="28"/>
          <w:szCs w:val="28"/>
          <w:highlight w:val="none"/>
        </w:rPr>
        <w:t>附房共</w:t>
      </w:r>
      <w:r>
        <w:rPr>
          <w:rFonts w:hint="eastAsia"/>
          <w:color w:val="000000" w:themeColor="text1"/>
          <w:sz w:val="28"/>
          <w:szCs w:val="28"/>
          <w:highlight w:val="none"/>
          <w:lang w:val="en-US" w:eastAsia="zh-CN"/>
        </w:rPr>
        <w:t>10</w:t>
      </w:r>
      <w:r>
        <w:rPr>
          <w:rFonts w:hint="eastAsia"/>
          <w:color w:val="000000" w:themeColor="text1"/>
          <w:sz w:val="28"/>
          <w:szCs w:val="28"/>
          <w:highlight w:val="none"/>
        </w:rPr>
        <w:t>个隔间，</w:t>
      </w:r>
      <w:r>
        <w:rPr>
          <w:rFonts w:hint="eastAsia"/>
          <w:color w:val="000000" w:themeColor="text1"/>
          <w:sz w:val="28"/>
          <w:szCs w:val="28"/>
          <w:highlight w:val="none"/>
          <w:lang w:eastAsia="zh-CN"/>
        </w:rPr>
        <w:t>包含电工办公室、</w:t>
      </w:r>
      <w:r>
        <w:rPr>
          <w:rFonts w:hint="eastAsia"/>
          <w:color w:val="000000" w:themeColor="text1"/>
          <w:sz w:val="28"/>
          <w:szCs w:val="28"/>
          <w:highlight w:val="none"/>
        </w:rPr>
        <w:t>危险化学品备货库房</w:t>
      </w:r>
      <w:r>
        <w:rPr>
          <w:rFonts w:hint="eastAsia"/>
          <w:color w:val="000000" w:themeColor="text1"/>
          <w:sz w:val="28"/>
          <w:szCs w:val="28"/>
          <w:highlight w:val="none"/>
          <w:lang w:eastAsia="zh-CN"/>
        </w:rPr>
        <w:t>、机修仓库、机修办公室、电工仓库等，其中</w:t>
      </w:r>
      <w:r>
        <w:rPr>
          <w:rFonts w:hint="eastAsia"/>
          <w:color w:val="000000" w:themeColor="text1"/>
          <w:sz w:val="28"/>
          <w:szCs w:val="28"/>
          <w:highlight w:val="none"/>
        </w:rPr>
        <w:t>危险化学品备货库房</w:t>
      </w:r>
      <w:r>
        <w:rPr>
          <w:rFonts w:hint="eastAsia"/>
          <w:color w:val="000000" w:themeColor="text1"/>
          <w:sz w:val="28"/>
          <w:szCs w:val="28"/>
          <w:highlight w:val="none"/>
          <w:lang w:eastAsia="zh-CN"/>
        </w:rPr>
        <w:t>设置在</w:t>
      </w:r>
      <w:r>
        <w:rPr>
          <w:rFonts w:hint="eastAsia" w:ascii="宋体" w:hAnsi="宋体" w:eastAsia="宋体" w:cs="宋体"/>
          <w:color w:val="000000" w:themeColor="text1"/>
          <w:kern w:val="0"/>
          <w:sz w:val="28"/>
          <w:szCs w:val="28"/>
          <w:highlight w:val="none"/>
          <w:lang w:eastAsia="zh-CN"/>
        </w:rPr>
        <w:t>漂染车间</w:t>
      </w:r>
      <w:r>
        <w:rPr>
          <w:rFonts w:hint="eastAsia"/>
          <w:color w:val="000000" w:themeColor="text1"/>
          <w:sz w:val="28"/>
          <w:szCs w:val="28"/>
          <w:highlight w:val="none"/>
        </w:rPr>
        <w:t>附房</w:t>
      </w:r>
      <w:r>
        <w:rPr>
          <w:rFonts w:hint="eastAsia"/>
          <w:color w:val="000000" w:themeColor="text1"/>
          <w:sz w:val="28"/>
          <w:szCs w:val="28"/>
          <w:highlight w:val="none"/>
          <w:lang w:eastAsia="zh-CN"/>
        </w:rPr>
        <w:t>中部，</w:t>
      </w:r>
      <w:r>
        <w:rPr>
          <w:rFonts w:hint="eastAsia"/>
          <w:color w:val="000000" w:themeColor="text1"/>
          <w:sz w:val="28"/>
          <w:szCs w:val="28"/>
          <w:highlight w:val="none"/>
        </w:rPr>
        <w:t>危险化学品备货库房分</w:t>
      </w:r>
      <w:r>
        <w:rPr>
          <w:rFonts w:hint="eastAsia"/>
          <w:color w:val="000000" w:themeColor="text1"/>
          <w:sz w:val="28"/>
          <w:szCs w:val="28"/>
          <w:highlight w:val="none"/>
          <w:lang w:val="en-US" w:eastAsia="zh-CN"/>
        </w:rPr>
        <w:t>2</w:t>
      </w:r>
      <w:r>
        <w:rPr>
          <w:rFonts w:hint="eastAsia"/>
          <w:color w:val="000000" w:themeColor="text1"/>
          <w:sz w:val="28"/>
          <w:szCs w:val="28"/>
          <w:highlight w:val="none"/>
        </w:rPr>
        <w:t>个隔间</w:t>
      </w:r>
      <w:r>
        <w:rPr>
          <w:rFonts w:hint="eastAsia"/>
          <w:color w:val="000000" w:themeColor="text1"/>
          <w:sz w:val="28"/>
          <w:szCs w:val="28"/>
          <w:highlight w:val="none"/>
          <w:lang w:eastAsia="zh-CN"/>
        </w:rPr>
        <w:t>。</w:t>
      </w:r>
    </w:p>
    <w:p w14:paraId="11521056">
      <w:pPr>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lang w:val="en-US" w:eastAsia="zh-CN"/>
        </w:rPr>
      </w:pPr>
      <w:r>
        <w:rPr>
          <w:rFonts w:hint="eastAsia" w:ascii="宋体" w:hAnsi="宋体" w:eastAsia="宋体" w:cs="宋体"/>
          <w:color w:val="000000" w:themeColor="text1"/>
          <w:sz w:val="28"/>
          <w:szCs w:val="28"/>
          <w:highlight w:val="none"/>
          <w:lang w:val="en-US" w:eastAsia="zh-CN"/>
        </w:rPr>
        <w:t>1#隔间</w:t>
      </w:r>
    </w:p>
    <w:p w14:paraId="637A2B70">
      <w:pPr>
        <w:keepNext w:val="0"/>
        <w:keepLines w:val="0"/>
        <w:pageBreakBefore w:val="0"/>
        <w:widowControl w:val="0"/>
        <w:kinsoku/>
        <w:wordWrap/>
        <w:overflowPunct/>
        <w:topLinePunct w:val="0"/>
        <w:autoSpaceDE/>
        <w:autoSpaceDN/>
        <w:bidi w:val="0"/>
        <w:adjustRightInd w:val="0"/>
        <w:snapToGrid w:val="0"/>
        <w:spacing w:line="360" w:lineRule="auto"/>
        <w:ind w:leftChars="0" w:firstLine="560" w:firstLineChars="200"/>
        <w:textAlignment w:val="auto"/>
        <w:rPr>
          <w:rFonts w:hint="eastAsia" w:ascii="宋体" w:hAnsi="宋体" w:eastAsia="宋体" w:cs="宋体"/>
          <w:color w:val="000000" w:themeColor="text1"/>
          <w:sz w:val="28"/>
          <w:szCs w:val="28"/>
          <w:highlight w:val="none"/>
          <w:lang w:val="en-US" w:eastAsia="zh-CN"/>
        </w:rPr>
      </w:pPr>
      <w:r>
        <w:rPr>
          <w:rFonts w:hint="eastAsia" w:ascii="宋体" w:hAnsi="宋体" w:eastAsia="宋体" w:cs="宋体"/>
          <w:color w:val="000000" w:themeColor="text1"/>
          <w:sz w:val="28"/>
          <w:szCs w:val="28"/>
          <w:highlight w:val="none"/>
          <w:lang w:val="en-US" w:eastAsia="zh-CN"/>
        </w:rPr>
        <w:t>1#隔间</w:t>
      </w:r>
      <w:r>
        <w:rPr>
          <w:rFonts w:hint="eastAsia" w:ascii="宋体" w:hAnsi="宋体" w:eastAsia="宋体" w:cs="宋体"/>
          <w:color w:val="000000" w:themeColor="text1"/>
          <w:sz w:val="28"/>
          <w:szCs w:val="28"/>
          <w:highlight w:val="none"/>
        </w:rPr>
        <w:t>面积</w:t>
      </w:r>
      <w:r>
        <w:rPr>
          <w:rFonts w:hint="eastAsia" w:ascii="宋体" w:hAnsi="宋体" w:eastAsia="宋体" w:cs="宋体"/>
          <w:color w:val="000000" w:themeColor="text1"/>
          <w:sz w:val="28"/>
          <w:szCs w:val="28"/>
          <w:highlight w:val="none"/>
          <w:lang w:val="en-US" w:eastAsia="zh-CN"/>
        </w:rPr>
        <w:t>8m</w:t>
      </w:r>
      <w:r>
        <w:rPr>
          <w:rFonts w:hint="eastAsia" w:ascii="宋体" w:hAnsi="宋体" w:eastAsia="宋体" w:cs="宋体"/>
          <w:color w:val="000000" w:themeColor="text1"/>
          <w:sz w:val="28"/>
          <w:szCs w:val="28"/>
          <w:highlight w:val="none"/>
          <w:vertAlign w:val="superscript"/>
          <w:lang w:val="en-US" w:eastAsia="zh-CN"/>
        </w:rPr>
        <w:t>2</w:t>
      </w:r>
      <w:r>
        <w:rPr>
          <w:rFonts w:hint="eastAsia" w:ascii="宋体" w:hAnsi="宋体" w:eastAsia="宋体" w:cs="宋体"/>
          <w:color w:val="000000" w:themeColor="text1"/>
          <w:sz w:val="28"/>
          <w:szCs w:val="28"/>
          <w:highlight w:val="none"/>
        </w:rPr>
        <w:t>，</w:t>
      </w:r>
      <w:r>
        <w:rPr>
          <w:rFonts w:hint="eastAsia" w:ascii="宋体" w:hAnsi="宋体" w:eastAsia="宋体" w:cs="宋体"/>
          <w:color w:val="000000" w:themeColor="text1"/>
          <w:sz w:val="28"/>
          <w:szCs w:val="28"/>
          <w:highlight w:val="none"/>
          <w:lang w:val="en-US" w:eastAsia="zh-CN"/>
        </w:rPr>
        <w:t>设置了1</w:t>
      </w:r>
      <w:r>
        <w:rPr>
          <w:rFonts w:hint="eastAsia" w:cs="宋体"/>
          <w:color w:val="000000" w:themeColor="text1"/>
          <w:sz w:val="28"/>
          <w:szCs w:val="28"/>
          <w:highlight w:val="none"/>
          <w:lang w:val="en-US" w:eastAsia="zh-CN"/>
        </w:rPr>
        <w:t>扇</w:t>
      </w:r>
      <w:r>
        <w:rPr>
          <w:rFonts w:hint="eastAsia" w:ascii="宋体" w:hAnsi="宋体" w:eastAsia="宋体" w:cs="宋体"/>
          <w:color w:val="000000" w:themeColor="text1"/>
          <w:sz w:val="28"/>
          <w:szCs w:val="28"/>
          <w:highlight w:val="none"/>
          <w:lang w:val="en-US" w:eastAsia="zh-CN"/>
        </w:rPr>
        <w:t>窗户和1个安全出口，</w:t>
      </w:r>
      <w:r>
        <w:rPr>
          <w:rFonts w:hint="eastAsia" w:ascii="宋体" w:hAnsi="宋体" w:eastAsia="宋体" w:cs="宋体"/>
          <w:color w:val="000000" w:themeColor="text1"/>
          <w:sz w:val="28"/>
          <w:szCs w:val="28"/>
          <w:highlight w:val="none"/>
        </w:rPr>
        <w:t>疏散门采用向疏散方向开启的平开门</w:t>
      </w:r>
      <w:r>
        <w:rPr>
          <w:rFonts w:hint="eastAsia" w:ascii="宋体" w:hAnsi="宋体" w:eastAsia="宋体"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lang w:val="en-US" w:eastAsia="zh-CN"/>
        </w:rPr>
        <w:t>1#隔间</w:t>
      </w:r>
      <w:r>
        <w:rPr>
          <w:rFonts w:hint="eastAsia" w:ascii="宋体" w:hAnsi="宋体" w:eastAsia="宋体" w:cs="宋体"/>
          <w:color w:val="000000" w:themeColor="text1"/>
          <w:sz w:val="28"/>
          <w:szCs w:val="28"/>
          <w:highlight w:val="none"/>
        </w:rPr>
        <w:t>用于储存</w:t>
      </w:r>
      <w:r>
        <w:rPr>
          <w:rFonts w:hint="eastAsia" w:ascii="宋体" w:hAnsi="宋体" w:eastAsia="宋体" w:cs="宋体"/>
          <w:color w:val="000000" w:themeColor="text1"/>
          <w:sz w:val="28"/>
          <w:szCs w:val="28"/>
          <w:highlight w:val="none"/>
          <w:lang w:val="en-US" w:eastAsia="zh-CN"/>
        </w:rPr>
        <w:t>乙酸</w:t>
      </w:r>
      <w:r>
        <w:rPr>
          <w:rFonts w:hint="eastAsia" w:ascii="宋体" w:hAnsi="宋体" w:eastAsia="宋体" w:cs="宋体"/>
          <w:color w:val="000000" w:themeColor="text1"/>
          <w:sz w:val="28"/>
          <w:szCs w:val="28"/>
          <w:highlight w:val="none"/>
        </w:rPr>
        <w:t>和过碳酸钠；</w:t>
      </w:r>
    </w:p>
    <w:p w14:paraId="4D9E87BF">
      <w:pPr>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lang w:eastAsia="zh-CN"/>
        </w:rPr>
      </w:pPr>
      <w:r>
        <w:rPr>
          <w:rFonts w:hint="eastAsia" w:ascii="宋体" w:hAnsi="宋体" w:eastAsia="宋体" w:cs="宋体"/>
          <w:color w:val="000000" w:themeColor="text1"/>
          <w:sz w:val="28"/>
          <w:szCs w:val="28"/>
          <w:highlight w:val="none"/>
          <w:lang w:val="en-US" w:eastAsia="zh-CN"/>
        </w:rPr>
        <w:t>2#隔间</w:t>
      </w:r>
    </w:p>
    <w:p w14:paraId="25C8A15D">
      <w:pPr>
        <w:keepNext w:val="0"/>
        <w:keepLines w:val="0"/>
        <w:pageBreakBefore w:val="0"/>
        <w:widowControl w:val="0"/>
        <w:kinsoku/>
        <w:wordWrap/>
        <w:overflowPunct/>
        <w:topLinePunct w:val="0"/>
        <w:autoSpaceDE/>
        <w:autoSpaceDN/>
        <w:bidi w:val="0"/>
        <w:adjustRightInd w:val="0"/>
        <w:snapToGrid w:val="0"/>
        <w:spacing w:line="360" w:lineRule="auto"/>
        <w:ind w:leftChars="0" w:firstLine="560" w:firstLineChars="200"/>
        <w:textAlignment w:val="auto"/>
        <w:rPr>
          <w:rFonts w:hint="eastAsia"/>
          <w:color w:val="000000" w:themeColor="text1"/>
          <w:sz w:val="28"/>
          <w:szCs w:val="28"/>
          <w:highlight w:val="none"/>
        </w:rPr>
      </w:pPr>
      <w:r>
        <w:rPr>
          <w:rFonts w:hint="eastAsia" w:ascii="宋体" w:hAnsi="宋体" w:eastAsia="宋体" w:cs="宋体"/>
          <w:color w:val="000000" w:themeColor="text1"/>
          <w:sz w:val="28"/>
          <w:szCs w:val="28"/>
          <w:highlight w:val="none"/>
          <w:lang w:val="en-US" w:eastAsia="zh-CN"/>
        </w:rPr>
        <w:t>2#隔间</w:t>
      </w:r>
      <w:r>
        <w:rPr>
          <w:rFonts w:hint="eastAsia" w:ascii="宋体" w:hAnsi="宋体" w:eastAsia="宋体" w:cs="宋体"/>
          <w:color w:val="000000" w:themeColor="text1"/>
          <w:sz w:val="28"/>
          <w:szCs w:val="28"/>
          <w:highlight w:val="none"/>
        </w:rPr>
        <w:t>面积</w:t>
      </w:r>
      <w:r>
        <w:rPr>
          <w:rFonts w:hint="eastAsia" w:cs="宋体"/>
          <w:color w:val="000000" w:themeColor="text1"/>
          <w:sz w:val="28"/>
          <w:szCs w:val="28"/>
          <w:highlight w:val="none"/>
          <w:lang w:val="en-US" w:eastAsia="zh-CN"/>
        </w:rPr>
        <w:t>9</w:t>
      </w:r>
      <w:r>
        <w:rPr>
          <w:rFonts w:hint="eastAsia" w:ascii="宋体" w:hAnsi="宋体" w:eastAsia="宋体" w:cs="宋体"/>
          <w:color w:val="000000" w:themeColor="text1"/>
          <w:sz w:val="28"/>
          <w:szCs w:val="28"/>
          <w:highlight w:val="none"/>
          <w:lang w:val="en-US" w:eastAsia="zh-CN"/>
        </w:rPr>
        <w:t>m</w:t>
      </w:r>
      <w:r>
        <w:rPr>
          <w:rFonts w:hint="eastAsia" w:ascii="宋体" w:hAnsi="宋体" w:eastAsia="宋体" w:cs="宋体"/>
          <w:color w:val="000000" w:themeColor="text1"/>
          <w:sz w:val="28"/>
          <w:szCs w:val="28"/>
          <w:highlight w:val="none"/>
          <w:vertAlign w:val="superscript"/>
          <w:lang w:val="en-US" w:eastAsia="zh-CN"/>
        </w:rPr>
        <w:t>2</w:t>
      </w:r>
      <w:r>
        <w:rPr>
          <w:rFonts w:hint="eastAsia" w:ascii="宋体" w:hAnsi="宋体" w:eastAsia="宋体" w:cs="宋体"/>
          <w:color w:val="000000" w:themeColor="text1"/>
          <w:sz w:val="28"/>
          <w:szCs w:val="28"/>
          <w:highlight w:val="none"/>
        </w:rPr>
        <w:t>，</w:t>
      </w:r>
      <w:r>
        <w:rPr>
          <w:rFonts w:hint="eastAsia" w:ascii="宋体" w:hAnsi="宋体" w:eastAsia="宋体" w:cs="宋体"/>
          <w:color w:val="000000" w:themeColor="text1"/>
          <w:sz w:val="28"/>
          <w:szCs w:val="28"/>
          <w:highlight w:val="none"/>
          <w:lang w:val="en-US" w:eastAsia="zh-CN"/>
        </w:rPr>
        <w:t>设置了1个安全出口，</w:t>
      </w:r>
      <w:r>
        <w:rPr>
          <w:rFonts w:hint="eastAsia" w:ascii="宋体" w:hAnsi="宋体" w:eastAsia="宋体" w:cs="宋体"/>
          <w:color w:val="000000" w:themeColor="text1"/>
          <w:kern w:val="0"/>
          <w:sz w:val="28"/>
          <w:szCs w:val="28"/>
          <w:highlight w:val="none"/>
        </w:rPr>
        <w:t>疏散门采用向疏散方向开启的平开门</w:t>
      </w:r>
      <w:r>
        <w:rPr>
          <w:rFonts w:hint="eastAsia" w:ascii="宋体" w:hAnsi="宋体" w:eastAsia="宋体" w:cs="宋体"/>
          <w:color w:val="000000" w:themeColor="text1"/>
          <w:kern w:val="0"/>
          <w:sz w:val="28"/>
          <w:szCs w:val="28"/>
          <w:highlight w:val="none"/>
          <w:lang w:eastAsia="zh-CN"/>
        </w:rPr>
        <w:t>。</w:t>
      </w:r>
      <w:r>
        <w:rPr>
          <w:rFonts w:hint="eastAsia"/>
          <w:color w:val="000000" w:themeColor="text1"/>
          <w:sz w:val="28"/>
          <w:szCs w:val="28"/>
          <w:highlight w:val="none"/>
        </w:rPr>
        <w:t>为了安全考虑，</w:t>
      </w:r>
      <w:r>
        <w:rPr>
          <w:rFonts w:hint="eastAsia" w:ascii="宋体" w:hAnsi="宋体" w:eastAsia="宋体" w:cs="宋体"/>
          <w:color w:val="000000" w:themeColor="text1"/>
          <w:sz w:val="28"/>
          <w:szCs w:val="28"/>
          <w:highlight w:val="none"/>
          <w:lang w:val="en-US" w:eastAsia="zh-CN"/>
        </w:rPr>
        <w:t>2#隔间</w:t>
      </w:r>
      <w:r>
        <w:rPr>
          <w:rFonts w:hint="eastAsia"/>
          <w:color w:val="000000" w:themeColor="text1"/>
          <w:sz w:val="28"/>
          <w:szCs w:val="28"/>
          <w:highlight w:val="none"/>
        </w:rPr>
        <w:t>内部进行分隔，</w:t>
      </w:r>
      <w:r>
        <w:rPr>
          <w:rFonts w:hint="eastAsia"/>
          <w:color w:val="000000" w:themeColor="text1"/>
          <w:sz w:val="28"/>
          <w:szCs w:val="28"/>
          <w:highlight w:val="none"/>
          <w:lang w:eastAsia="zh-CN"/>
        </w:rPr>
        <w:t>靠里面区域用于</w:t>
      </w:r>
      <w:r>
        <w:rPr>
          <w:rFonts w:hint="eastAsia"/>
          <w:color w:val="000000" w:themeColor="text1"/>
          <w:sz w:val="28"/>
          <w:szCs w:val="28"/>
          <w:highlight w:val="none"/>
        </w:rPr>
        <w:t>储存保险粉</w:t>
      </w:r>
      <w:r>
        <w:rPr>
          <w:rFonts w:hint="eastAsia"/>
          <w:color w:val="000000" w:themeColor="text1"/>
          <w:sz w:val="28"/>
          <w:szCs w:val="28"/>
          <w:highlight w:val="none"/>
          <w:lang w:eastAsia="zh-CN"/>
        </w:rPr>
        <w:t>，靠门口</w:t>
      </w:r>
      <w:r>
        <w:rPr>
          <w:rFonts w:hint="eastAsia"/>
          <w:color w:val="000000" w:themeColor="text1"/>
          <w:sz w:val="28"/>
          <w:szCs w:val="28"/>
          <w:highlight w:val="none"/>
        </w:rPr>
        <w:t>单独设置领料区域</w:t>
      </w:r>
      <w:r>
        <w:rPr>
          <w:rFonts w:hint="eastAsia"/>
          <w:color w:val="000000" w:themeColor="text1"/>
          <w:sz w:val="28"/>
          <w:szCs w:val="28"/>
          <w:highlight w:val="none"/>
          <w:lang w:val="en-US" w:eastAsia="zh-CN"/>
        </w:rPr>
        <w:t>，用于称量保险粉</w:t>
      </w:r>
      <w:r>
        <w:rPr>
          <w:rFonts w:hint="eastAsia"/>
          <w:color w:val="000000" w:themeColor="text1"/>
          <w:sz w:val="28"/>
          <w:szCs w:val="28"/>
          <w:highlight w:val="none"/>
        </w:rPr>
        <w:t>。</w:t>
      </w:r>
    </w:p>
    <w:p w14:paraId="274511D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lang w:val="en-US" w:eastAsia="zh-CN"/>
        </w:rPr>
      </w:pPr>
      <w:r>
        <w:rPr>
          <w:rFonts w:hint="eastAsia"/>
          <w:color w:val="000000" w:themeColor="text1"/>
          <w:sz w:val="28"/>
          <w:szCs w:val="28"/>
          <w:highlight w:val="none"/>
          <w:lang w:val="en-US" w:eastAsia="zh-CN"/>
        </w:rPr>
        <w:t>华美线业车间、仓库等建筑工程于1999年4月2日取得镇海区公安分局消防大队建筑工程消防验收合格的意见（〔镇〕公消监〔验〕字第99011号），其中漂染车间、漂染车间附房和药剂房使用性质、消防设计未发生改变。</w:t>
      </w:r>
    </w:p>
    <w:p w14:paraId="79CB1DDF">
      <w:pPr>
        <w:widowControl w:val="0"/>
        <w:adjustRightInd w:val="0"/>
        <w:snapToGrid w:val="0"/>
        <w:jc w:val="center"/>
        <w:rPr>
          <w:rFonts w:ascii="黑体" w:hAnsi="黑体" w:eastAsia="黑体"/>
          <w:b/>
          <w:color w:val="000000" w:themeColor="text1"/>
          <w:sz w:val="24"/>
          <w:szCs w:val="24"/>
          <w:highlight w:val="none"/>
        </w:rPr>
      </w:pPr>
      <w:r>
        <w:rPr>
          <w:color w:val="000000" w:themeColor="text1"/>
          <w:sz w:val="24"/>
          <w:highlight w:val="none"/>
        </w:rPr>
        <w:pict>
          <v:rect id="_x0000_s1170" o:spid="_x0000_s1170" o:spt="1" style="position:absolute;left:0pt;margin-left:276.35pt;margin-top:200.35pt;height:45.6pt;width:76.8pt;z-index:251680768;mso-width-relative:page;mso-height-relative:page;" fillcolor="#FFFFFF" filled="t" stroked="f" coordsize="21600,21600">
            <v:path/>
            <v:fill on="t" color2="#FFFFFF" focussize="0,0"/>
            <v:stroke on="f"/>
            <v:imagedata o:title=""/>
            <o:lock v:ext="edit" aspectratio="f"/>
            <v:textbox>
              <w:txbxContent>
                <w:p w14:paraId="71D979C2">
                  <w:pPr>
                    <w:jc w:val="center"/>
                    <w:rPr>
                      <w:rFonts w:hint="eastAsia"/>
                      <w:b/>
                      <w:bCs/>
                      <w:sz w:val="18"/>
                      <w:szCs w:val="18"/>
                      <w:lang w:eastAsia="zh-CN"/>
                    </w:rPr>
                  </w:pPr>
                  <w:r>
                    <w:rPr>
                      <w:rFonts w:hint="eastAsia"/>
                      <w:b/>
                      <w:bCs/>
                      <w:sz w:val="18"/>
                      <w:szCs w:val="18"/>
                      <w:lang w:eastAsia="zh-CN"/>
                    </w:rPr>
                    <w:t>乙酸、过碳酸钠储存隔间</w:t>
                  </w:r>
                </w:p>
                <w:p w14:paraId="1B4870BB">
                  <w:pPr>
                    <w:jc w:val="center"/>
                    <w:rPr>
                      <w:rFonts w:hint="eastAsia" w:eastAsia="宋体"/>
                      <w:b/>
                      <w:bCs/>
                      <w:sz w:val="18"/>
                      <w:szCs w:val="18"/>
                      <w:lang w:eastAsia="zh-CN"/>
                    </w:rPr>
                  </w:pPr>
                  <w:r>
                    <w:rPr>
                      <w:rFonts w:hint="eastAsia"/>
                      <w:b/>
                      <w:bCs/>
                      <w:sz w:val="18"/>
                      <w:szCs w:val="18"/>
                      <w:lang w:eastAsia="zh-CN"/>
                    </w:rPr>
                    <w:t>（</w:t>
                  </w:r>
                  <w:r>
                    <w:rPr>
                      <w:rFonts w:hint="eastAsia"/>
                      <w:b/>
                      <w:bCs/>
                      <w:sz w:val="18"/>
                      <w:szCs w:val="18"/>
                      <w:lang w:val="en-US" w:eastAsia="zh-CN"/>
                    </w:rPr>
                    <w:t>1#隔间</w:t>
                  </w:r>
                  <w:r>
                    <w:rPr>
                      <w:rFonts w:hint="eastAsia"/>
                      <w:b/>
                      <w:bCs/>
                      <w:sz w:val="18"/>
                      <w:szCs w:val="18"/>
                      <w:lang w:eastAsia="zh-CN"/>
                    </w:rPr>
                    <w:t>）</w:t>
                  </w:r>
                </w:p>
              </w:txbxContent>
            </v:textbox>
          </v:rect>
        </w:pict>
      </w:r>
      <w:r>
        <w:rPr>
          <w:color w:val="000000" w:themeColor="text1"/>
          <w:sz w:val="24"/>
          <w:highlight w:val="none"/>
        </w:rPr>
        <w:pict>
          <v:shape id="_x0000_s1168" o:spid="_x0000_s1168" o:spt="202" type="#_x0000_t202" style="position:absolute;left:0pt;margin-left:69.3pt;margin-top:29.8pt;height:22.6pt;width:24.65pt;z-index:251679744;mso-width-relative:page;mso-height-relative:page;" filled="f" stroked="f" coordsize="21600,21600">
            <v:path/>
            <v:fill on="f" focussize="0,0"/>
            <v:stroke on="f"/>
            <v:imagedata o:title=""/>
            <o:lock v:ext="edit" aspectratio="f"/>
            <v:textbox>
              <w:txbxContent>
                <w:p w14:paraId="55E3A03D">
                  <w:pPr>
                    <w:rPr>
                      <w:rFonts w:hint="eastAsia" w:eastAsia="宋体"/>
                      <w:b/>
                      <w:bCs/>
                      <w:lang w:eastAsia="zh-CN"/>
                    </w:rPr>
                  </w:pPr>
                  <w:r>
                    <w:rPr>
                      <w:rFonts w:hint="eastAsia"/>
                      <w:b/>
                      <w:bCs/>
                      <w:lang w:eastAsia="zh-CN"/>
                    </w:rPr>
                    <w:t>北</w:t>
                  </w:r>
                </w:p>
              </w:txbxContent>
            </v:textbox>
          </v:shape>
        </w:pict>
      </w:r>
      <w:r>
        <w:rPr>
          <w:color w:val="000000" w:themeColor="text1"/>
          <w:sz w:val="24"/>
          <w:highlight w:val="none"/>
        </w:rPr>
        <w:pict>
          <v:shape id="_x0000_s1167" o:spid="_x0000_s1167" o:spt="68" type="#_x0000_t68" style="position:absolute;left:0pt;margin-left:40.3pt;margin-top:10.3pt;height:64.3pt;width:17.15pt;z-index:251678720;mso-width-relative:page;mso-height-relative:page;" fillcolor="#000000" filled="t" stroked="t" coordsize="21600,21600" adj="5400,5400">
            <v:path/>
            <v:fill on="t" color2="#FFFFFF" focussize="0,0"/>
            <v:stroke color="#000000"/>
            <v:imagedata o:title=""/>
            <o:lock v:ext="edit" aspectratio="f"/>
          </v:shape>
        </w:pict>
      </w:r>
      <w:r>
        <w:rPr>
          <w:color w:val="000000" w:themeColor="text1"/>
          <w:highlight w:val="none"/>
        </w:rPr>
        <w:drawing>
          <wp:inline distT="0" distB="0" distL="114300" distR="114300">
            <wp:extent cx="3322320" cy="8122285"/>
            <wp:effectExtent l="0" t="0" r="11430" b="12065"/>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31"/>
                    <a:stretch>
                      <a:fillRect/>
                    </a:stretch>
                  </pic:blipFill>
                  <pic:spPr>
                    <a:xfrm>
                      <a:off x="0" y="0"/>
                      <a:ext cx="3322320" cy="8122285"/>
                    </a:xfrm>
                    <a:prstGeom prst="rect">
                      <a:avLst/>
                    </a:prstGeom>
                    <a:noFill/>
                    <a:ln>
                      <a:noFill/>
                    </a:ln>
                  </pic:spPr>
                </pic:pic>
              </a:graphicData>
            </a:graphic>
          </wp:inline>
        </w:drawing>
      </w:r>
    </w:p>
    <w:p w14:paraId="149C16CD">
      <w:pPr>
        <w:widowControl w:val="0"/>
        <w:adjustRightInd w:val="0"/>
        <w:snapToGrid w:val="0"/>
        <w:spacing w:line="360" w:lineRule="auto"/>
        <w:jc w:val="center"/>
        <w:rPr>
          <w:rFonts w:hint="eastAsia" w:eastAsia="黑体"/>
          <w:color w:val="000000" w:themeColor="text1"/>
          <w:highlight w:val="none"/>
          <w:lang w:val="en-US" w:eastAsia="zh-CN"/>
        </w:rPr>
      </w:pPr>
      <w:r>
        <w:rPr>
          <w:rFonts w:ascii="黑体" w:hAnsi="黑体" w:eastAsia="黑体"/>
          <w:b/>
          <w:color w:val="000000" w:themeColor="text1"/>
          <w:sz w:val="24"/>
          <w:szCs w:val="24"/>
          <w:highlight w:val="none"/>
        </w:rPr>
        <w:t>2.</w:t>
      </w:r>
      <w:r>
        <w:rPr>
          <w:rFonts w:hint="default" w:ascii="黑体" w:hAnsi="黑体" w:eastAsia="黑体"/>
          <w:b/>
          <w:color w:val="000000" w:themeColor="text1"/>
          <w:sz w:val="24"/>
          <w:szCs w:val="24"/>
          <w:highlight w:val="none"/>
          <w:lang w:val="en-US"/>
        </w:rPr>
        <w:t>3</w:t>
      </w:r>
      <w:r>
        <w:rPr>
          <w:rFonts w:ascii="黑体" w:hAnsi="黑体" w:eastAsia="黑体"/>
          <w:b/>
          <w:color w:val="000000" w:themeColor="text1"/>
          <w:sz w:val="24"/>
          <w:szCs w:val="24"/>
          <w:highlight w:val="none"/>
        </w:rPr>
        <w:t>-</w:t>
      </w:r>
      <w:r>
        <w:rPr>
          <w:rFonts w:hint="eastAsia" w:ascii="黑体" w:hAnsi="黑体" w:eastAsia="黑体"/>
          <w:b/>
          <w:color w:val="000000" w:themeColor="text1"/>
          <w:sz w:val="24"/>
          <w:szCs w:val="24"/>
          <w:highlight w:val="none"/>
          <w:lang w:val="en-US" w:eastAsia="zh-CN"/>
        </w:rPr>
        <w:t>1</w:t>
      </w:r>
      <w:r>
        <w:rPr>
          <w:rFonts w:ascii="黑体" w:hAnsi="黑体" w:eastAsia="黑体"/>
          <w:b/>
          <w:color w:val="000000" w:themeColor="text1"/>
          <w:sz w:val="24"/>
          <w:szCs w:val="24"/>
          <w:highlight w:val="none"/>
        </w:rPr>
        <w:t xml:space="preserve">  </w:t>
      </w:r>
      <w:r>
        <w:rPr>
          <w:rFonts w:hint="eastAsia" w:ascii="黑体" w:hAnsi="黑体" w:eastAsia="黑体"/>
          <w:b/>
          <w:color w:val="000000" w:themeColor="text1"/>
          <w:sz w:val="24"/>
          <w:szCs w:val="24"/>
          <w:highlight w:val="none"/>
          <w:lang w:eastAsia="zh-CN"/>
        </w:rPr>
        <w:t>漂染车间附房平面布置图</w:t>
      </w:r>
    </w:p>
    <w:p w14:paraId="5B087D79">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color w:val="000000" w:themeColor="text1"/>
          <w:highlight w:val="none"/>
        </w:rPr>
      </w:pPr>
      <w:r>
        <w:rPr>
          <w:color w:val="000000" w:themeColor="text1"/>
          <w:highlight w:val="none"/>
        </w:rPr>
        <w:drawing>
          <wp:inline distT="0" distB="0" distL="114300" distR="114300">
            <wp:extent cx="4428490" cy="8283575"/>
            <wp:effectExtent l="0" t="0" r="10160" b="3175"/>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32"/>
                    <a:stretch>
                      <a:fillRect/>
                    </a:stretch>
                  </pic:blipFill>
                  <pic:spPr>
                    <a:xfrm>
                      <a:off x="0" y="0"/>
                      <a:ext cx="4428490" cy="8283575"/>
                    </a:xfrm>
                    <a:prstGeom prst="rect">
                      <a:avLst/>
                    </a:prstGeom>
                    <a:noFill/>
                    <a:ln>
                      <a:noFill/>
                    </a:ln>
                  </pic:spPr>
                </pic:pic>
              </a:graphicData>
            </a:graphic>
          </wp:inline>
        </w:drawing>
      </w:r>
    </w:p>
    <w:p w14:paraId="274078D4">
      <w:pPr>
        <w:widowControl w:val="0"/>
        <w:adjustRightInd w:val="0"/>
        <w:snapToGrid w:val="0"/>
        <w:spacing w:line="360" w:lineRule="auto"/>
        <w:jc w:val="center"/>
        <w:rPr>
          <w:rFonts w:hint="eastAsia" w:ascii="黑体" w:hAnsi="黑体" w:eastAsia="黑体"/>
          <w:b/>
          <w:color w:val="000000" w:themeColor="text1"/>
          <w:sz w:val="24"/>
          <w:szCs w:val="24"/>
          <w:highlight w:val="none"/>
        </w:rPr>
      </w:pPr>
      <w:r>
        <w:rPr>
          <w:rFonts w:hint="eastAsia" w:ascii="黑体" w:hAnsi="黑体" w:eastAsia="黑体"/>
          <w:b/>
          <w:color w:val="000000" w:themeColor="text1"/>
          <w:sz w:val="24"/>
          <w:szCs w:val="24"/>
          <w:highlight w:val="none"/>
        </w:rPr>
        <w:t>图</w:t>
      </w:r>
      <w:r>
        <w:rPr>
          <w:rFonts w:ascii="黑体" w:hAnsi="黑体" w:eastAsia="黑体"/>
          <w:b/>
          <w:color w:val="000000" w:themeColor="text1"/>
          <w:sz w:val="24"/>
          <w:szCs w:val="24"/>
          <w:highlight w:val="none"/>
        </w:rPr>
        <w:t>2.</w:t>
      </w:r>
      <w:r>
        <w:rPr>
          <w:rFonts w:hint="default" w:ascii="黑体" w:hAnsi="黑体" w:eastAsia="黑体"/>
          <w:b/>
          <w:color w:val="000000" w:themeColor="text1"/>
          <w:sz w:val="24"/>
          <w:szCs w:val="24"/>
          <w:highlight w:val="none"/>
          <w:lang w:val="en-US"/>
        </w:rPr>
        <w:t>3</w:t>
      </w:r>
      <w:r>
        <w:rPr>
          <w:rFonts w:ascii="黑体" w:hAnsi="黑体" w:eastAsia="黑体"/>
          <w:b/>
          <w:color w:val="000000" w:themeColor="text1"/>
          <w:sz w:val="24"/>
          <w:szCs w:val="24"/>
          <w:highlight w:val="none"/>
        </w:rPr>
        <w:t>-</w:t>
      </w:r>
      <w:r>
        <w:rPr>
          <w:rFonts w:hint="eastAsia" w:ascii="黑体" w:hAnsi="黑体" w:eastAsia="黑体"/>
          <w:b/>
          <w:color w:val="000000" w:themeColor="text1"/>
          <w:sz w:val="24"/>
          <w:szCs w:val="24"/>
          <w:highlight w:val="none"/>
          <w:lang w:val="en-US" w:eastAsia="zh-CN"/>
        </w:rPr>
        <w:t>2</w:t>
      </w:r>
      <w:r>
        <w:rPr>
          <w:rFonts w:ascii="黑体" w:hAnsi="黑体" w:eastAsia="黑体"/>
          <w:b/>
          <w:color w:val="000000" w:themeColor="text1"/>
          <w:sz w:val="24"/>
          <w:szCs w:val="24"/>
          <w:highlight w:val="none"/>
        </w:rPr>
        <w:t xml:space="preserve">  </w:t>
      </w:r>
      <w:r>
        <w:rPr>
          <w:rFonts w:hint="eastAsia" w:ascii="黑体" w:hAnsi="黑体" w:eastAsia="黑体"/>
          <w:b/>
          <w:color w:val="000000" w:themeColor="text1"/>
          <w:sz w:val="24"/>
          <w:szCs w:val="24"/>
          <w:highlight w:val="none"/>
          <w:lang w:eastAsia="zh-CN"/>
        </w:rPr>
        <w:t>漂染车间平面布置</w:t>
      </w:r>
      <w:r>
        <w:rPr>
          <w:rFonts w:hint="eastAsia" w:ascii="黑体" w:hAnsi="黑体" w:eastAsia="黑体"/>
          <w:b/>
          <w:color w:val="000000" w:themeColor="text1"/>
          <w:sz w:val="24"/>
          <w:szCs w:val="24"/>
          <w:highlight w:val="none"/>
        </w:rPr>
        <w:t>图</w:t>
      </w:r>
    </w:p>
    <w:p w14:paraId="5DDB617D">
      <w:pPr>
        <w:pStyle w:val="2"/>
        <w:widowControl w:val="0"/>
        <w:adjustRightInd w:val="0"/>
        <w:snapToGrid w:val="0"/>
        <w:spacing w:line="360" w:lineRule="auto"/>
        <w:ind w:left="0" w:leftChars="0" w:firstLine="0" w:firstLineChars="0"/>
        <w:jc w:val="center"/>
        <w:rPr>
          <w:rFonts w:hint="eastAsia" w:ascii="黑体" w:hAnsi="黑体" w:eastAsia="黑体" w:cs="黑体"/>
          <w:b/>
          <w:bCs w:val="0"/>
          <w:color w:val="000000" w:themeColor="text1"/>
          <w:kern w:val="0"/>
          <w:sz w:val="24"/>
          <w:szCs w:val="24"/>
          <w:highlight w:val="none"/>
        </w:rPr>
        <w:sectPr>
          <w:footerReference r:id="rId15" w:type="default"/>
          <w:pgSz w:w="11907" w:h="16840"/>
          <w:pgMar w:top="1417" w:right="1134" w:bottom="1134" w:left="1587" w:header="794" w:footer="794" w:gutter="0"/>
          <w:pgBorders>
            <w:top w:val="none" w:sz="0" w:space="0"/>
            <w:left w:val="none" w:sz="0" w:space="0"/>
            <w:bottom w:val="none" w:sz="0" w:space="0"/>
            <w:right w:val="none" w:sz="0" w:space="0"/>
          </w:pgBorders>
          <w:cols w:space="720" w:num="1"/>
          <w:docGrid w:linePitch="326" w:charSpace="0"/>
        </w:sectPr>
      </w:pPr>
      <w:bookmarkStart w:id="258" w:name="_Toc234394476"/>
      <w:bookmarkStart w:id="259" w:name="_Toc449456885"/>
      <w:bookmarkStart w:id="260" w:name="_Toc207676770"/>
      <w:bookmarkStart w:id="261" w:name="_Toc449456794"/>
    </w:p>
    <w:p w14:paraId="6F127A3F">
      <w:pPr>
        <w:pStyle w:val="6"/>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s="宋体"/>
          <w:color w:val="000000" w:themeColor="text1"/>
          <w:highlight w:val="none"/>
          <w:lang w:eastAsia="zh-CN"/>
        </w:rPr>
      </w:pPr>
      <w:bookmarkStart w:id="262" w:name="_Toc28805"/>
      <w:bookmarkStart w:id="263" w:name="_Toc11156"/>
      <w:bookmarkStart w:id="264" w:name="_Toc5083"/>
      <w:bookmarkStart w:id="265" w:name="_Toc29413"/>
      <w:r>
        <w:rPr>
          <w:rFonts w:hint="eastAsia" w:hAnsi="宋体" w:cs="宋体"/>
          <w:color w:val="000000" w:themeColor="text1"/>
          <w:highlight w:val="none"/>
        </w:rPr>
        <w:t>2.</w:t>
      </w:r>
      <w:r>
        <w:rPr>
          <w:rFonts w:hint="eastAsia" w:hAnsi="宋体" w:cs="宋体"/>
          <w:color w:val="000000" w:themeColor="text1"/>
          <w:highlight w:val="none"/>
          <w:lang w:val="en-US" w:eastAsia="zh-CN"/>
        </w:rPr>
        <w:t>4</w:t>
      </w:r>
      <w:r>
        <w:rPr>
          <w:rFonts w:hint="eastAsia" w:hAnsi="宋体" w:cs="宋体"/>
          <w:color w:val="000000" w:themeColor="text1"/>
          <w:highlight w:val="none"/>
        </w:rPr>
        <w:t>危险化学品</w:t>
      </w:r>
      <w:r>
        <w:rPr>
          <w:rFonts w:hint="eastAsia" w:cs="宋体"/>
          <w:color w:val="000000" w:themeColor="text1"/>
          <w:highlight w:val="none"/>
          <w:lang w:eastAsia="zh-CN"/>
        </w:rPr>
        <w:t>储存和使用</w:t>
      </w:r>
      <w:bookmarkEnd w:id="262"/>
      <w:bookmarkEnd w:id="263"/>
      <w:bookmarkEnd w:id="264"/>
      <w:bookmarkEnd w:id="265"/>
    </w:p>
    <w:p w14:paraId="267E2850">
      <w:pPr>
        <w:pStyle w:val="7"/>
        <w:keepNext w:val="0"/>
        <w:keepLines w:val="0"/>
        <w:pageBreakBefore w:val="0"/>
        <w:widowControl w:val="0"/>
        <w:kinsoku/>
        <w:wordWrap/>
        <w:overflowPunct/>
        <w:topLinePunct w:val="0"/>
        <w:autoSpaceDE/>
        <w:autoSpaceDN/>
        <w:bidi w:val="0"/>
        <w:adjustRightInd w:val="0"/>
        <w:snapToGrid w:val="0"/>
        <w:textAlignment w:val="auto"/>
        <w:outlineLvl w:val="2"/>
        <w:rPr>
          <w:rFonts w:hint="eastAsia" w:hAnsi="宋体" w:eastAsia="黑体" w:cs="宋体"/>
          <w:color w:val="000000" w:themeColor="text1"/>
          <w:highlight w:val="none"/>
          <w:lang w:val="en-US" w:eastAsia="zh-CN"/>
        </w:rPr>
      </w:pPr>
      <w:bookmarkStart w:id="266" w:name="_Toc23244"/>
      <w:bookmarkStart w:id="267" w:name="_Toc20631"/>
      <w:bookmarkStart w:id="268" w:name="_Toc3241"/>
      <w:bookmarkStart w:id="269" w:name="_Toc11790"/>
      <w:r>
        <w:rPr>
          <w:rFonts w:hint="eastAsia" w:hAnsi="宋体" w:cs="宋体"/>
          <w:color w:val="000000" w:themeColor="text1"/>
          <w:highlight w:val="none"/>
          <w:lang w:val="en-US" w:eastAsia="zh-CN"/>
        </w:rPr>
        <w:t>2.</w:t>
      </w:r>
      <w:r>
        <w:rPr>
          <w:rFonts w:hint="eastAsia" w:cs="宋体"/>
          <w:color w:val="000000" w:themeColor="text1"/>
          <w:highlight w:val="none"/>
          <w:lang w:val="en-US" w:eastAsia="zh-CN"/>
        </w:rPr>
        <w:t>4.1危险化学品储存</w:t>
      </w:r>
      <w:bookmarkEnd w:id="266"/>
      <w:bookmarkEnd w:id="267"/>
      <w:bookmarkEnd w:id="268"/>
      <w:bookmarkEnd w:id="269"/>
    </w:p>
    <w:p w14:paraId="108CC186">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eastAsia="宋体"/>
          <w:color w:val="000000" w:themeColor="text1"/>
          <w:sz w:val="28"/>
          <w:szCs w:val="28"/>
          <w:highlight w:val="none"/>
          <w:lang w:eastAsia="zh-CN"/>
        </w:rPr>
      </w:pPr>
      <w:r>
        <w:rPr>
          <w:rFonts w:hint="eastAsia"/>
          <w:color w:val="000000" w:themeColor="text1"/>
          <w:sz w:val="28"/>
          <w:szCs w:val="28"/>
          <w:highlight w:val="none"/>
        </w:rPr>
        <w:t>华美线业涉及危险化学品的</w:t>
      </w:r>
      <w:r>
        <w:rPr>
          <w:rFonts w:hint="eastAsia"/>
          <w:color w:val="000000" w:themeColor="text1"/>
          <w:sz w:val="28"/>
          <w:szCs w:val="28"/>
          <w:highlight w:val="none"/>
          <w:lang w:eastAsia="zh-CN"/>
        </w:rPr>
        <w:t>具体情况见下表。</w:t>
      </w:r>
    </w:p>
    <w:p w14:paraId="082A6584">
      <w:pPr>
        <w:pStyle w:val="2"/>
        <w:widowControl w:val="0"/>
        <w:adjustRightInd w:val="0"/>
        <w:snapToGrid w:val="0"/>
        <w:spacing w:line="360" w:lineRule="auto"/>
        <w:ind w:left="0" w:leftChars="0" w:firstLine="0" w:firstLineChars="0"/>
        <w:jc w:val="center"/>
        <w:rPr>
          <w:rFonts w:hint="eastAsia" w:ascii="黑体" w:hAnsi="黑体" w:eastAsia="黑体" w:cs="黑体"/>
          <w:b/>
          <w:bCs w:val="0"/>
          <w:color w:val="000000" w:themeColor="text1"/>
          <w:sz w:val="24"/>
          <w:szCs w:val="24"/>
          <w:highlight w:val="none"/>
        </w:rPr>
      </w:pPr>
      <w:r>
        <w:rPr>
          <w:rFonts w:hint="eastAsia" w:ascii="黑体" w:hAnsi="黑体" w:eastAsia="黑体" w:cs="黑体"/>
          <w:b/>
          <w:bCs w:val="0"/>
          <w:color w:val="000000" w:themeColor="text1"/>
          <w:kern w:val="0"/>
          <w:sz w:val="24"/>
          <w:szCs w:val="24"/>
          <w:highlight w:val="none"/>
        </w:rPr>
        <w:t>表2.</w:t>
      </w:r>
      <w:r>
        <w:rPr>
          <w:rFonts w:hint="eastAsia" w:ascii="黑体" w:hAnsi="黑体" w:eastAsia="黑体" w:cs="黑体"/>
          <w:b/>
          <w:bCs w:val="0"/>
          <w:color w:val="000000" w:themeColor="text1"/>
          <w:kern w:val="0"/>
          <w:sz w:val="24"/>
          <w:szCs w:val="24"/>
          <w:highlight w:val="none"/>
          <w:lang w:val="en-US"/>
        </w:rPr>
        <w:t>4</w:t>
      </w:r>
      <w:r>
        <w:rPr>
          <w:rFonts w:hint="eastAsia" w:ascii="黑体" w:hAnsi="黑体" w:eastAsia="黑体" w:cs="黑体"/>
          <w:b/>
          <w:bCs w:val="0"/>
          <w:color w:val="000000" w:themeColor="text1"/>
          <w:kern w:val="0"/>
          <w:sz w:val="24"/>
          <w:szCs w:val="24"/>
          <w:highlight w:val="none"/>
        </w:rPr>
        <w:t>-1</w:t>
      </w:r>
      <w:r>
        <w:rPr>
          <w:rFonts w:hint="eastAsia" w:ascii="黑体" w:hAnsi="黑体" w:eastAsia="黑体" w:cs="黑体"/>
          <w:b/>
          <w:bCs w:val="0"/>
          <w:color w:val="000000" w:themeColor="text1"/>
          <w:sz w:val="24"/>
          <w:szCs w:val="24"/>
          <w:highlight w:val="none"/>
        </w:rPr>
        <w:t>危险化学品</w:t>
      </w:r>
      <w:r>
        <w:rPr>
          <w:rFonts w:hint="eastAsia" w:ascii="黑体" w:hAnsi="黑体" w:eastAsia="黑体" w:cs="黑体"/>
          <w:b/>
          <w:bCs w:val="0"/>
          <w:color w:val="000000" w:themeColor="text1"/>
          <w:kern w:val="0"/>
          <w:sz w:val="24"/>
          <w:szCs w:val="24"/>
          <w:highlight w:val="none"/>
        </w:rPr>
        <w:t>情况一览表</w:t>
      </w:r>
    </w:p>
    <w:tbl>
      <w:tblPr>
        <w:tblStyle w:val="61"/>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2"/>
        <w:gridCol w:w="1091"/>
        <w:gridCol w:w="1266"/>
        <w:gridCol w:w="891"/>
        <w:gridCol w:w="1056"/>
        <w:gridCol w:w="1172"/>
        <w:gridCol w:w="1547"/>
        <w:gridCol w:w="961"/>
        <w:gridCol w:w="798"/>
        <w:gridCol w:w="702"/>
        <w:gridCol w:w="1547"/>
        <w:gridCol w:w="1361"/>
        <w:gridCol w:w="929"/>
        <w:gridCol w:w="645"/>
      </w:tblGrid>
      <w:tr w14:paraId="5D2D2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0" w:type="pct"/>
            <w:shd w:val="clear" w:color="auto" w:fill="auto"/>
            <w:vAlign w:val="center"/>
          </w:tcPr>
          <w:p w14:paraId="360887B6">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序号</w:t>
            </w:r>
          </w:p>
        </w:tc>
        <w:tc>
          <w:tcPr>
            <w:tcW w:w="376" w:type="pct"/>
            <w:vAlign w:val="center"/>
          </w:tcPr>
          <w:p w14:paraId="4800415A">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品名</w:t>
            </w:r>
          </w:p>
        </w:tc>
        <w:tc>
          <w:tcPr>
            <w:tcW w:w="436" w:type="pct"/>
            <w:vAlign w:val="center"/>
          </w:tcPr>
          <w:p w14:paraId="10082475">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CAS号</w:t>
            </w:r>
          </w:p>
        </w:tc>
        <w:tc>
          <w:tcPr>
            <w:tcW w:w="307" w:type="pct"/>
            <w:vAlign w:val="center"/>
          </w:tcPr>
          <w:p w14:paraId="0D4413C2">
            <w:pPr>
              <w:widowControl w:val="0"/>
              <w:adjustRightInd w:val="0"/>
              <w:snapToGrid w:val="0"/>
              <w:jc w:val="center"/>
              <w:rPr>
                <w:rFonts w:hint="eastAsia" w:ascii="宋体" w:hAnsi="宋体" w:eastAsia="宋体" w:cs="宋体"/>
                <w:b/>
                <w:bCs/>
                <w:color w:val="000000" w:themeColor="text1"/>
                <w:kern w:val="0"/>
                <w:sz w:val="21"/>
                <w:szCs w:val="21"/>
                <w:highlight w:val="none"/>
                <w:lang w:eastAsia="zh-CN"/>
              </w:rPr>
            </w:pPr>
            <w:r>
              <w:rPr>
                <w:rFonts w:hint="eastAsia" w:cs="宋体"/>
                <w:b/>
                <w:bCs/>
                <w:color w:val="000000" w:themeColor="text1"/>
                <w:kern w:val="0"/>
                <w:sz w:val="21"/>
                <w:szCs w:val="21"/>
                <w:highlight w:val="none"/>
                <w:lang w:eastAsia="zh-CN"/>
              </w:rPr>
              <w:t>状态</w:t>
            </w:r>
          </w:p>
        </w:tc>
        <w:tc>
          <w:tcPr>
            <w:tcW w:w="364" w:type="pct"/>
            <w:vAlign w:val="center"/>
          </w:tcPr>
          <w:p w14:paraId="4064CD84">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浓度</w:t>
            </w:r>
          </w:p>
        </w:tc>
        <w:tc>
          <w:tcPr>
            <w:tcW w:w="404" w:type="pct"/>
            <w:vAlign w:val="center"/>
          </w:tcPr>
          <w:p w14:paraId="3C12D7FB">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包装</w:t>
            </w:r>
          </w:p>
        </w:tc>
        <w:tc>
          <w:tcPr>
            <w:tcW w:w="533" w:type="pct"/>
            <w:vAlign w:val="center"/>
          </w:tcPr>
          <w:p w14:paraId="77971810">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储存场所</w:t>
            </w:r>
          </w:p>
        </w:tc>
        <w:tc>
          <w:tcPr>
            <w:tcW w:w="331" w:type="pct"/>
            <w:vAlign w:val="center"/>
          </w:tcPr>
          <w:p w14:paraId="098AE86C">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最大储存量（t）</w:t>
            </w:r>
          </w:p>
        </w:tc>
        <w:tc>
          <w:tcPr>
            <w:tcW w:w="275" w:type="pct"/>
            <w:vAlign w:val="center"/>
          </w:tcPr>
          <w:p w14:paraId="4636F030">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用途</w:t>
            </w:r>
          </w:p>
        </w:tc>
        <w:tc>
          <w:tcPr>
            <w:tcW w:w="242" w:type="pct"/>
            <w:vAlign w:val="center"/>
          </w:tcPr>
          <w:p w14:paraId="5AF97076">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使用场所</w:t>
            </w:r>
          </w:p>
        </w:tc>
        <w:tc>
          <w:tcPr>
            <w:tcW w:w="533" w:type="pct"/>
            <w:vAlign w:val="center"/>
          </w:tcPr>
          <w:p w14:paraId="1645EEDF">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使用场所最大存在量（t）</w:t>
            </w:r>
          </w:p>
        </w:tc>
        <w:tc>
          <w:tcPr>
            <w:tcW w:w="469" w:type="pct"/>
            <w:vAlign w:val="center"/>
          </w:tcPr>
          <w:p w14:paraId="1372E172">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一昼夜最大使用量（t）</w:t>
            </w:r>
          </w:p>
        </w:tc>
        <w:tc>
          <w:tcPr>
            <w:tcW w:w="320" w:type="pct"/>
            <w:vAlign w:val="center"/>
          </w:tcPr>
          <w:p w14:paraId="6174095F">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年用量（t）</w:t>
            </w:r>
          </w:p>
        </w:tc>
        <w:tc>
          <w:tcPr>
            <w:tcW w:w="222" w:type="pct"/>
            <w:vAlign w:val="center"/>
          </w:tcPr>
          <w:p w14:paraId="321B0966">
            <w:pPr>
              <w:widowControl w:val="0"/>
              <w:adjustRightInd w:val="0"/>
              <w:snapToGrid w:val="0"/>
              <w:jc w:val="center"/>
              <w:rPr>
                <w:rFonts w:hint="default" w:ascii="宋体" w:hAnsi="宋体" w:eastAsia="宋体" w:cs="宋体"/>
                <w:b/>
                <w:bCs/>
                <w:color w:val="000000" w:themeColor="text1"/>
                <w:kern w:val="0"/>
                <w:sz w:val="21"/>
                <w:szCs w:val="21"/>
                <w:highlight w:val="none"/>
                <w:lang w:val="en-US" w:eastAsia="zh-CN"/>
              </w:rPr>
            </w:pPr>
            <w:r>
              <w:rPr>
                <w:rFonts w:hint="eastAsia" w:cs="宋体"/>
                <w:b/>
                <w:bCs/>
                <w:color w:val="000000" w:themeColor="text1"/>
                <w:kern w:val="0"/>
                <w:sz w:val="21"/>
                <w:szCs w:val="21"/>
                <w:highlight w:val="none"/>
                <w:lang w:val="en-US" w:eastAsia="zh-CN"/>
              </w:rPr>
              <w:t>周转天数</w:t>
            </w:r>
          </w:p>
        </w:tc>
      </w:tr>
      <w:tr w14:paraId="432BE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0" w:type="pct"/>
            <w:shd w:val="clear" w:color="auto" w:fill="auto"/>
            <w:vAlign w:val="center"/>
          </w:tcPr>
          <w:p w14:paraId="41528F3E">
            <w:pPr>
              <w:widowControl w:val="0"/>
              <w:numPr>
                <w:ilvl w:val="0"/>
                <w:numId w:val="12"/>
              </w:numPr>
              <w:adjustRightInd w:val="0"/>
              <w:snapToGrid w:val="0"/>
              <w:jc w:val="center"/>
              <w:rPr>
                <w:rFonts w:hint="eastAsia" w:ascii="宋体" w:hAnsi="宋体" w:eastAsia="宋体" w:cs="宋体"/>
                <w:color w:val="000000" w:themeColor="text1"/>
                <w:kern w:val="0"/>
                <w:sz w:val="21"/>
                <w:szCs w:val="21"/>
                <w:highlight w:val="none"/>
              </w:rPr>
            </w:pPr>
          </w:p>
        </w:tc>
        <w:tc>
          <w:tcPr>
            <w:tcW w:w="376" w:type="pct"/>
            <w:vAlign w:val="center"/>
          </w:tcPr>
          <w:p w14:paraId="529965DE">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lang w:val="en-US" w:eastAsia="zh-CN"/>
              </w:rPr>
              <w:t>氢氧化钠溶液</w:t>
            </w:r>
          </w:p>
        </w:tc>
        <w:tc>
          <w:tcPr>
            <w:tcW w:w="436" w:type="pct"/>
            <w:vAlign w:val="center"/>
          </w:tcPr>
          <w:p w14:paraId="10399DB8">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1310-73-2</w:t>
            </w:r>
          </w:p>
        </w:tc>
        <w:tc>
          <w:tcPr>
            <w:tcW w:w="307" w:type="pct"/>
            <w:vAlign w:val="center"/>
          </w:tcPr>
          <w:p w14:paraId="6772DFF1">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cs="宋体"/>
                <w:color w:val="000000" w:themeColor="text1"/>
                <w:kern w:val="0"/>
                <w:sz w:val="21"/>
                <w:szCs w:val="21"/>
                <w:highlight w:val="none"/>
                <w:lang w:eastAsia="zh-CN"/>
              </w:rPr>
              <w:t>液体</w:t>
            </w:r>
          </w:p>
        </w:tc>
        <w:tc>
          <w:tcPr>
            <w:tcW w:w="364" w:type="pct"/>
            <w:vAlign w:val="center"/>
          </w:tcPr>
          <w:p w14:paraId="27BDE816">
            <w:pPr>
              <w:widowControl w:val="0"/>
              <w:adjustRightInd w:val="0"/>
              <w:snapToGrid w:val="0"/>
              <w:jc w:val="center"/>
              <w:rPr>
                <w:rFonts w:hint="eastAsia" w:ascii="宋体" w:hAnsi="宋体" w:eastAsia="宋体" w:cs="宋体"/>
                <w:color w:val="000000" w:themeColor="text1"/>
                <w:kern w:val="0"/>
                <w:sz w:val="21"/>
                <w:szCs w:val="21"/>
                <w:highlight w:val="none"/>
              </w:rPr>
            </w:pPr>
          </w:p>
        </w:tc>
        <w:tc>
          <w:tcPr>
            <w:tcW w:w="404" w:type="pct"/>
            <w:vAlign w:val="center"/>
          </w:tcPr>
          <w:p w14:paraId="002FAC24">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val="en-US" w:eastAsia="zh-CN"/>
              </w:rPr>
              <w:t>8000L</w:t>
            </w:r>
            <w:r>
              <w:rPr>
                <w:rFonts w:hint="eastAsia" w:ascii="宋体" w:hAnsi="宋体" w:eastAsia="宋体" w:cs="宋体"/>
                <w:color w:val="000000" w:themeColor="text1"/>
                <w:kern w:val="0"/>
                <w:sz w:val="21"/>
                <w:szCs w:val="21"/>
                <w:highlight w:val="none"/>
                <w:lang w:eastAsia="zh-CN"/>
              </w:rPr>
              <w:t>塑料储罐</w:t>
            </w:r>
          </w:p>
        </w:tc>
        <w:tc>
          <w:tcPr>
            <w:tcW w:w="533" w:type="pct"/>
            <w:vAlign w:val="center"/>
          </w:tcPr>
          <w:p w14:paraId="240612F5">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lang w:val="en-US" w:eastAsia="zh-CN"/>
              </w:rPr>
              <w:t>氢氧化钠溶液</w:t>
            </w:r>
            <w:r>
              <w:rPr>
                <w:rFonts w:hint="eastAsia" w:ascii="宋体" w:hAnsi="宋体" w:eastAsia="宋体" w:cs="宋体"/>
                <w:color w:val="000000" w:themeColor="text1"/>
                <w:sz w:val="21"/>
                <w:szCs w:val="21"/>
                <w:highlight w:val="none"/>
              </w:rPr>
              <w:t>储罐</w:t>
            </w:r>
          </w:p>
        </w:tc>
        <w:tc>
          <w:tcPr>
            <w:tcW w:w="331" w:type="pct"/>
            <w:vAlign w:val="center"/>
          </w:tcPr>
          <w:p w14:paraId="1B1CBFCB">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val="en-US" w:eastAsia="zh-CN"/>
              </w:rPr>
              <w:t>8</w:t>
            </w:r>
          </w:p>
        </w:tc>
        <w:tc>
          <w:tcPr>
            <w:tcW w:w="275" w:type="pct"/>
            <w:vAlign w:val="center"/>
          </w:tcPr>
          <w:p w14:paraId="62D1EAE7">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染色助剂</w:t>
            </w:r>
          </w:p>
        </w:tc>
        <w:tc>
          <w:tcPr>
            <w:tcW w:w="242" w:type="pct"/>
            <w:vAlign w:val="center"/>
          </w:tcPr>
          <w:p w14:paraId="59EC5FEE">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lang w:val="en-US" w:eastAsia="zh-CN"/>
              </w:rPr>
              <w:t>漂染车间</w:t>
            </w:r>
          </w:p>
        </w:tc>
        <w:tc>
          <w:tcPr>
            <w:tcW w:w="533" w:type="pct"/>
            <w:vAlign w:val="center"/>
          </w:tcPr>
          <w:p w14:paraId="03A2363F">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0.25</w:t>
            </w:r>
          </w:p>
        </w:tc>
        <w:tc>
          <w:tcPr>
            <w:tcW w:w="469" w:type="pct"/>
            <w:vAlign w:val="center"/>
          </w:tcPr>
          <w:p w14:paraId="7E3C5D3F">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rPr>
            </w:pPr>
          </w:p>
        </w:tc>
        <w:tc>
          <w:tcPr>
            <w:tcW w:w="320" w:type="pct"/>
            <w:vAlign w:val="center"/>
          </w:tcPr>
          <w:p w14:paraId="3C8CB25A">
            <w:pPr>
              <w:widowControl w:val="0"/>
              <w:adjustRightInd w:val="0"/>
              <w:snapToGrid w:val="0"/>
              <w:jc w:val="center"/>
              <w:rPr>
                <w:rFonts w:hint="eastAsia" w:ascii="宋体" w:hAnsi="宋体" w:eastAsia="宋体" w:cs="宋体"/>
                <w:color w:val="000000" w:themeColor="text1"/>
                <w:kern w:val="0"/>
                <w:sz w:val="21"/>
                <w:szCs w:val="21"/>
                <w:highlight w:val="none"/>
              </w:rPr>
            </w:pPr>
          </w:p>
        </w:tc>
        <w:tc>
          <w:tcPr>
            <w:tcW w:w="222" w:type="pct"/>
            <w:vAlign w:val="center"/>
          </w:tcPr>
          <w:p w14:paraId="383DD705">
            <w:pPr>
              <w:widowControl w:val="0"/>
              <w:adjustRightInd w:val="0"/>
              <w:snapToGrid w:val="0"/>
              <w:jc w:val="center"/>
              <w:rPr>
                <w:rFonts w:hint="default" w:ascii="宋体" w:hAnsi="宋体" w:eastAsia="宋体" w:cs="宋体"/>
                <w:color w:val="000000" w:themeColor="text1"/>
                <w:kern w:val="0"/>
                <w:sz w:val="21"/>
                <w:szCs w:val="21"/>
                <w:highlight w:val="none"/>
                <w:lang w:val="en-US" w:eastAsia="zh-CN"/>
              </w:rPr>
            </w:pPr>
            <w:r>
              <w:rPr>
                <w:rFonts w:hint="eastAsia" w:cs="宋体"/>
                <w:color w:val="000000" w:themeColor="text1"/>
                <w:kern w:val="0"/>
                <w:sz w:val="21"/>
                <w:szCs w:val="21"/>
                <w:highlight w:val="none"/>
                <w:lang w:val="en-US" w:eastAsia="zh-CN"/>
              </w:rPr>
              <w:t xml:space="preserve">15    </w:t>
            </w:r>
          </w:p>
        </w:tc>
      </w:tr>
      <w:tr w14:paraId="540B1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0" w:type="pct"/>
            <w:shd w:val="clear" w:color="auto" w:fill="auto"/>
            <w:vAlign w:val="center"/>
          </w:tcPr>
          <w:p w14:paraId="45E7E9B8">
            <w:pPr>
              <w:widowControl w:val="0"/>
              <w:numPr>
                <w:ilvl w:val="0"/>
                <w:numId w:val="12"/>
              </w:numPr>
              <w:adjustRightInd w:val="0"/>
              <w:snapToGrid w:val="0"/>
              <w:jc w:val="center"/>
              <w:rPr>
                <w:rFonts w:hint="eastAsia" w:ascii="宋体" w:hAnsi="宋体" w:eastAsia="宋体" w:cs="宋体"/>
                <w:color w:val="000000" w:themeColor="text1"/>
                <w:kern w:val="0"/>
                <w:sz w:val="21"/>
                <w:szCs w:val="21"/>
                <w:highlight w:val="none"/>
              </w:rPr>
            </w:pPr>
          </w:p>
        </w:tc>
        <w:tc>
          <w:tcPr>
            <w:tcW w:w="376" w:type="pct"/>
            <w:vAlign w:val="center"/>
          </w:tcPr>
          <w:p w14:paraId="20C7B664">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eastAsia="zh-CN"/>
              </w:rPr>
              <w:t>乙酸</w:t>
            </w:r>
          </w:p>
        </w:tc>
        <w:tc>
          <w:tcPr>
            <w:tcW w:w="436" w:type="pct"/>
            <w:vAlign w:val="center"/>
          </w:tcPr>
          <w:p w14:paraId="07C3261C">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64-19-7</w:t>
            </w:r>
          </w:p>
        </w:tc>
        <w:tc>
          <w:tcPr>
            <w:tcW w:w="307" w:type="pct"/>
            <w:vAlign w:val="center"/>
          </w:tcPr>
          <w:p w14:paraId="420566A1">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液体</w:t>
            </w:r>
          </w:p>
        </w:tc>
        <w:tc>
          <w:tcPr>
            <w:tcW w:w="364" w:type="pct"/>
            <w:vAlign w:val="center"/>
          </w:tcPr>
          <w:p w14:paraId="1B663303">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rPr>
            </w:pPr>
          </w:p>
        </w:tc>
        <w:tc>
          <w:tcPr>
            <w:tcW w:w="404" w:type="pct"/>
            <w:vAlign w:val="center"/>
          </w:tcPr>
          <w:p w14:paraId="2BB2B17A">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50</w:t>
            </w:r>
            <w:r>
              <w:rPr>
                <w:rFonts w:hint="eastAsia" w:cs="宋体"/>
                <w:color w:val="000000" w:themeColor="text1"/>
                <w:kern w:val="0"/>
                <w:sz w:val="21"/>
                <w:szCs w:val="21"/>
                <w:highlight w:val="none"/>
                <w:lang w:val="en-US" w:eastAsia="zh-CN"/>
              </w:rPr>
              <w:t>L</w:t>
            </w:r>
            <w:r>
              <w:rPr>
                <w:rFonts w:hint="eastAsia" w:ascii="宋体" w:hAnsi="宋体" w:eastAsia="宋体" w:cs="宋体"/>
                <w:color w:val="000000" w:themeColor="text1"/>
                <w:kern w:val="0"/>
                <w:sz w:val="21"/>
                <w:szCs w:val="21"/>
                <w:highlight w:val="none"/>
              </w:rPr>
              <w:t>/</w:t>
            </w:r>
            <w:r>
              <w:rPr>
                <w:rFonts w:hint="eastAsia" w:ascii="宋体" w:hAnsi="宋体" w:eastAsia="宋体" w:cs="宋体"/>
                <w:color w:val="000000" w:themeColor="text1"/>
                <w:kern w:val="0"/>
                <w:sz w:val="21"/>
                <w:szCs w:val="21"/>
                <w:highlight w:val="none"/>
                <w:lang w:eastAsia="zh-CN"/>
              </w:rPr>
              <w:t>塑料</w:t>
            </w:r>
            <w:r>
              <w:rPr>
                <w:rFonts w:hint="eastAsia" w:ascii="宋体" w:hAnsi="宋体" w:eastAsia="宋体" w:cs="宋体"/>
                <w:color w:val="000000" w:themeColor="text1"/>
                <w:kern w:val="0"/>
                <w:sz w:val="21"/>
                <w:szCs w:val="21"/>
                <w:highlight w:val="none"/>
              </w:rPr>
              <w:t>桶</w:t>
            </w:r>
          </w:p>
        </w:tc>
        <w:tc>
          <w:tcPr>
            <w:tcW w:w="533" w:type="pct"/>
            <w:vAlign w:val="center"/>
          </w:tcPr>
          <w:p w14:paraId="30C0793D">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lang w:eastAsia="zh-CN"/>
              </w:rPr>
              <w:t>危险化学品备货库房</w:t>
            </w:r>
            <w:r>
              <w:rPr>
                <w:rFonts w:hint="eastAsia" w:ascii="宋体" w:hAnsi="宋体" w:eastAsia="宋体" w:cs="宋体"/>
                <w:color w:val="000000" w:themeColor="text1"/>
                <w:sz w:val="21"/>
                <w:szCs w:val="21"/>
                <w:highlight w:val="none"/>
                <w:lang w:val="en-US" w:eastAsia="zh-CN"/>
              </w:rPr>
              <w:t>1#隔间</w:t>
            </w:r>
          </w:p>
        </w:tc>
        <w:tc>
          <w:tcPr>
            <w:tcW w:w="331" w:type="pct"/>
            <w:vAlign w:val="center"/>
          </w:tcPr>
          <w:p w14:paraId="2CD9D2B2">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0.9</w:t>
            </w:r>
          </w:p>
        </w:tc>
        <w:tc>
          <w:tcPr>
            <w:tcW w:w="275" w:type="pct"/>
            <w:vAlign w:val="center"/>
          </w:tcPr>
          <w:p w14:paraId="14438594">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染色助剂</w:t>
            </w:r>
          </w:p>
        </w:tc>
        <w:tc>
          <w:tcPr>
            <w:tcW w:w="242" w:type="pct"/>
            <w:vAlign w:val="center"/>
          </w:tcPr>
          <w:p w14:paraId="7621CBD4">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lang w:val="en-US" w:eastAsia="zh-CN"/>
              </w:rPr>
              <w:t>漂染车间</w:t>
            </w:r>
          </w:p>
        </w:tc>
        <w:tc>
          <w:tcPr>
            <w:tcW w:w="533" w:type="pct"/>
            <w:vAlign w:val="center"/>
          </w:tcPr>
          <w:p w14:paraId="2C8739D8">
            <w:pPr>
              <w:widowControl w:val="0"/>
              <w:adjustRightInd w:val="0"/>
              <w:snapToGrid w:val="0"/>
              <w:jc w:val="center"/>
              <w:rPr>
                <w:rFonts w:hint="default"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0.</w:t>
            </w:r>
            <w:r>
              <w:rPr>
                <w:rFonts w:hint="eastAsia" w:cs="宋体"/>
                <w:color w:val="000000" w:themeColor="text1"/>
                <w:kern w:val="0"/>
                <w:sz w:val="21"/>
                <w:szCs w:val="21"/>
                <w:highlight w:val="none"/>
                <w:lang w:val="en-US" w:eastAsia="zh-CN"/>
              </w:rPr>
              <w:t>08</w:t>
            </w:r>
          </w:p>
        </w:tc>
        <w:tc>
          <w:tcPr>
            <w:tcW w:w="469" w:type="pct"/>
            <w:vAlign w:val="center"/>
          </w:tcPr>
          <w:p w14:paraId="5CA8A676">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rPr>
            </w:pPr>
          </w:p>
        </w:tc>
        <w:tc>
          <w:tcPr>
            <w:tcW w:w="320" w:type="pct"/>
            <w:vAlign w:val="center"/>
          </w:tcPr>
          <w:p w14:paraId="0501DF95">
            <w:pPr>
              <w:widowControl w:val="0"/>
              <w:adjustRightInd w:val="0"/>
              <w:snapToGrid w:val="0"/>
              <w:jc w:val="center"/>
              <w:rPr>
                <w:rFonts w:hint="eastAsia" w:ascii="宋体" w:hAnsi="宋体" w:eastAsia="宋体" w:cs="宋体"/>
                <w:color w:val="000000" w:themeColor="text1"/>
                <w:kern w:val="0"/>
                <w:sz w:val="21"/>
                <w:szCs w:val="21"/>
                <w:highlight w:val="none"/>
              </w:rPr>
            </w:pPr>
          </w:p>
        </w:tc>
        <w:tc>
          <w:tcPr>
            <w:tcW w:w="222" w:type="pct"/>
            <w:vAlign w:val="center"/>
          </w:tcPr>
          <w:p w14:paraId="6797A643">
            <w:pPr>
              <w:widowControl w:val="0"/>
              <w:adjustRightInd w:val="0"/>
              <w:snapToGrid w:val="0"/>
              <w:jc w:val="center"/>
              <w:rPr>
                <w:rFonts w:hint="default" w:ascii="宋体" w:hAnsi="宋体" w:eastAsia="宋体" w:cs="宋体"/>
                <w:color w:val="000000" w:themeColor="text1"/>
                <w:kern w:val="0"/>
                <w:sz w:val="21"/>
                <w:szCs w:val="21"/>
                <w:highlight w:val="none"/>
                <w:lang w:val="en-US" w:eastAsia="zh-CN"/>
              </w:rPr>
            </w:pPr>
            <w:r>
              <w:rPr>
                <w:rFonts w:hint="eastAsia" w:cs="宋体"/>
                <w:color w:val="000000" w:themeColor="text1"/>
                <w:kern w:val="0"/>
                <w:sz w:val="21"/>
                <w:szCs w:val="21"/>
                <w:highlight w:val="none"/>
                <w:lang w:val="en-US" w:eastAsia="zh-CN"/>
              </w:rPr>
              <w:t>17</w:t>
            </w:r>
          </w:p>
        </w:tc>
      </w:tr>
      <w:tr w14:paraId="2FDF9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0" w:type="pct"/>
            <w:shd w:val="clear" w:color="auto" w:fill="auto"/>
            <w:vAlign w:val="center"/>
          </w:tcPr>
          <w:p w14:paraId="711A4316">
            <w:pPr>
              <w:widowControl w:val="0"/>
              <w:numPr>
                <w:ilvl w:val="0"/>
                <w:numId w:val="12"/>
              </w:numPr>
              <w:adjustRightInd w:val="0"/>
              <w:snapToGrid w:val="0"/>
              <w:jc w:val="center"/>
              <w:rPr>
                <w:rFonts w:hint="eastAsia" w:ascii="宋体" w:hAnsi="宋体" w:eastAsia="宋体" w:cs="宋体"/>
                <w:color w:val="000000" w:themeColor="text1"/>
                <w:kern w:val="0"/>
                <w:sz w:val="21"/>
                <w:szCs w:val="21"/>
                <w:highlight w:val="none"/>
              </w:rPr>
            </w:pPr>
          </w:p>
        </w:tc>
        <w:tc>
          <w:tcPr>
            <w:tcW w:w="376" w:type="pct"/>
            <w:vAlign w:val="center"/>
          </w:tcPr>
          <w:p w14:paraId="1F4D741C">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保险粉</w:t>
            </w:r>
          </w:p>
        </w:tc>
        <w:tc>
          <w:tcPr>
            <w:tcW w:w="436" w:type="pct"/>
            <w:vAlign w:val="center"/>
          </w:tcPr>
          <w:p w14:paraId="364EE1A1">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7775-14-6</w:t>
            </w:r>
          </w:p>
        </w:tc>
        <w:tc>
          <w:tcPr>
            <w:tcW w:w="307" w:type="pct"/>
            <w:vAlign w:val="center"/>
          </w:tcPr>
          <w:p w14:paraId="790603C7">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cs="宋体"/>
                <w:color w:val="000000" w:themeColor="text1"/>
                <w:kern w:val="0"/>
                <w:sz w:val="21"/>
                <w:szCs w:val="21"/>
                <w:highlight w:val="none"/>
                <w:lang w:eastAsia="zh-CN"/>
              </w:rPr>
              <w:t>粉末</w:t>
            </w:r>
          </w:p>
        </w:tc>
        <w:tc>
          <w:tcPr>
            <w:tcW w:w="364" w:type="pct"/>
            <w:vAlign w:val="center"/>
          </w:tcPr>
          <w:p w14:paraId="4E33A97F">
            <w:pPr>
              <w:widowControl w:val="0"/>
              <w:adjustRightInd w:val="0"/>
              <w:snapToGrid w:val="0"/>
              <w:jc w:val="center"/>
              <w:rPr>
                <w:rFonts w:hint="eastAsia" w:ascii="宋体" w:hAnsi="宋体" w:eastAsia="宋体" w:cs="宋体"/>
                <w:color w:val="000000" w:themeColor="text1"/>
                <w:kern w:val="0"/>
                <w:sz w:val="21"/>
                <w:szCs w:val="21"/>
                <w:highlight w:val="none"/>
              </w:rPr>
            </w:pPr>
          </w:p>
        </w:tc>
        <w:tc>
          <w:tcPr>
            <w:tcW w:w="404" w:type="pct"/>
            <w:vAlign w:val="center"/>
          </w:tcPr>
          <w:p w14:paraId="387BD017">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50</w:t>
            </w:r>
            <w:r>
              <w:rPr>
                <w:rFonts w:hint="eastAsia" w:ascii="宋体" w:hAnsi="宋体" w:eastAsia="宋体" w:cs="宋体"/>
                <w:color w:val="000000" w:themeColor="text1"/>
                <w:kern w:val="0"/>
                <w:sz w:val="21"/>
                <w:szCs w:val="21"/>
                <w:highlight w:val="none"/>
                <w:lang w:eastAsia="zh-CN"/>
              </w:rPr>
              <w:t>kg</w:t>
            </w:r>
            <w:r>
              <w:rPr>
                <w:rFonts w:hint="eastAsia" w:ascii="宋体" w:hAnsi="宋体" w:eastAsia="宋体" w:cs="宋体"/>
                <w:color w:val="000000" w:themeColor="text1"/>
                <w:kern w:val="0"/>
                <w:sz w:val="21"/>
                <w:szCs w:val="21"/>
                <w:highlight w:val="none"/>
              </w:rPr>
              <w:t>/</w:t>
            </w:r>
            <w:r>
              <w:rPr>
                <w:rFonts w:hint="eastAsia" w:ascii="宋体" w:hAnsi="宋体" w:eastAsia="宋体" w:cs="宋体"/>
                <w:color w:val="000000" w:themeColor="text1"/>
                <w:kern w:val="0"/>
                <w:sz w:val="21"/>
                <w:szCs w:val="21"/>
                <w:highlight w:val="none"/>
                <w:lang w:eastAsia="zh-CN"/>
              </w:rPr>
              <w:t>铁</w:t>
            </w:r>
            <w:r>
              <w:rPr>
                <w:rFonts w:hint="eastAsia" w:ascii="宋体" w:hAnsi="宋体" w:eastAsia="宋体" w:cs="宋体"/>
                <w:color w:val="000000" w:themeColor="text1"/>
                <w:kern w:val="0"/>
                <w:sz w:val="21"/>
                <w:szCs w:val="21"/>
                <w:highlight w:val="none"/>
              </w:rPr>
              <w:t>桶</w:t>
            </w:r>
          </w:p>
        </w:tc>
        <w:tc>
          <w:tcPr>
            <w:tcW w:w="533" w:type="pct"/>
            <w:vAlign w:val="center"/>
          </w:tcPr>
          <w:p w14:paraId="70430875">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lang w:eastAsia="zh-CN"/>
              </w:rPr>
              <w:t>危险化学品备货库房</w:t>
            </w:r>
            <w:r>
              <w:rPr>
                <w:rFonts w:hint="eastAsia" w:ascii="宋体" w:hAnsi="宋体" w:eastAsia="宋体" w:cs="宋体"/>
                <w:color w:val="000000" w:themeColor="text1"/>
                <w:sz w:val="21"/>
                <w:szCs w:val="21"/>
                <w:highlight w:val="none"/>
                <w:lang w:val="en-US" w:eastAsia="zh-CN"/>
              </w:rPr>
              <w:t>2#隔间</w:t>
            </w:r>
          </w:p>
        </w:tc>
        <w:tc>
          <w:tcPr>
            <w:tcW w:w="331" w:type="pct"/>
            <w:vAlign w:val="center"/>
          </w:tcPr>
          <w:p w14:paraId="429608D1">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1</w:t>
            </w:r>
          </w:p>
        </w:tc>
        <w:tc>
          <w:tcPr>
            <w:tcW w:w="275" w:type="pct"/>
            <w:vAlign w:val="center"/>
          </w:tcPr>
          <w:p w14:paraId="5C589DBB">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染色助剂</w:t>
            </w:r>
          </w:p>
        </w:tc>
        <w:tc>
          <w:tcPr>
            <w:tcW w:w="242" w:type="pct"/>
            <w:vAlign w:val="center"/>
          </w:tcPr>
          <w:p w14:paraId="39C21031">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lang w:val="en-US" w:eastAsia="zh-CN"/>
              </w:rPr>
              <w:t>漂染车间</w:t>
            </w:r>
          </w:p>
        </w:tc>
        <w:tc>
          <w:tcPr>
            <w:tcW w:w="533" w:type="pct"/>
            <w:vAlign w:val="center"/>
          </w:tcPr>
          <w:p w14:paraId="7C012A65">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0.05</w:t>
            </w:r>
          </w:p>
        </w:tc>
        <w:tc>
          <w:tcPr>
            <w:tcW w:w="469" w:type="pct"/>
            <w:vAlign w:val="center"/>
          </w:tcPr>
          <w:p w14:paraId="1779B2A5">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rPr>
            </w:pPr>
          </w:p>
        </w:tc>
        <w:tc>
          <w:tcPr>
            <w:tcW w:w="320" w:type="pct"/>
            <w:vAlign w:val="center"/>
          </w:tcPr>
          <w:p w14:paraId="2C1BAF7F">
            <w:pPr>
              <w:widowControl w:val="0"/>
              <w:adjustRightInd w:val="0"/>
              <w:snapToGrid w:val="0"/>
              <w:jc w:val="center"/>
              <w:rPr>
                <w:rFonts w:hint="eastAsia" w:ascii="宋体" w:hAnsi="宋体" w:eastAsia="宋体" w:cs="宋体"/>
                <w:color w:val="000000" w:themeColor="text1"/>
                <w:kern w:val="0"/>
                <w:sz w:val="21"/>
                <w:szCs w:val="21"/>
                <w:highlight w:val="none"/>
              </w:rPr>
            </w:pPr>
          </w:p>
        </w:tc>
        <w:tc>
          <w:tcPr>
            <w:tcW w:w="222" w:type="pct"/>
            <w:vAlign w:val="center"/>
          </w:tcPr>
          <w:p w14:paraId="502704CD">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rPr>
            </w:pPr>
            <w:r>
              <w:rPr>
                <w:rFonts w:hint="eastAsia" w:cs="宋体"/>
                <w:color w:val="000000" w:themeColor="text1"/>
                <w:kern w:val="0"/>
                <w:sz w:val="21"/>
                <w:szCs w:val="21"/>
                <w:highlight w:val="none"/>
                <w:lang w:val="en-US" w:eastAsia="zh-CN"/>
              </w:rPr>
              <w:t>6</w:t>
            </w:r>
          </w:p>
        </w:tc>
      </w:tr>
      <w:tr w14:paraId="2B156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0" w:type="pct"/>
            <w:shd w:val="clear" w:color="auto" w:fill="auto"/>
            <w:vAlign w:val="center"/>
          </w:tcPr>
          <w:p w14:paraId="2A5B316D">
            <w:pPr>
              <w:widowControl w:val="0"/>
              <w:numPr>
                <w:ilvl w:val="0"/>
                <w:numId w:val="12"/>
              </w:numPr>
              <w:adjustRightInd w:val="0"/>
              <w:snapToGrid w:val="0"/>
              <w:jc w:val="center"/>
              <w:rPr>
                <w:rFonts w:hint="eastAsia" w:ascii="宋体" w:hAnsi="宋体" w:eastAsia="宋体" w:cs="宋体"/>
                <w:color w:val="000000" w:themeColor="text1"/>
                <w:kern w:val="0"/>
                <w:sz w:val="21"/>
                <w:szCs w:val="21"/>
                <w:highlight w:val="none"/>
              </w:rPr>
            </w:pPr>
          </w:p>
        </w:tc>
        <w:tc>
          <w:tcPr>
            <w:tcW w:w="376" w:type="pct"/>
            <w:vAlign w:val="center"/>
          </w:tcPr>
          <w:p w14:paraId="12D13DC3">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过碳酸钠</w:t>
            </w:r>
          </w:p>
        </w:tc>
        <w:tc>
          <w:tcPr>
            <w:tcW w:w="436" w:type="pct"/>
            <w:vAlign w:val="center"/>
          </w:tcPr>
          <w:p w14:paraId="268A7B8F">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15630-89-4</w:t>
            </w:r>
          </w:p>
        </w:tc>
        <w:tc>
          <w:tcPr>
            <w:tcW w:w="307" w:type="pct"/>
            <w:vAlign w:val="center"/>
          </w:tcPr>
          <w:p w14:paraId="08F0F616">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粉末</w:t>
            </w:r>
          </w:p>
        </w:tc>
        <w:tc>
          <w:tcPr>
            <w:tcW w:w="364" w:type="pct"/>
            <w:vAlign w:val="center"/>
          </w:tcPr>
          <w:p w14:paraId="34446C4D">
            <w:pPr>
              <w:widowControl w:val="0"/>
              <w:adjustRightInd w:val="0"/>
              <w:snapToGrid w:val="0"/>
              <w:jc w:val="center"/>
              <w:rPr>
                <w:rFonts w:hint="eastAsia" w:ascii="宋体" w:hAnsi="宋体" w:eastAsia="宋体" w:cs="宋体"/>
                <w:color w:val="000000" w:themeColor="text1"/>
                <w:kern w:val="0"/>
                <w:sz w:val="21"/>
                <w:szCs w:val="21"/>
                <w:highlight w:val="none"/>
              </w:rPr>
            </w:pPr>
          </w:p>
        </w:tc>
        <w:tc>
          <w:tcPr>
            <w:tcW w:w="404" w:type="pct"/>
            <w:vAlign w:val="center"/>
          </w:tcPr>
          <w:p w14:paraId="64B81435">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25</w:t>
            </w:r>
            <w:r>
              <w:rPr>
                <w:rFonts w:hint="eastAsia" w:ascii="宋体" w:hAnsi="宋体" w:eastAsia="宋体" w:cs="宋体"/>
                <w:color w:val="000000" w:themeColor="text1"/>
                <w:kern w:val="0"/>
                <w:sz w:val="21"/>
                <w:szCs w:val="21"/>
                <w:highlight w:val="none"/>
                <w:lang w:eastAsia="zh-CN"/>
              </w:rPr>
              <w:t>kg</w:t>
            </w:r>
            <w:r>
              <w:rPr>
                <w:rFonts w:hint="eastAsia" w:ascii="宋体" w:hAnsi="宋体" w:eastAsia="宋体" w:cs="宋体"/>
                <w:color w:val="000000" w:themeColor="text1"/>
                <w:kern w:val="0"/>
                <w:sz w:val="21"/>
                <w:szCs w:val="21"/>
                <w:highlight w:val="none"/>
              </w:rPr>
              <w:t>/包</w:t>
            </w:r>
          </w:p>
        </w:tc>
        <w:tc>
          <w:tcPr>
            <w:tcW w:w="533" w:type="pct"/>
            <w:vAlign w:val="center"/>
          </w:tcPr>
          <w:p w14:paraId="4C2F00B4">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lang w:eastAsia="zh-CN"/>
              </w:rPr>
              <w:t>危险化学品备货库房</w:t>
            </w:r>
            <w:r>
              <w:rPr>
                <w:rFonts w:hint="eastAsia" w:ascii="宋体" w:hAnsi="宋体" w:eastAsia="宋体" w:cs="宋体"/>
                <w:color w:val="000000" w:themeColor="text1"/>
                <w:sz w:val="21"/>
                <w:szCs w:val="21"/>
                <w:highlight w:val="none"/>
                <w:lang w:val="en-US" w:eastAsia="zh-CN"/>
              </w:rPr>
              <w:t>1#隔间</w:t>
            </w:r>
          </w:p>
        </w:tc>
        <w:tc>
          <w:tcPr>
            <w:tcW w:w="331" w:type="pct"/>
            <w:vAlign w:val="center"/>
          </w:tcPr>
          <w:p w14:paraId="6E307132">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0.1</w:t>
            </w:r>
          </w:p>
        </w:tc>
        <w:tc>
          <w:tcPr>
            <w:tcW w:w="275" w:type="pct"/>
            <w:vAlign w:val="center"/>
          </w:tcPr>
          <w:p w14:paraId="6CA47A86">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染色助剂</w:t>
            </w:r>
          </w:p>
        </w:tc>
        <w:tc>
          <w:tcPr>
            <w:tcW w:w="242" w:type="pct"/>
            <w:vAlign w:val="center"/>
          </w:tcPr>
          <w:p w14:paraId="48B77207">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lang w:val="en-US" w:eastAsia="zh-CN"/>
              </w:rPr>
              <w:t>漂染车间</w:t>
            </w:r>
          </w:p>
        </w:tc>
        <w:tc>
          <w:tcPr>
            <w:tcW w:w="533" w:type="pct"/>
            <w:vAlign w:val="center"/>
          </w:tcPr>
          <w:p w14:paraId="50C74E2B">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w:t>
            </w:r>
          </w:p>
        </w:tc>
        <w:tc>
          <w:tcPr>
            <w:tcW w:w="469" w:type="pct"/>
            <w:vAlign w:val="center"/>
          </w:tcPr>
          <w:p w14:paraId="3B628420">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rPr>
            </w:pPr>
          </w:p>
        </w:tc>
        <w:tc>
          <w:tcPr>
            <w:tcW w:w="320" w:type="pct"/>
            <w:vAlign w:val="center"/>
          </w:tcPr>
          <w:p w14:paraId="65F2C5E4">
            <w:pPr>
              <w:widowControl w:val="0"/>
              <w:adjustRightInd w:val="0"/>
              <w:snapToGrid w:val="0"/>
              <w:jc w:val="center"/>
              <w:rPr>
                <w:rFonts w:hint="eastAsia" w:ascii="宋体" w:hAnsi="宋体" w:eastAsia="宋体" w:cs="宋体"/>
                <w:color w:val="000000" w:themeColor="text1"/>
                <w:kern w:val="0"/>
                <w:sz w:val="21"/>
                <w:szCs w:val="21"/>
                <w:highlight w:val="none"/>
              </w:rPr>
            </w:pPr>
          </w:p>
        </w:tc>
        <w:tc>
          <w:tcPr>
            <w:tcW w:w="222" w:type="pct"/>
            <w:vAlign w:val="center"/>
          </w:tcPr>
          <w:p w14:paraId="1EF0A3F1">
            <w:pPr>
              <w:widowControl w:val="0"/>
              <w:adjustRightInd w:val="0"/>
              <w:snapToGrid w:val="0"/>
              <w:jc w:val="center"/>
              <w:rPr>
                <w:rFonts w:hint="default" w:ascii="宋体" w:hAnsi="宋体" w:eastAsia="宋体" w:cs="宋体"/>
                <w:color w:val="000000" w:themeColor="text1"/>
                <w:kern w:val="0"/>
                <w:sz w:val="21"/>
                <w:szCs w:val="21"/>
                <w:highlight w:val="none"/>
                <w:lang w:val="en-US" w:eastAsia="zh-CN"/>
              </w:rPr>
            </w:pPr>
            <w:r>
              <w:rPr>
                <w:rFonts w:hint="eastAsia" w:cs="宋体"/>
                <w:color w:val="000000" w:themeColor="text1"/>
                <w:kern w:val="0"/>
                <w:sz w:val="21"/>
                <w:szCs w:val="21"/>
                <w:highlight w:val="none"/>
                <w:lang w:val="en-US" w:eastAsia="zh-CN"/>
              </w:rPr>
              <w:t>30</w:t>
            </w:r>
          </w:p>
        </w:tc>
      </w:tr>
      <w:tr w14:paraId="67DA4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0" w:type="pct"/>
            <w:shd w:val="clear" w:color="auto" w:fill="auto"/>
            <w:vAlign w:val="center"/>
          </w:tcPr>
          <w:p w14:paraId="0CBF36D2">
            <w:pPr>
              <w:widowControl w:val="0"/>
              <w:numPr>
                <w:ilvl w:val="0"/>
                <w:numId w:val="12"/>
              </w:numPr>
              <w:adjustRightInd w:val="0"/>
              <w:snapToGrid w:val="0"/>
              <w:jc w:val="center"/>
              <w:rPr>
                <w:rFonts w:hint="eastAsia" w:ascii="宋体" w:hAnsi="宋体" w:eastAsia="宋体" w:cs="宋体"/>
                <w:color w:val="000000" w:themeColor="text1"/>
                <w:kern w:val="0"/>
                <w:sz w:val="21"/>
                <w:szCs w:val="21"/>
                <w:highlight w:val="none"/>
              </w:rPr>
            </w:pPr>
          </w:p>
        </w:tc>
        <w:tc>
          <w:tcPr>
            <w:tcW w:w="376" w:type="pct"/>
            <w:vAlign w:val="center"/>
          </w:tcPr>
          <w:p w14:paraId="7D68B850">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次氯酸钠</w:t>
            </w:r>
            <w:r>
              <w:rPr>
                <w:rFonts w:hint="eastAsia" w:ascii="宋体" w:hAnsi="宋体" w:eastAsia="宋体" w:cs="宋体"/>
                <w:color w:val="000000" w:themeColor="text1"/>
                <w:kern w:val="0"/>
                <w:sz w:val="21"/>
                <w:szCs w:val="21"/>
                <w:highlight w:val="none"/>
                <w:lang w:eastAsia="zh-CN"/>
              </w:rPr>
              <w:t>溶液</w:t>
            </w:r>
          </w:p>
        </w:tc>
        <w:tc>
          <w:tcPr>
            <w:tcW w:w="436" w:type="pct"/>
            <w:vAlign w:val="center"/>
          </w:tcPr>
          <w:p w14:paraId="021B923F">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7681-52-9</w:t>
            </w:r>
          </w:p>
        </w:tc>
        <w:tc>
          <w:tcPr>
            <w:tcW w:w="307" w:type="pct"/>
            <w:vAlign w:val="center"/>
          </w:tcPr>
          <w:p w14:paraId="4A366650">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液体</w:t>
            </w:r>
          </w:p>
        </w:tc>
        <w:tc>
          <w:tcPr>
            <w:tcW w:w="364" w:type="pct"/>
            <w:vAlign w:val="center"/>
          </w:tcPr>
          <w:p w14:paraId="1BEED995">
            <w:pPr>
              <w:widowControl w:val="0"/>
              <w:adjustRightInd w:val="0"/>
              <w:snapToGrid w:val="0"/>
              <w:jc w:val="center"/>
              <w:rPr>
                <w:rFonts w:hint="eastAsia" w:ascii="宋体" w:hAnsi="宋体" w:eastAsia="宋体" w:cs="宋体"/>
                <w:color w:val="000000" w:themeColor="text1"/>
                <w:kern w:val="0"/>
                <w:sz w:val="21"/>
                <w:szCs w:val="21"/>
                <w:highlight w:val="none"/>
              </w:rPr>
            </w:pPr>
          </w:p>
        </w:tc>
        <w:tc>
          <w:tcPr>
            <w:tcW w:w="404" w:type="pct"/>
            <w:vAlign w:val="center"/>
          </w:tcPr>
          <w:p w14:paraId="395085CE">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25</w:t>
            </w:r>
            <w:r>
              <w:rPr>
                <w:rFonts w:hint="eastAsia" w:cs="宋体"/>
                <w:color w:val="000000" w:themeColor="text1"/>
                <w:kern w:val="0"/>
                <w:sz w:val="21"/>
                <w:szCs w:val="21"/>
                <w:highlight w:val="none"/>
                <w:lang w:val="en-US" w:eastAsia="zh-CN"/>
              </w:rPr>
              <w:t>L</w:t>
            </w:r>
            <w:r>
              <w:rPr>
                <w:rFonts w:hint="eastAsia" w:ascii="宋体" w:hAnsi="宋体" w:eastAsia="宋体" w:cs="宋体"/>
                <w:color w:val="000000" w:themeColor="text1"/>
                <w:kern w:val="0"/>
                <w:sz w:val="21"/>
                <w:szCs w:val="21"/>
                <w:highlight w:val="none"/>
              </w:rPr>
              <w:t>/</w:t>
            </w:r>
            <w:r>
              <w:rPr>
                <w:rFonts w:hint="eastAsia" w:ascii="宋体" w:hAnsi="宋体" w:eastAsia="宋体" w:cs="宋体"/>
                <w:color w:val="000000" w:themeColor="text1"/>
                <w:kern w:val="0"/>
                <w:sz w:val="21"/>
                <w:szCs w:val="21"/>
                <w:highlight w:val="none"/>
                <w:lang w:eastAsia="zh-CN"/>
              </w:rPr>
              <w:t>塑料</w:t>
            </w:r>
            <w:r>
              <w:rPr>
                <w:rFonts w:hint="eastAsia" w:ascii="宋体" w:hAnsi="宋体" w:eastAsia="宋体" w:cs="宋体"/>
                <w:color w:val="000000" w:themeColor="text1"/>
                <w:kern w:val="0"/>
                <w:sz w:val="21"/>
                <w:szCs w:val="21"/>
                <w:highlight w:val="none"/>
              </w:rPr>
              <w:t>桶</w:t>
            </w:r>
          </w:p>
        </w:tc>
        <w:tc>
          <w:tcPr>
            <w:tcW w:w="533" w:type="pct"/>
            <w:vAlign w:val="center"/>
          </w:tcPr>
          <w:p w14:paraId="2D6161E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kern w:val="0"/>
                <w:sz w:val="21"/>
                <w:szCs w:val="21"/>
                <w:highlight w:val="none"/>
              </w:rPr>
            </w:pPr>
            <w:r>
              <w:rPr>
                <w:rFonts w:hint="eastAsia"/>
                <w:color w:val="000000" w:themeColor="text1"/>
                <w:sz w:val="21"/>
                <w:szCs w:val="21"/>
                <w:highlight w:val="none"/>
              </w:rPr>
              <w:t>废水处理站</w:t>
            </w:r>
            <w:r>
              <w:rPr>
                <w:rFonts w:hint="eastAsia" w:ascii="宋体" w:hAnsi="宋体" w:eastAsia="宋体" w:cs="宋体"/>
                <w:color w:val="000000" w:themeColor="text1"/>
                <w:spacing w:val="0"/>
                <w:sz w:val="21"/>
                <w:szCs w:val="21"/>
                <w:highlight w:val="none"/>
              </w:rPr>
              <w:t>药剂房</w:t>
            </w:r>
          </w:p>
        </w:tc>
        <w:tc>
          <w:tcPr>
            <w:tcW w:w="331" w:type="pct"/>
            <w:vAlign w:val="center"/>
          </w:tcPr>
          <w:p w14:paraId="6BB55E1E">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0.8</w:t>
            </w:r>
          </w:p>
        </w:tc>
        <w:tc>
          <w:tcPr>
            <w:tcW w:w="275" w:type="pct"/>
            <w:vAlign w:val="center"/>
          </w:tcPr>
          <w:p w14:paraId="62298139">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废水</w:t>
            </w:r>
            <w:r>
              <w:rPr>
                <w:rFonts w:hint="eastAsia" w:ascii="宋体" w:hAnsi="宋体" w:eastAsia="宋体" w:cs="宋体"/>
                <w:color w:val="000000" w:themeColor="text1"/>
                <w:kern w:val="0"/>
                <w:sz w:val="21"/>
                <w:szCs w:val="21"/>
                <w:highlight w:val="none"/>
              </w:rPr>
              <w:t>中和</w:t>
            </w:r>
          </w:p>
        </w:tc>
        <w:tc>
          <w:tcPr>
            <w:tcW w:w="242" w:type="pct"/>
            <w:vAlign w:val="center"/>
          </w:tcPr>
          <w:p w14:paraId="6B629297">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lang w:val="en-US" w:eastAsia="zh-CN"/>
              </w:rPr>
              <w:t>废水处理站</w:t>
            </w:r>
          </w:p>
        </w:tc>
        <w:tc>
          <w:tcPr>
            <w:tcW w:w="533" w:type="pct"/>
            <w:vAlign w:val="center"/>
          </w:tcPr>
          <w:p w14:paraId="2DDFF3BF">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w:t>
            </w:r>
          </w:p>
        </w:tc>
        <w:tc>
          <w:tcPr>
            <w:tcW w:w="469" w:type="pct"/>
            <w:vAlign w:val="center"/>
          </w:tcPr>
          <w:p w14:paraId="270E0743">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rPr>
            </w:pPr>
          </w:p>
        </w:tc>
        <w:tc>
          <w:tcPr>
            <w:tcW w:w="320" w:type="pct"/>
            <w:vAlign w:val="center"/>
          </w:tcPr>
          <w:p w14:paraId="75146B2A">
            <w:pPr>
              <w:widowControl w:val="0"/>
              <w:adjustRightInd w:val="0"/>
              <w:snapToGrid w:val="0"/>
              <w:jc w:val="center"/>
              <w:rPr>
                <w:rFonts w:hint="eastAsia" w:ascii="宋体" w:hAnsi="宋体" w:eastAsia="宋体" w:cs="宋体"/>
                <w:color w:val="000000" w:themeColor="text1"/>
                <w:kern w:val="0"/>
                <w:sz w:val="21"/>
                <w:szCs w:val="21"/>
                <w:highlight w:val="none"/>
              </w:rPr>
            </w:pPr>
          </w:p>
        </w:tc>
        <w:tc>
          <w:tcPr>
            <w:tcW w:w="222" w:type="pct"/>
            <w:vAlign w:val="center"/>
          </w:tcPr>
          <w:p w14:paraId="3753E25C">
            <w:pPr>
              <w:widowControl w:val="0"/>
              <w:adjustRightInd w:val="0"/>
              <w:snapToGrid w:val="0"/>
              <w:jc w:val="center"/>
              <w:rPr>
                <w:rFonts w:hint="default" w:ascii="宋体" w:hAnsi="宋体" w:eastAsia="宋体" w:cs="宋体"/>
                <w:color w:val="000000" w:themeColor="text1"/>
                <w:kern w:val="0"/>
                <w:sz w:val="21"/>
                <w:szCs w:val="21"/>
                <w:highlight w:val="none"/>
                <w:lang w:val="en-US" w:eastAsia="zh-CN"/>
              </w:rPr>
            </w:pPr>
            <w:r>
              <w:rPr>
                <w:rFonts w:hint="eastAsia" w:cs="宋体"/>
                <w:color w:val="000000" w:themeColor="text1"/>
                <w:kern w:val="0"/>
                <w:sz w:val="21"/>
                <w:szCs w:val="21"/>
                <w:highlight w:val="none"/>
                <w:lang w:val="en-US" w:eastAsia="zh-CN"/>
              </w:rPr>
              <w:t>40</w:t>
            </w:r>
          </w:p>
        </w:tc>
      </w:tr>
    </w:tbl>
    <w:p w14:paraId="0F73A992">
      <w:pPr>
        <w:keepNext w:val="0"/>
        <w:keepLines w:val="0"/>
        <w:pageBreakBefore w:val="0"/>
        <w:widowControl w:val="0"/>
        <w:numPr>
          <w:ilvl w:val="0"/>
          <w:numId w:val="13"/>
        </w:numPr>
        <w:kinsoku/>
        <w:wordWrap/>
        <w:overflowPunct/>
        <w:topLinePunct w:val="0"/>
        <w:autoSpaceDE/>
        <w:autoSpaceDN/>
        <w:bidi w:val="0"/>
        <w:adjustRightInd w:val="0"/>
        <w:snapToGrid w:val="0"/>
        <w:spacing w:before="164" w:beforeLines="50" w:line="360" w:lineRule="auto"/>
        <w:ind w:left="0" w:lef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lang w:eastAsia="zh-CN"/>
        </w:rPr>
        <w:t>危险化学品备货库房</w:t>
      </w:r>
    </w:p>
    <w:p w14:paraId="3FDB8943">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kern w:val="0"/>
          <w:sz w:val="28"/>
          <w:szCs w:val="28"/>
          <w:highlight w:val="none"/>
          <w:lang w:eastAsia="zh-CN"/>
        </w:rPr>
      </w:pPr>
      <w:r>
        <w:rPr>
          <w:rFonts w:hint="eastAsia" w:ascii="宋体" w:hAnsi="宋体" w:eastAsia="宋体" w:cs="宋体"/>
          <w:color w:val="000000" w:themeColor="text1"/>
          <w:sz w:val="28"/>
          <w:szCs w:val="28"/>
          <w:highlight w:val="none"/>
          <w:vertAlign w:val="baseline"/>
          <w:lang w:val="en-US" w:eastAsia="zh-CN"/>
        </w:rPr>
        <w:t>乙酸</w:t>
      </w:r>
      <w:r>
        <w:rPr>
          <w:rFonts w:hint="eastAsia" w:ascii="宋体" w:hAnsi="宋体" w:eastAsia="宋体" w:cs="宋体"/>
          <w:color w:val="000000" w:themeColor="text1"/>
          <w:sz w:val="28"/>
          <w:szCs w:val="28"/>
          <w:highlight w:val="none"/>
          <w:lang w:eastAsia="zh-CN"/>
        </w:rPr>
        <w:t>、</w:t>
      </w:r>
      <w:r>
        <w:rPr>
          <w:rFonts w:hint="eastAsia" w:ascii="宋体" w:hAnsi="宋体" w:eastAsia="宋体" w:cs="宋体"/>
          <w:color w:val="000000" w:themeColor="text1"/>
          <w:kern w:val="0"/>
          <w:sz w:val="28"/>
          <w:szCs w:val="28"/>
          <w:highlight w:val="none"/>
        </w:rPr>
        <w:t>过碳酸钠</w:t>
      </w:r>
      <w:r>
        <w:rPr>
          <w:rFonts w:hint="eastAsia" w:ascii="宋体" w:hAnsi="宋体" w:eastAsia="宋体" w:cs="宋体"/>
          <w:color w:val="000000" w:themeColor="text1"/>
          <w:kern w:val="0"/>
          <w:sz w:val="28"/>
          <w:szCs w:val="28"/>
          <w:highlight w:val="none"/>
          <w:lang w:eastAsia="zh-CN"/>
        </w:rPr>
        <w:t>和</w:t>
      </w:r>
      <w:r>
        <w:rPr>
          <w:rFonts w:hint="eastAsia" w:ascii="宋体" w:hAnsi="宋体" w:eastAsia="宋体" w:cs="宋体"/>
          <w:color w:val="000000" w:themeColor="text1"/>
          <w:kern w:val="0"/>
          <w:sz w:val="28"/>
          <w:szCs w:val="28"/>
          <w:highlight w:val="none"/>
        </w:rPr>
        <w:t>保险粉</w:t>
      </w:r>
      <w:r>
        <w:rPr>
          <w:rFonts w:hint="eastAsia" w:ascii="宋体" w:hAnsi="宋体" w:eastAsia="宋体" w:cs="宋体"/>
          <w:color w:val="000000" w:themeColor="text1"/>
          <w:kern w:val="0"/>
          <w:sz w:val="28"/>
          <w:szCs w:val="28"/>
          <w:highlight w:val="none"/>
          <w:lang w:eastAsia="zh-CN"/>
        </w:rPr>
        <w:t>由供应商</w:t>
      </w:r>
      <w:r>
        <w:rPr>
          <w:rFonts w:hint="eastAsia" w:cs="宋体"/>
          <w:color w:val="000000" w:themeColor="text1"/>
          <w:kern w:val="0"/>
          <w:sz w:val="28"/>
          <w:szCs w:val="28"/>
          <w:highlight w:val="none"/>
          <w:lang w:eastAsia="zh-CN"/>
        </w:rPr>
        <w:t>通过货车</w:t>
      </w:r>
      <w:r>
        <w:rPr>
          <w:rFonts w:hint="eastAsia" w:ascii="宋体" w:hAnsi="宋体" w:eastAsia="宋体" w:cs="宋体"/>
          <w:color w:val="000000" w:themeColor="text1"/>
          <w:kern w:val="0"/>
          <w:sz w:val="28"/>
          <w:szCs w:val="28"/>
          <w:highlight w:val="none"/>
          <w:lang w:eastAsia="zh-CN"/>
        </w:rPr>
        <w:t>运输至</w:t>
      </w:r>
      <w:r>
        <w:rPr>
          <w:rFonts w:hint="eastAsia" w:cs="宋体"/>
          <w:color w:val="000000" w:themeColor="text1"/>
          <w:kern w:val="0"/>
          <w:sz w:val="28"/>
          <w:szCs w:val="28"/>
          <w:highlight w:val="none"/>
          <w:lang w:eastAsia="zh-CN"/>
        </w:rPr>
        <w:t>漂染车间东北面道路上</w:t>
      </w:r>
      <w:r>
        <w:rPr>
          <w:rFonts w:hint="eastAsia" w:ascii="宋体" w:hAnsi="宋体" w:eastAsia="宋体" w:cs="宋体"/>
          <w:color w:val="000000" w:themeColor="text1"/>
          <w:kern w:val="0"/>
          <w:sz w:val="28"/>
          <w:szCs w:val="28"/>
          <w:highlight w:val="none"/>
          <w:lang w:eastAsia="zh-CN"/>
        </w:rPr>
        <w:t>，</w:t>
      </w:r>
      <w:r>
        <w:rPr>
          <w:rFonts w:hint="eastAsia" w:cs="宋体"/>
          <w:color w:val="000000" w:themeColor="text1"/>
          <w:kern w:val="0"/>
          <w:sz w:val="28"/>
          <w:szCs w:val="28"/>
          <w:highlight w:val="none"/>
          <w:lang w:eastAsia="zh-CN"/>
        </w:rPr>
        <w:t>卸车由</w:t>
      </w:r>
      <w:r>
        <w:rPr>
          <w:rFonts w:hint="eastAsia" w:ascii="宋体" w:hAnsi="宋体" w:eastAsia="宋体" w:cs="宋体"/>
          <w:color w:val="000000" w:themeColor="text1"/>
          <w:kern w:val="0"/>
          <w:sz w:val="28"/>
          <w:szCs w:val="28"/>
          <w:highlight w:val="none"/>
          <w:lang w:eastAsia="zh-CN"/>
        </w:rPr>
        <w:t>供应商</w:t>
      </w:r>
      <w:r>
        <w:rPr>
          <w:rFonts w:hint="eastAsia" w:cs="宋体"/>
          <w:color w:val="000000" w:themeColor="text1"/>
          <w:kern w:val="0"/>
          <w:sz w:val="28"/>
          <w:szCs w:val="28"/>
          <w:highlight w:val="none"/>
          <w:lang w:eastAsia="zh-CN"/>
        </w:rPr>
        <w:t>负责，卸车人员</w:t>
      </w:r>
      <w:r>
        <w:rPr>
          <w:rFonts w:hint="eastAsia" w:ascii="宋体" w:hAnsi="宋体" w:eastAsia="宋体" w:cs="宋体"/>
          <w:color w:val="000000" w:themeColor="text1"/>
          <w:kern w:val="0"/>
          <w:sz w:val="28"/>
          <w:szCs w:val="28"/>
          <w:highlight w:val="none"/>
          <w:lang w:eastAsia="zh-CN"/>
        </w:rPr>
        <w:t>佩戴好劳动防护用品后通过</w:t>
      </w:r>
      <w:r>
        <w:rPr>
          <w:rFonts w:hint="eastAsia" w:cs="宋体"/>
          <w:color w:val="000000" w:themeColor="text1"/>
          <w:kern w:val="0"/>
          <w:sz w:val="28"/>
          <w:szCs w:val="28"/>
          <w:highlight w:val="none"/>
          <w:lang w:eastAsia="zh-CN"/>
        </w:rPr>
        <w:t>人工</w:t>
      </w:r>
      <w:r>
        <w:rPr>
          <w:rFonts w:hint="eastAsia" w:ascii="宋体" w:hAnsi="宋体" w:eastAsia="宋体" w:cs="宋体"/>
          <w:color w:val="000000" w:themeColor="text1"/>
          <w:kern w:val="0"/>
          <w:sz w:val="28"/>
          <w:szCs w:val="28"/>
          <w:highlight w:val="none"/>
          <w:lang w:eastAsia="zh-CN"/>
        </w:rPr>
        <w:t>卸车，卸车过程由</w:t>
      </w:r>
      <w:r>
        <w:rPr>
          <w:rFonts w:hint="eastAsia" w:cs="宋体"/>
          <w:color w:val="000000" w:themeColor="text1"/>
          <w:kern w:val="0"/>
          <w:sz w:val="28"/>
          <w:szCs w:val="28"/>
          <w:highlight w:val="none"/>
          <w:lang w:eastAsia="zh-CN"/>
        </w:rPr>
        <w:t>华美线业人员</w:t>
      </w:r>
      <w:r>
        <w:rPr>
          <w:rFonts w:hint="eastAsia" w:ascii="宋体" w:hAnsi="宋体" w:eastAsia="宋体" w:cs="宋体"/>
          <w:color w:val="000000" w:themeColor="text1"/>
          <w:kern w:val="0"/>
          <w:sz w:val="28"/>
          <w:szCs w:val="28"/>
          <w:highlight w:val="none"/>
          <w:lang w:eastAsia="zh-CN"/>
        </w:rPr>
        <w:t>现场指挥和全程监护下进行。</w:t>
      </w:r>
    </w:p>
    <w:p w14:paraId="6F7A6EFE">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default" w:ascii="宋体" w:hAnsi="宋体" w:eastAsia="宋体" w:cs="宋体"/>
          <w:color w:val="000000" w:themeColor="text1"/>
          <w:kern w:val="0"/>
          <w:sz w:val="28"/>
          <w:szCs w:val="28"/>
          <w:highlight w:val="none"/>
          <w:lang w:val="en-US" w:eastAsia="zh-CN"/>
        </w:rPr>
      </w:pPr>
      <w:r>
        <w:rPr>
          <w:rFonts w:hint="eastAsia" w:cs="宋体"/>
          <w:color w:val="000000" w:themeColor="text1"/>
          <w:kern w:val="0"/>
          <w:sz w:val="28"/>
          <w:szCs w:val="28"/>
          <w:highlight w:val="none"/>
          <w:lang w:eastAsia="zh-CN"/>
        </w:rPr>
        <w:t>从</w:t>
      </w:r>
      <w:r>
        <w:rPr>
          <w:rFonts w:hint="eastAsia" w:ascii="宋体" w:hAnsi="宋体" w:eastAsia="宋体" w:cs="宋体"/>
          <w:color w:val="000000" w:themeColor="text1"/>
          <w:kern w:val="0"/>
          <w:sz w:val="28"/>
          <w:szCs w:val="28"/>
          <w:highlight w:val="none"/>
          <w:lang w:eastAsia="zh-CN"/>
        </w:rPr>
        <w:t>供应商</w:t>
      </w:r>
      <w:r>
        <w:rPr>
          <w:rFonts w:hint="eastAsia" w:cs="宋体"/>
          <w:color w:val="000000" w:themeColor="text1"/>
          <w:kern w:val="0"/>
          <w:sz w:val="28"/>
          <w:szCs w:val="28"/>
          <w:highlight w:val="none"/>
          <w:lang w:eastAsia="zh-CN"/>
        </w:rPr>
        <w:t>购买的</w:t>
      </w:r>
      <w:r>
        <w:rPr>
          <w:rFonts w:hint="eastAsia" w:ascii="宋体" w:hAnsi="宋体" w:eastAsia="宋体" w:cs="宋体"/>
          <w:color w:val="000000" w:themeColor="text1"/>
          <w:sz w:val="28"/>
          <w:szCs w:val="28"/>
          <w:highlight w:val="none"/>
          <w:vertAlign w:val="baseline"/>
          <w:lang w:val="en-US" w:eastAsia="zh-CN"/>
        </w:rPr>
        <w:t>乙酸</w:t>
      </w:r>
      <w:r>
        <w:rPr>
          <w:rFonts w:hint="eastAsia" w:ascii="宋体" w:hAnsi="宋体" w:eastAsia="宋体" w:cs="宋体"/>
          <w:color w:val="000000" w:themeColor="text1"/>
          <w:kern w:val="0"/>
          <w:sz w:val="28"/>
          <w:szCs w:val="28"/>
          <w:highlight w:val="none"/>
          <w:lang w:eastAsia="zh-CN"/>
        </w:rPr>
        <w:t>为</w:t>
      </w:r>
      <w:r>
        <w:rPr>
          <w:rFonts w:hint="eastAsia" w:cs="宋体"/>
          <w:color w:val="000000" w:themeColor="text1"/>
          <w:kern w:val="0"/>
          <w:sz w:val="28"/>
          <w:szCs w:val="28"/>
          <w:highlight w:val="none"/>
          <w:lang w:val="en-US" w:eastAsia="zh-CN"/>
        </w:rPr>
        <w:t>20</w:t>
      </w:r>
      <w:r>
        <w:rPr>
          <w:rFonts w:hint="eastAsia" w:ascii="宋体" w:hAnsi="宋体" w:eastAsia="宋体" w:cs="宋体"/>
          <w:color w:val="000000" w:themeColor="text1"/>
          <w:kern w:val="0"/>
          <w:sz w:val="28"/>
          <w:szCs w:val="28"/>
          <w:highlight w:val="none"/>
          <w:lang w:val="en-US" w:eastAsia="zh-CN"/>
        </w:rPr>
        <w:t>0L塑料桶包装，</w:t>
      </w:r>
      <w:r>
        <w:rPr>
          <w:rFonts w:hint="eastAsia" w:ascii="宋体" w:hAnsi="宋体" w:eastAsia="宋体" w:cs="宋体"/>
          <w:color w:val="000000" w:themeColor="text1"/>
          <w:kern w:val="0"/>
          <w:sz w:val="28"/>
          <w:szCs w:val="28"/>
          <w:highlight w:val="none"/>
        </w:rPr>
        <w:t>过碳酸钠</w:t>
      </w:r>
      <w:r>
        <w:rPr>
          <w:rFonts w:hint="eastAsia" w:ascii="宋体" w:hAnsi="宋体" w:eastAsia="宋体" w:cs="宋体"/>
          <w:color w:val="000000" w:themeColor="text1"/>
          <w:kern w:val="0"/>
          <w:sz w:val="28"/>
          <w:szCs w:val="28"/>
          <w:highlight w:val="none"/>
          <w:lang w:eastAsia="zh-CN"/>
        </w:rPr>
        <w:t>为</w:t>
      </w:r>
      <w:r>
        <w:rPr>
          <w:rFonts w:hint="eastAsia" w:ascii="宋体" w:hAnsi="宋体" w:eastAsia="宋体" w:cs="宋体"/>
          <w:color w:val="000000" w:themeColor="text1"/>
          <w:kern w:val="0"/>
          <w:sz w:val="28"/>
          <w:szCs w:val="28"/>
          <w:highlight w:val="none"/>
        </w:rPr>
        <w:t>25</w:t>
      </w:r>
      <w:r>
        <w:rPr>
          <w:rFonts w:hint="eastAsia" w:cs="宋体"/>
          <w:color w:val="000000" w:themeColor="text1"/>
          <w:kern w:val="0"/>
          <w:sz w:val="28"/>
          <w:szCs w:val="28"/>
          <w:highlight w:val="none"/>
          <w:lang w:eastAsia="zh-CN"/>
        </w:rPr>
        <w:t>kg</w:t>
      </w:r>
      <w:r>
        <w:rPr>
          <w:rFonts w:hint="eastAsia" w:ascii="宋体" w:hAnsi="宋体" w:eastAsia="宋体" w:cs="宋体"/>
          <w:color w:val="000000" w:themeColor="text1"/>
          <w:kern w:val="0"/>
          <w:sz w:val="28"/>
          <w:szCs w:val="28"/>
          <w:highlight w:val="none"/>
          <w:lang w:eastAsia="zh-CN"/>
        </w:rPr>
        <w:t>袋装，</w:t>
      </w:r>
      <w:r>
        <w:rPr>
          <w:rFonts w:hint="eastAsia" w:ascii="宋体" w:hAnsi="宋体" w:eastAsia="宋体" w:cs="宋体"/>
          <w:color w:val="000000" w:themeColor="text1"/>
          <w:kern w:val="0"/>
          <w:sz w:val="28"/>
          <w:szCs w:val="28"/>
          <w:highlight w:val="none"/>
        </w:rPr>
        <w:t>保险粉</w:t>
      </w:r>
      <w:r>
        <w:rPr>
          <w:rFonts w:hint="eastAsia" w:ascii="宋体" w:hAnsi="宋体" w:eastAsia="宋体" w:cs="宋体"/>
          <w:color w:val="000000" w:themeColor="text1"/>
          <w:kern w:val="0"/>
          <w:sz w:val="28"/>
          <w:szCs w:val="28"/>
          <w:highlight w:val="none"/>
          <w:lang w:val="en-US" w:eastAsia="zh-CN"/>
        </w:rPr>
        <w:t>50</w:t>
      </w:r>
      <w:r>
        <w:rPr>
          <w:rFonts w:hint="eastAsia" w:cs="宋体"/>
          <w:color w:val="000000" w:themeColor="text1"/>
          <w:kern w:val="0"/>
          <w:sz w:val="28"/>
          <w:szCs w:val="28"/>
          <w:highlight w:val="none"/>
          <w:lang w:eastAsia="zh-CN"/>
        </w:rPr>
        <w:t>kg</w:t>
      </w:r>
      <w:r>
        <w:rPr>
          <w:rFonts w:hint="eastAsia" w:ascii="宋体" w:hAnsi="宋体" w:eastAsia="宋体" w:cs="宋体"/>
          <w:color w:val="000000" w:themeColor="text1"/>
          <w:kern w:val="0"/>
          <w:sz w:val="28"/>
          <w:szCs w:val="28"/>
          <w:highlight w:val="none"/>
          <w:lang w:val="en-US" w:eastAsia="zh-CN"/>
        </w:rPr>
        <w:t>铁桶包装，</w:t>
      </w:r>
      <w:r>
        <w:rPr>
          <w:rFonts w:hint="eastAsia" w:cs="宋体"/>
          <w:color w:val="000000" w:themeColor="text1"/>
          <w:kern w:val="0"/>
          <w:sz w:val="28"/>
          <w:szCs w:val="28"/>
          <w:highlight w:val="none"/>
          <w:lang w:val="en-US" w:eastAsia="zh-CN"/>
        </w:rPr>
        <w:t>其中</w:t>
      </w:r>
      <w:r>
        <w:rPr>
          <w:rFonts w:hint="eastAsia" w:ascii="宋体" w:hAnsi="宋体" w:eastAsia="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过碳酸钠</w:t>
      </w:r>
      <w:r>
        <w:rPr>
          <w:rFonts w:hint="eastAsia"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保险粉</w:t>
      </w:r>
      <w:r>
        <w:rPr>
          <w:rFonts w:hint="eastAsia" w:cs="宋体"/>
          <w:color w:val="000000" w:themeColor="text1"/>
          <w:kern w:val="0"/>
          <w:sz w:val="28"/>
          <w:szCs w:val="28"/>
          <w:highlight w:val="none"/>
          <w:lang w:eastAsia="zh-CN"/>
        </w:rPr>
        <w:t>卸车后并</w:t>
      </w:r>
      <w:r>
        <w:rPr>
          <w:rFonts w:hint="eastAsia" w:ascii="宋体" w:hAnsi="宋体" w:eastAsia="宋体" w:cs="宋体"/>
          <w:color w:val="000000" w:themeColor="text1"/>
          <w:kern w:val="0"/>
          <w:sz w:val="28"/>
          <w:szCs w:val="28"/>
          <w:highlight w:val="none"/>
          <w:lang w:eastAsia="zh-CN"/>
        </w:rPr>
        <w:t>由</w:t>
      </w:r>
      <w:r>
        <w:rPr>
          <w:rFonts w:hint="eastAsia" w:cs="宋体"/>
          <w:color w:val="000000" w:themeColor="text1"/>
          <w:kern w:val="0"/>
          <w:sz w:val="28"/>
          <w:szCs w:val="28"/>
          <w:highlight w:val="none"/>
          <w:lang w:eastAsia="zh-CN"/>
        </w:rPr>
        <w:t>华美线业人员检查</w:t>
      </w:r>
      <w:r>
        <w:rPr>
          <w:rFonts w:hint="eastAsia" w:ascii="宋体" w:hAnsi="宋体" w:eastAsia="宋体" w:cs="宋体"/>
          <w:color w:val="000000" w:themeColor="text1"/>
          <w:kern w:val="0"/>
          <w:sz w:val="28"/>
          <w:szCs w:val="28"/>
          <w:highlight w:val="none"/>
          <w:lang w:eastAsia="zh-CN"/>
        </w:rPr>
        <w:t>合格后</w:t>
      </w:r>
      <w:r>
        <w:rPr>
          <w:rFonts w:hint="eastAsia" w:cs="宋体"/>
          <w:color w:val="000000" w:themeColor="text1"/>
          <w:kern w:val="0"/>
          <w:sz w:val="28"/>
          <w:szCs w:val="28"/>
          <w:highlight w:val="none"/>
          <w:lang w:eastAsia="zh-CN"/>
        </w:rPr>
        <w:t>分别直接人工搬运至危化品备货库房，</w:t>
      </w:r>
      <w:r>
        <w:rPr>
          <w:rFonts w:hint="eastAsia" w:cs="宋体"/>
          <w:color w:val="000000" w:themeColor="text1"/>
          <w:kern w:val="0"/>
          <w:sz w:val="28"/>
          <w:szCs w:val="28"/>
          <w:highlight w:val="none"/>
          <w:lang w:val="en-US" w:eastAsia="zh-CN"/>
        </w:rPr>
        <w:t>20</w:t>
      </w:r>
      <w:r>
        <w:rPr>
          <w:rFonts w:hint="eastAsia" w:ascii="宋体" w:hAnsi="宋体" w:eastAsia="宋体" w:cs="宋体"/>
          <w:color w:val="000000" w:themeColor="text1"/>
          <w:kern w:val="0"/>
          <w:sz w:val="28"/>
          <w:szCs w:val="28"/>
          <w:highlight w:val="none"/>
          <w:lang w:val="en-US" w:eastAsia="zh-CN"/>
        </w:rPr>
        <w:t>0L塑料桶包装</w:t>
      </w:r>
      <w:r>
        <w:rPr>
          <w:rFonts w:hint="eastAsia" w:cs="宋体"/>
          <w:color w:val="000000" w:themeColor="text1"/>
          <w:kern w:val="0"/>
          <w:sz w:val="28"/>
          <w:szCs w:val="28"/>
          <w:highlight w:val="none"/>
          <w:lang w:eastAsia="zh-CN"/>
        </w:rPr>
        <w:t>的</w:t>
      </w:r>
      <w:r>
        <w:rPr>
          <w:rFonts w:hint="eastAsia" w:ascii="宋体" w:hAnsi="宋体" w:eastAsia="宋体" w:cs="宋体"/>
          <w:color w:val="000000" w:themeColor="text1"/>
          <w:sz w:val="28"/>
          <w:szCs w:val="28"/>
          <w:highlight w:val="none"/>
          <w:vertAlign w:val="baseline"/>
          <w:lang w:val="en-US" w:eastAsia="zh-CN"/>
        </w:rPr>
        <w:t>乙酸</w:t>
      </w:r>
      <w:r>
        <w:rPr>
          <w:rFonts w:hint="eastAsia" w:cs="宋体"/>
          <w:color w:val="000000" w:themeColor="text1"/>
          <w:kern w:val="0"/>
          <w:sz w:val="28"/>
          <w:szCs w:val="28"/>
          <w:highlight w:val="none"/>
          <w:lang w:eastAsia="zh-CN"/>
        </w:rPr>
        <w:t>卸车后并</w:t>
      </w:r>
      <w:r>
        <w:rPr>
          <w:rFonts w:hint="eastAsia" w:ascii="宋体" w:hAnsi="宋体" w:eastAsia="宋体" w:cs="宋体"/>
          <w:color w:val="000000" w:themeColor="text1"/>
          <w:kern w:val="0"/>
          <w:sz w:val="28"/>
          <w:szCs w:val="28"/>
          <w:highlight w:val="none"/>
          <w:lang w:eastAsia="zh-CN"/>
        </w:rPr>
        <w:t>由</w:t>
      </w:r>
      <w:r>
        <w:rPr>
          <w:rFonts w:hint="eastAsia" w:cs="宋体"/>
          <w:color w:val="000000" w:themeColor="text1"/>
          <w:kern w:val="0"/>
          <w:sz w:val="28"/>
          <w:szCs w:val="28"/>
          <w:highlight w:val="none"/>
          <w:lang w:eastAsia="zh-CN"/>
        </w:rPr>
        <w:t>华美线业人员检查</w:t>
      </w:r>
      <w:r>
        <w:rPr>
          <w:rFonts w:hint="eastAsia" w:ascii="宋体" w:hAnsi="宋体" w:eastAsia="宋体" w:cs="宋体"/>
          <w:color w:val="000000" w:themeColor="text1"/>
          <w:kern w:val="0"/>
          <w:sz w:val="28"/>
          <w:szCs w:val="28"/>
          <w:highlight w:val="none"/>
          <w:lang w:eastAsia="zh-CN"/>
        </w:rPr>
        <w:t>合格后</w:t>
      </w:r>
      <w:r>
        <w:rPr>
          <w:rFonts w:hint="eastAsia" w:cs="宋体"/>
          <w:color w:val="000000" w:themeColor="text1"/>
          <w:kern w:val="0"/>
          <w:sz w:val="28"/>
          <w:szCs w:val="28"/>
          <w:highlight w:val="none"/>
          <w:lang w:eastAsia="zh-CN"/>
        </w:rPr>
        <w:t>用小推车</w:t>
      </w:r>
      <w:r>
        <w:rPr>
          <w:rFonts w:hint="eastAsia" w:cs="宋体"/>
          <w:color w:val="000000" w:themeColor="text1"/>
          <w:sz w:val="28"/>
          <w:szCs w:val="28"/>
          <w:highlight w:val="none"/>
          <w:vertAlign w:val="baseline"/>
          <w:lang w:val="en-US" w:eastAsia="zh-CN"/>
        </w:rPr>
        <w:t>搬运至漂染车间染色平台E旁分装地点，分装（使用油桶翻转升高倒料车将200L桶逐步</w:t>
      </w:r>
    </w:p>
    <w:p w14:paraId="5985127B">
      <w:pPr>
        <w:pStyle w:val="2"/>
        <w:widowControl w:val="0"/>
        <w:adjustRightInd w:val="0"/>
        <w:snapToGrid w:val="0"/>
        <w:ind w:left="0" w:leftChars="0" w:firstLine="0" w:firstLineChars="0"/>
        <w:rPr>
          <w:rFonts w:hint="default" w:eastAsia="宋体"/>
          <w:color w:val="000000" w:themeColor="text1"/>
          <w:sz w:val="28"/>
          <w:szCs w:val="28"/>
          <w:highlight w:val="none"/>
          <w:lang w:val="en-US" w:eastAsia="zh-CN"/>
        </w:rPr>
        <w:sectPr>
          <w:footerReference r:id="rId16" w:type="default"/>
          <w:pgSz w:w="16840" w:h="11907" w:orient="landscape"/>
          <w:pgMar w:top="1587" w:right="1417" w:bottom="1134" w:left="1134" w:header="794" w:footer="794" w:gutter="0"/>
          <w:pgBorders>
            <w:top w:val="none" w:sz="0" w:space="0"/>
            <w:left w:val="none" w:sz="0" w:space="0"/>
            <w:bottom w:val="none" w:sz="0" w:space="0"/>
            <w:right w:val="none" w:sz="0" w:space="0"/>
          </w:pgBorders>
          <w:cols w:space="720" w:num="1"/>
          <w:docGrid w:linePitch="326" w:charSpace="0"/>
        </w:sectPr>
      </w:pPr>
    </w:p>
    <w:p w14:paraId="5689F473">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textAlignment w:val="auto"/>
        <w:rPr>
          <w:rFonts w:hint="eastAsia" w:cs="宋体"/>
          <w:color w:val="000000" w:themeColor="text1"/>
          <w:sz w:val="28"/>
          <w:szCs w:val="28"/>
          <w:highlight w:val="none"/>
          <w:vertAlign w:val="baseline"/>
          <w:lang w:val="en-US" w:eastAsia="zh-CN"/>
        </w:rPr>
      </w:pPr>
      <w:r>
        <w:rPr>
          <w:rFonts w:hint="eastAsia" w:cs="宋体"/>
          <w:color w:val="000000" w:themeColor="text1"/>
          <w:sz w:val="28"/>
          <w:szCs w:val="28"/>
          <w:highlight w:val="none"/>
          <w:vertAlign w:val="baseline"/>
          <w:lang w:val="en-US" w:eastAsia="zh-CN"/>
        </w:rPr>
        <w:t>倾斜、乙酸从桶口流出、注入下方准备好的50</w:t>
      </w:r>
      <w:r>
        <w:rPr>
          <w:rFonts w:hint="eastAsia" w:ascii="宋体" w:hAnsi="宋体" w:eastAsia="宋体" w:cs="宋体"/>
          <w:color w:val="000000" w:themeColor="text1"/>
          <w:kern w:val="0"/>
          <w:sz w:val="28"/>
          <w:szCs w:val="28"/>
          <w:highlight w:val="none"/>
          <w:lang w:val="en-US" w:eastAsia="zh-CN"/>
        </w:rPr>
        <w:t>L塑料桶</w:t>
      </w:r>
      <w:r>
        <w:rPr>
          <w:rFonts w:hint="eastAsia" w:cs="宋体"/>
          <w:color w:val="000000" w:themeColor="text1"/>
          <w:sz w:val="28"/>
          <w:szCs w:val="28"/>
          <w:highlight w:val="none"/>
          <w:vertAlign w:val="baseline"/>
          <w:lang w:val="en-US" w:eastAsia="zh-CN"/>
        </w:rPr>
        <w:t>）成50</w:t>
      </w:r>
      <w:r>
        <w:rPr>
          <w:rFonts w:hint="eastAsia" w:ascii="宋体" w:hAnsi="宋体" w:eastAsia="宋体" w:cs="宋体"/>
          <w:color w:val="000000" w:themeColor="text1"/>
          <w:kern w:val="0"/>
          <w:sz w:val="28"/>
          <w:szCs w:val="28"/>
          <w:highlight w:val="none"/>
          <w:lang w:val="en-US" w:eastAsia="zh-CN"/>
        </w:rPr>
        <w:t>L塑料桶包装</w:t>
      </w:r>
      <w:r>
        <w:rPr>
          <w:rFonts w:hint="eastAsia" w:cs="宋体"/>
          <w:color w:val="000000" w:themeColor="text1"/>
          <w:kern w:val="0"/>
          <w:sz w:val="28"/>
          <w:szCs w:val="28"/>
          <w:highlight w:val="none"/>
          <w:lang w:val="en-US" w:eastAsia="zh-CN"/>
        </w:rPr>
        <w:t>，再用带护栏的小推车送至</w:t>
      </w:r>
      <w:r>
        <w:rPr>
          <w:rFonts w:hint="eastAsia" w:cs="宋体"/>
          <w:color w:val="000000" w:themeColor="text1"/>
          <w:kern w:val="0"/>
          <w:sz w:val="28"/>
          <w:szCs w:val="28"/>
          <w:highlight w:val="none"/>
          <w:lang w:eastAsia="zh-CN"/>
        </w:rPr>
        <w:t>危化品备货库房</w:t>
      </w:r>
      <w:r>
        <w:rPr>
          <w:rFonts w:hint="eastAsia" w:cs="宋体"/>
          <w:color w:val="000000" w:themeColor="text1"/>
          <w:sz w:val="28"/>
          <w:szCs w:val="28"/>
          <w:highlight w:val="none"/>
          <w:vertAlign w:val="baseline"/>
          <w:lang w:val="en-US" w:eastAsia="zh-CN"/>
        </w:rPr>
        <w:t>。</w:t>
      </w:r>
    </w:p>
    <w:p w14:paraId="4CFB4987">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kern w:val="0"/>
          <w:sz w:val="28"/>
          <w:szCs w:val="28"/>
          <w:highlight w:val="none"/>
          <w:lang w:eastAsia="zh-CN"/>
        </w:rPr>
      </w:pPr>
      <w:r>
        <w:rPr>
          <w:rFonts w:hint="eastAsia" w:ascii="宋体" w:hAnsi="宋体" w:eastAsia="宋体" w:cs="宋体"/>
          <w:color w:val="000000" w:themeColor="text1"/>
          <w:sz w:val="28"/>
          <w:szCs w:val="28"/>
          <w:highlight w:val="none"/>
          <w:lang w:val="en-US" w:eastAsia="zh-CN"/>
        </w:rPr>
        <w:t>1#隔间内部中间设置了过道，</w:t>
      </w:r>
      <w:r>
        <w:rPr>
          <w:rFonts w:hint="eastAsia" w:ascii="宋体" w:hAnsi="宋体" w:eastAsia="宋体" w:cs="宋体"/>
          <w:color w:val="000000" w:themeColor="text1"/>
          <w:sz w:val="28"/>
          <w:szCs w:val="28"/>
          <w:highlight w:val="none"/>
          <w:vertAlign w:val="baseline"/>
          <w:lang w:val="en-US" w:eastAsia="zh-CN"/>
        </w:rPr>
        <w:t>乙酸</w:t>
      </w:r>
      <w:r>
        <w:rPr>
          <w:rFonts w:hint="eastAsia" w:ascii="宋体" w:hAnsi="宋体" w:eastAsia="宋体" w:cs="宋体"/>
          <w:color w:val="000000" w:themeColor="text1"/>
          <w:sz w:val="28"/>
          <w:szCs w:val="28"/>
          <w:highlight w:val="none"/>
          <w:lang w:eastAsia="zh-CN"/>
        </w:rPr>
        <w:t>和</w:t>
      </w:r>
      <w:r>
        <w:rPr>
          <w:rFonts w:hint="eastAsia" w:ascii="宋体" w:hAnsi="宋体" w:eastAsia="宋体" w:cs="宋体"/>
          <w:color w:val="000000" w:themeColor="text1"/>
          <w:kern w:val="0"/>
          <w:sz w:val="28"/>
          <w:szCs w:val="28"/>
          <w:highlight w:val="none"/>
        </w:rPr>
        <w:t>过碳酸钠</w:t>
      </w:r>
      <w:r>
        <w:rPr>
          <w:rFonts w:hint="eastAsia" w:ascii="宋体" w:hAnsi="宋体" w:eastAsia="宋体" w:cs="宋体"/>
          <w:color w:val="000000" w:themeColor="text1"/>
          <w:kern w:val="0"/>
          <w:sz w:val="28"/>
          <w:szCs w:val="28"/>
          <w:highlight w:val="none"/>
          <w:lang w:eastAsia="zh-CN"/>
        </w:rPr>
        <w:t>分别放置在过道两侧，</w:t>
      </w:r>
      <w:r>
        <w:rPr>
          <w:rFonts w:hint="eastAsia" w:ascii="宋体" w:hAnsi="宋体" w:eastAsia="宋体" w:cs="宋体"/>
          <w:color w:val="000000" w:themeColor="text1"/>
          <w:sz w:val="28"/>
          <w:szCs w:val="28"/>
          <w:highlight w:val="none"/>
          <w:vertAlign w:val="baseline"/>
          <w:lang w:val="en-US" w:eastAsia="zh-CN"/>
        </w:rPr>
        <w:t>乙酸</w:t>
      </w:r>
      <w:r>
        <w:rPr>
          <w:rFonts w:hint="eastAsia" w:ascii="宋体" w:hAnsi="宋体" w:eastAsia="宋体" w:cs="宋体"/>
          <w:color w:val="000000" w:themeColor="text1"/>
          <w:kern w:val="0"/>
          <w:sz w:val="28"/>
          <w:szCs w:val="28"/>
          <w:highlight w:val="none"/>
          <w:lang w:eastAsia="zh-CN"/>
        </w:rPr>
        <w:t>区域设置了防流散围堰，</w:t>
      </w:r>
      <w:r>
        <w:rPr>
          <w:rFonts w:hint="eastAsia" w:ascii="宋体" w:hAnsi="宋体" w:eastAsia="宋体" w:cs="宋体"/>
          <w:color w:val="000000" w:themeColor="text1"/>
          <w:kern w:val="0"/>
          <w:sz w:val="28"/>
          <w:szCs w:val="28"/>
          <w:highlight w:val="none"/>
        </w:rPr>
        <w:t>过碳酸钠</w:t>
      </w:r>
      <w:r>
        <w:rPr>
          <w:rFonts w:hint="eastAsia" w:ascii="宋体" w:hAnsi="宋体" w:eastAsia="宋体" w:cs="宋体"/>
          <w:color w:val="000000" w:themeColor="text1"/>
          <w:kern w:val="0"/>
          <w:sz w:val="28"/>
          <w:szCs w:val="28"/>
          <w:highlight w:val="none"/>
          <w:lang w:eastAsia="zh-CN"/>
        </w:rPr>
        <w:t>放置在防爆柜内</w:t>
      </w:r>
      <w:r>
        <w:rPr>
          <w:rFonts w:hint="eastAsia"/>
          <w:color w:val="000000" w:themeColor="text1"/>
          <w:szCs w:val="28"/>
          <w:highlight w:val="none"/>
        </w:rPr>
        <w:t>，实现了禁忌物间的隔开储存</w:t>
      </w:r>
      <w:r>
        <w:rPr>
          <w:rFonts w:hint="eastAsia" w:ascii="宋体" w:hAnsi="宋体" w:eastAsia="宋体" w:cs="宋体"/>
          <w:color w:val="000000" w:themeColor="text1"/>
          <w:kern w:val="0"/>
          <w:sz w:val="28"/>
          <w:szCs w:val="28"/>
          <w:highlight w:val="none"/>
          <w:lang w:eastAsia="zh-CN"/>
        </w:rPr>
        <w:t>。</w:t>
      </w:r>
    </w:p>
    <w:p w14:paraId="3203C355">
      <w:pPr>
        <w:pStyle w:val="2"/>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cs="宋体"/>
          <w:color w:val="000000" w:themeColor="text1"/>
          <w:sz w:val="28"/>
          <w:szCs w:val="28"/>
          <w:highlight w:val="none"/>
          <w:lang w:val="en-US" w:eastAsia="zh-CN"/>
        </w:rPr>
      </w:pPr>
      <w:r>
        <w:rPr>
          <w:rFonts w:hint="eastAsia" w:ascii="宋体" w:hAnsi="宋体" w:eastAsia="宋体" w:cs="宋体"/>
          <w:color w:val="000000" w:themeColor="text1"/>
          <w:sz w:val="28"/>
          <w:szCs w:val="28"/>
          <w:highlight w:val="none"/>
          <w:lang w:val="en-US" w:eastAsia="zh-CN"/>
        </w:rPr>
        <w:t>2#隔间</w:t>
      </w:r>
      <w:r>
        <w:rPr>
          <w:rFonts w:hint="eastAsia" w:cs="宋体"/>
          <w:color w:val="000000" w:themeColor="text1"/>
          <w:sz w:val="28"/>
          <w:szCs w:val="28"/>
          <w:highlight w:val="none"/>
          <w:lang w:val="en-US" w:eastAsia="zh-CN"/>
        </w:rPr>
        <w:t>保险粉储存区域</w:t>
      </w:r>
      <w:r>
        <w:rPr>
          <w:rFonts w:hint="eastAsia" w:cs="宋体"/>
          <w:color w:val="000000" w:themeColor="text1"/>
          <w:kern w:val="0"/>
          <w:sz w:val="28"/>
          <w:szCs w:val="28"/>
          <w:highlight w:val="none"/>
          <w:lang w:val="en-US" w:eastAsia="zh-CN"/>
        </w:rPr>
        <w:t>地面要比室外地坪高出约40cm</w:t>
      </w:r>
      <w:r>
        <w:rPr>
          <w:rFonts w:hint="eastAsia" w:ascii="宋体" w:hAnsi="宋体" w:eastAsia="宋体" w:cs="宋体"/>
          <w:color w:val="000000" w:themeColor="text1"/>
          <w:sz w:val="28"/>
          <w:szCs w:val="28"/>
          <w:highlight w:val="none"/>
          <w:lang w:val="en-US" w:eastAsia="zh-CN"/>
        </w:rPr>
        <w:t>，</w:t>
      </w:r>
      <w:r>
        <w:rPr>
          <w:rFonts w:hint="eastAsia" w:cs="宋体"/>
          <w:color w:val="000000" w:themeColor="text1"/>
          <w:sz w:val="28"/>
          <w:szCs w:val="28"/>
          <w:highlight w:val="none"/>
          <w:lang w:val="en-US" w:eastAsia="zh-CN"/>
        </w:rPr>
        <w:t>保险粉放置在木质托盘上。</w:t>
      </w:r>
    </w:p>
    <w:p w14:paraId="2D2701EF">
      <w:pPr>
        <w:pStyle w:val="2"/>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000000" w:themeColor="text1"/>
          <w:sz w:val="28"/>
          <w:szCs w:val="28"/>
          <w:highlight w:val="none"/>
          <w:lang w:eastAsia="zh-CN"/>
        </w:rPr>
      </w:pPr>
      <w:r>
        <w:rPr>
          <w:rFonts w:hint="eastAsia" w:cs="宋体"/>
          <w:color w:val="000000" w:themeColor="text1"/>
          <w:sz w:val="28"/>
          <w:szCs w:val="28"/>
          <w:highlight w:val="none"/>
          <w:lang w:val="en-US" w:eastAsia="zh-CN"/>
        </w:rPr>
        <w:t>危险化学品备货库房</w:t>
      </w:r>
      <w:r>
        <w:rPr>
          <w:rFonts w:hint="eastAsia" w:ascii="宋体" w:hAnsi="宋体" w:eastAsia="宋体" w:cs="宋体"/>
          <w:color w:val="000000" w:themeColor="text1"/>
          <w:sz w:val="28"/>
          <w:szCs w:val="28"/>
          <w:highlight w:val="none"/>
          <w:lang w:val="en-US" w:eastAsia="zh-CN"/>
        </w:rPr>
        <w:t>设置了</w:t>
      </w:r>
      <w:r>
        <w:rPr>
          <w:rFonts w:hint="eastAsia"/>
          <w:color w:val="000000" w:themeColor="text1"/>
          <w:szCs w:val="28"/>
          <w:highlight w:val="none"/>
        </w:rPr>
        <w:t>化学品作业场所安全警示标志</w:t>
      </w:r>
      <w:r>
        <w:rPr>
          <w:rFonts w:hint="eastAsia"/>
          <w:color w:val="000000" w:themeColor="text1"/>
          <w:szCs w:val="28"/>
          <w:highlight w:val="none"/>
          <w:lang w:eastAsia="zh-CN"/>
        </w:rPr>
        <w:t>、</w:t>
      </w:r>
      <w:r>
        <w:rPr>
          <w:rFonts w:hint="eastAsia" w:ascii="宋体" w:hAnsi="宋体" w:eastAsia="宋体" w:cs="宋体"/>
          <w:color w:val="000000" w:themeColor="text1"/>
          <w:sz w:val="28"/>
          <w:szCs w:val="28"/>
          <w:highlight w:val="none"/>
          <w:lang w:val="en-US" w:eastAsia="zh-CN"/>
        </w:rPr>
        <w:t>洗眼冲淋设施、温湿度计、轴流排风机、视频监控。</w:t>
      </w:r>
    </w:p>
    <w:p w14:paraId="0717F576">
      <w:pPr>
        <w:keepNext w:val="0"/>
        <w:keepLines w:val="0"/>
        <w:pageBreakBefore w:val="0"/>
        <w:widowControl w:val="0"/>
        <w:numPr>
          <w:ilvl w:val="0"/>
          <w:numId w:val="1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lang w:eastAsia="zh-CN"/>
        </w:rPr>
      </w:pPr>
      <w:r>
        <w:rPr>
          <w:rFonts w:hint="eastAsia" w:ascii="宋体" w:hAnsi="宋体" w:eastAsia="宋体" w:cs="宋体"/>
          <w:color w:val="000000" w:themeColor="text1"/>
          <w:sz w:val="28"/>
          <w:szCs w:val="28"/>
          <w:highlight w:val="none"/>
          <w:lang w:val="en-US" w:eastAsia="zh-CN"/>
        </w:rPr>
        <w:t>氢氧化钠溶液</w:t>
      </w:r>
      <w:r>
        <w:rPr>
          <w:rFonts w:hint="eastAsia" w:ascii="宋体" w:hAnsi="宋体" w:eastAsia="宋体" w:cs="宋体"/>
          <w:color w:val="000000" w:themeColor="text1"/>
          <w:sz w:val="28"/>
          <w:szCs w:val="28"/>
          <w:highlight w:val="none"/>
          <w:lang w:eastAsia="zh-CN"/>
        </w:rPr>
        <w:t>储罐</w:t>
      </w:r>
    </w:p>
    <w:p w14:paraId="551F3C0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lang w:val="en-US" w:eastAsia="zh-CN"/>
        </w:rPr>
        <w:t>氢氧化钠溶液</w:t>
      </w:r>
      <w:r>
        <w:rPr>
          <w:rFonts w:hint="eastAsia" w:ascii="宋体" w:hAnsi="宋体" w:eastAsia="宋体" w:cs="宋体"/>
          <w:color w:val="000000" w:themeColor="text1"/>
          <w:sz w:val="28"/>
          <w:szCs w:val="28"/>
          <w:highlight w:val="none"/>
          <w:lang w:eastAsia="zh-CN"/>
        </w:rPr>
        <w:t>储罐容</w:t>
      </w:r>
      <w:r>
        <w:rPr>
          <w:rFonts w:hint="eastAsia" w:ascii="宋体" w:hAnsi="宋体" w:eastAsia="宋体" w:cs="宋体"/>
          <w:color w:val="000000" w:themeColor="text1"/>
          <w:sz w:val="28"/>
          <w:szCs w:val="28"/>
          <w:highlight w:val="none"/>
        </w:rPr>
        <w:t>积</w:t>
      </w:r>
      <w:r>
        <w:rPr>
          <w:rFonts w:hint="eastAsia" w:ascii="宋体" w:hAnsi="宋体" w:eastAsia="宋体" w:cs="宋体"/>
          <w:color w:val="000000" w:themeColor="text1"/>
          <w:sz w:val="28"/>
          <w:szCs w:val="28"/>
          <w:highlight w:val="none"/>
          <w:lang w:val="en-US" w:eastAsia="zh-CN"/>
        </w:rPr>
        <w:t>8</w:t>
      </w:r>
      <w:r>
        <w:rPr>
          <w:rFonts w:hint="eastAsia" w:ascii="宋体" w:hAnsi="宋体" w:eastAsia="宋体" w:cs="宋体"/>
          <w:color w:val="000000" w:themeColor="text1"/>
          <w:sz w:val="28"/>
          <w:szCs w:val="28"/>
          <w:highlight w:val="none"/>
        </w:rPr>
        <w:t>m³</w:t>
      </w:r>
      <w:r>
        <w:rPr>
          <w:rFonts w:hint="eastAsia" w:ascii="宋体" w:hAnsi="宋体" w:eastAsia="宋体" w:cs="宋体"/>
          <w:color w:val="000000" w:themeColor="text1"/>
          <w:sz w:val="28"/>
          <w:szCs w:val="28"/>
          <w:highlight w:val="none"/>
          <w:lang w:eastAsia="zh-CN"/>
        </w:rPr>
        <w:t>，储罐材质为塑料，用于储存</w:t>
      </w:r>
      <w:r>
        <w:rPr>
          <w:rFonts w:hint="eastAsia" w:ascii="宋体" w:hAnsi="宋体" w:eastAsia="宋体" w:cs="宋体"/>
          <w:color w:val="000000" w:themeColor="text1"/>
          <w:sz w:val="28"/>
          <w:szCs w:val="28"/>
          <w:highlight w:val="none"/>
          <w:lang w:val="en-US" w:eastAsia="zh-CN"/>
        </w:rPr>
        <w:t>氢氧化钠溶液</w:t>
      </w:r>
      <w:r>
        <w:rPr>
          <w:rFonts w:hint="eastAsia" w:ascii="宋体" w:hAnsi="宋体" w:eastAsia="宋体"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设有</w:t>
      </w:r>
      <w:r>
        <w:rPr>
          <w:rFonts w:hint="eastAsia" w:ascii="宋体" w:hAnsi="宋体" w:eastAsia="宋体" w:cs="宋体"/>
          <w:color w:val="000000" w:themeColor="text1"/>
          <w:sz w:val="28"/>
          <w:szCs w:val="28"/>
          <w:highlight w:val="none"/>
          <w:lang w:eastAsia="zh-CN"/>
        </w:rPr>
        <w:t>钢棚</w:t>
      </w:r>
      <w:r>
        <w:rPr>
          <w:rFonts w:hint="eastAsia"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lang w:eastAsia="zh-CN"/>
        </w:rPr>
        <w:t>容</w:t>
      </w:r>
      <w:r>
        <w:rPr>
          <w:rFonts w:hint="eastAsia" w:ascii="宋体" w:hAnsi="宋体" w:eastAsia="宋体" w:cs="宋体"/>
          <w:color w:val="000000" w:themeColor="text1"/>
          <w:sz w:val="28"/>
          <w:szCs w:val="28"/>
          <w:highlight w:val="none"/>
        </w:rPr>
        <w:t>积</w:t>
      </w:r>
      <w:r>
        <w:rPr>
          <w:rFonts w:hint="eastAsia" w:ascii="宋体" w:hAnsi="宋体" w:eastAsia="宋体" w:cs="宋体"/>
          <w:color w:val="000000" w:themeColor="text1"/>
          <w:sz w:val="28"/>
          <w:szCs w:val="28"/>
          <w:highlight w:val="none"/>
          <w:lang w:val="en-US" w:eastAsia="zh-CN"/>
        </w:rPr>
        <w:t>8</w:t>
      </w:r>
      <w:r>
        <w:rPr>
          <w:rFonts w:hint="eastAsia" w:ascii="宋体" w:hAnsi="宋体" w:eastAsia="宋体" w:cs="宋体"/>
          <w:color w:val="000000" w:themeColor="text1"/>
          <w:sz w:val="28"/>
          <w:szCs w:val="28"/>
          <w:highlight w:val="none"/>
        </w:rPr>
        <w:t>m³</w:t>
      </w:r>
      <w:r>
        <w:rPr>
          <w:rFonts w:hint="eastAsia" w:ascii="宋体" w:hAnsi="宋体" w:eastAsia="宋体" w:cs="宋体"/>
          <w:color w:val="000000" w:themeColor="text1"/>
          <w:sz w:val="28"/>
          <w:szCs w:val="28"/>
          <w:highlight w:val="none"/>
          <w:lang w:eastAsia="zh-CN"/>
        </w:rPr>
        <w:t>的</w:t>
      </w:r>
      <w:r>
        <w:rPr>
          <w:rFonts w:hint="eastAsia" w:ascii="宋体" w:hAnsi="宋体" w:eastAsia="宋体" w:cs="宋体"/>
          <w:color w:val="000000" w:themeColor="text1"/>
          <w:sz w:val="28"/>
          <w:szCs w:val="28"/>
          <w:highlight w:val="none"/>
        </w:rPr>
        <w:t>围堰。</w:t>
      </w:r>
    </w:p>
    <w:p w14:paraId="3D59CCF4">
      <w:pPr>
        <w:pStyle w:val="2"/>
        <w:keepNext w:val="0"/>
        <w:keepLines w:val="0"/>
        <w:pageBreakBefore w:val="0"/>
        <w:widowControl w:val="0"/>
        <w:kinsoku/>
        <w:wordWrap/>
        <w:topLinePunct w:val="0"/>
        <w:bidi w:val="0"/>
        <w:adjustRightInd w:val="0"/>
        <w:snapToGrid w:val="0"/>
        <w:spacing w:line="360" w:lineRule="auto"/>
        <w:rPr>
          <w:rFonts w:hint="eastAsia" w:ascii="宋体" w:hAnsi="宋体" w:eastAsia="宋体" w:cs="宋体"/>
          <w:color w:val="000000" w:themeColor="text1"/>
          <w:kern w:val="0"/>
          <w:sz w:val="28"/>
          <w:szCs w:val="28"/>
          <w:highlight w:val="none"/>
          <w:lang w:eastAsia="zh-CN"/>
        </w:rPr>
      </w:pPr>
      <w:r>
        <w:rPr>
          <w:rFonts w:hint="eastAsia" w:ascii="宋体" w:hAnsi="宋体" w:eastAsia="宋体" w:cs="宋体"/>
          <w:color w:val="000000" w:themeColor="text1"/>
          <w:sz w:val="28"/>
          <w:szCs w:val="28"/>
          <w:highlight w:val="none"/>
          <w:lang w:val="en-US" w:eastAsia="zh-CN"/>
        </w:rPr>
        <w:t>氢氧化钠溶液</w:t>
      </w:r>
      <w:r>
        <w:rPr>
          <w:rFonts w:hint="eastAsia" w:ascii="宋体" w:hAnsi="宋体" w:eastAsia="宋体" w:cs="宋体"/>
          <w:color w:val="000000" w:themeColor="text1"/>
          <w:kern w:val="0"/>
          <w:sz w:val="28"/>
          <w:szCs w:val="28"/>
          <w:highlight w:val="none"/>
          <w:lang w:eastAsia="zh-CN"/>
        </w:rPr>
        <w:t>由供应商通过槽罐车运输至</w:t>
      </w:r>
      <w:r>
        <w:rPr>
          <w:rFonts w:hint="eastAsia" w:ascii="宋体" w:hAnsi="宋体" w:eastAsia="宋体" w:cs="宋体"/>
          <w:color w:val="000000" w:themeColor="text1"/>
          <w:sz w:val="28"/>
          <w:szCs w:val="28"/>
          <w:highlight w:val="none"/>
          <w:lang w:val="en-US" w:eastAsia="zh-CN"/>
        </w:rPr>
        <w:t>氢氧化钠溶液</w:t>
      </w:r>
      <w:r>
        <w:rPr>
          <w:rFonts w:hint="eastAsia" w:ascii="宋体" w:hAnsi="宋体" w:eastAsia="宋体" w:cs="宋体"/>
          <w:color w:val="000000" w:themeColor="text1"/>
          <w:sz w:val="28"/>
          <w:szCs w:val="28"/>
          <w:highlight w:val="none"/>
          <w:lang w:eastAsia="zh-CN"/>
        </w:rPr>
        <w:t>储罐旁卸车场地</w:t>
      </w:r>
      <w:r>
        <w:rPr>
          <w:rFonts w:hint="eastAsia" w:ascii="宋体" w:hAnsi="宋体" w:eastAsia="宋体" w:cs="宋体"/>
          <w:color w:val="000000" w:themeColor="text1"/>
          <w:kern w:val="0"/>
          <w:sz w:val="28"/>
          <w:szCs w:val="28"/>
          <w:highlight w:val="none"/>
          <w:lang w:eastAsia="zh-CN"/>
        </w:rPr>
        <w:t>，由</w:t>
      </w:r>
      <w:r>
        <w:rPr>
          <w:rFonts w:hint="eastAsia" w:cs="宋体"/>
          <w:color w:val="000000" w:themeColor="text1"/>
          <w:kern w:val="0"/>
          <w:sz w:val="28"/>
          <w:szCs w:val="28"/>
          <w:highlight w:val="none"/>
          <w:lang w:eastAsia="zh-CN"/>
        </w:rPr>
        <w:t>华美线业人员</w:t>
      </w:r>
      <w:r>
        <w:rPr>
          <w:rFonts w:hint="eastAsia" w:ascii="宋体" w:hAnsi="宋体" w:eastAsia="宋体" w:cs="宋体"/>
          <w:color w:val="000000" w:themeColor="text1"/>
          <w:kern w:val="0"/>
          <w:sz w:val="28"/>
          <w:szCs w:val="28"/>
          <w:highlight w:val="none"/>
          <w:lang w:eastAsia="zh-CN"/>
        </w:rPr>
        <w:t>验收合格后进行卸车，卸车由供应商操作，卸车人员佩戴好劳动防护用品后通过</w:t>
      </w:r>
      <w:r>
        <w:rPr>
          <w:rFonts w:hint="eastAsia" w:ascii="宋体" w:hAnsi="宋体" w:eastAsia="宋体" w:cs="宋体"/>
          <w:color w:val="000000" w:themeColor="text1"/>
          <w:sz w:val="28"/>
          <w:szCs w:val="28"/>
          <w:highlight w:val="none"/>
          <w:lang w:eastAsia="zh-CN"/>
        </w:rPr>
        <w:t>直梯爬至操作平台</w:t>
      </w:r>
      <w:r>
        <w:rPr>
          <w:rFonts w:hint="eastAsia" w:ascii="宋体" w:hAnsi="宋体" w:eastAsia="宋体" w:cs="宋体"/>
          <w:color w:val="000000" w:themeColor="text1"/>
          <w:kern w:val="0"/>
          <w:sz w:val="28"/>
          <w:szCs w:val="28"/>
          <w:highlight w:val="none"/>
          <w:lang w:eastAsia="zh-CN"/>
        </w:rPr>
        <w:t>，打开</w:t>
      </w:r>
      <w:r>
        <w:rPr>
          <w:rFonts w:hint="eastAsia" w:ascii="宋体" w:hAnsi="宋体" w:eastAsia="宋体" w:cs="宋体"/>
          <w:color w:val="000000" w:themeColor="text1"/>
          <w:sz w:val="28"/>
          <w:szCs w:val="28"/>
          <w:highlight w:val="none"/>
          <w:lang w:val="en-US" w:eastAsia="zh-CN"/>
        </w:rPr>
        <w:t>氢氧化钠溶液</w:t>
      </w:r>
      <w:r>
        <w:rPr>
          <w:rFonts w:hint="eastAsia" w:ascii="宋体" w:hAnsi="宋体" w:eastAsia="宋体" w:cs="宋体"/>
          <w:color w:val="000000" w:themeColor="text1"/>
          <w:sz w:val="28"/>
          <w:szCs w:val="28"/>
          <w:highlight w:val="none"/>
          <w:lang w:eastAsia="zh-CN"/>
        </w:rPr>
        <w:t>储罐顶部人孔盖，将</w:t>
      </w:r>
      <w:r>
        <w:rPr>
          <w:rFonts w:hint="eastAsia" w:cs="宋体"/>
          <w:color w:val="000000" w:themeColor="text1"/>
          <w:sz w:val="28"/>
          <w:szCs w:val="28"/>
          <w:highlight w:val="none"/>
          <w:lang w:eastAsia="zh-CN"/>
        </w:rPr>
        <w:t>卸车软管伸入</w:t>
      </w:r>
      <w:r>
        <w:rPr>
          <w:rFonts w:hint="eastAsia" w:ascii="宋体" w:hAnsi="宋体" w:eastAsia="宋体" w:cs="宋体"/>
          <w:color w:val="000000" w:themeColor="text1"/>
          <w:sz w:val="28"/>
          <w:szCs w:val="28"/>
          <w:highlight w:val="none"/>
          <w:lang w:val="en-US" w:eastAsia="zh-CN"/>
        </w:rPr>
        <w:t>氢氧化钠溶液</w:t>
      </w:r>
      <w:r>
        <w:rPr>
          <w:rFonts w:hint="eastAsia" w:ascii="宋体" w:hAnsi="宋体" w:eastAsia="宋体" w:cs="宋体"/>
          <w:color w:val="000000" w:themeColor="text1"/>
          <w:sz w:val="28"/>
          <w:szCs w:val="28"/>
          <w:highlight w:val="none"/>
          <w:lang w:eastAsia="zh-CN"/>
        </w:rPr>
        <w:t>储罐</w:t>
      </w:r>
      <w:r>
        <w:rPr>
          <w:rFonts w:hint="eastAsia" w:ascii="宋体" w:hAnsi="宋体" w:eastAsia="宋体" w:cs="宋体"/>
          <w:color w:val="000000" w:themeColor="text1"/>
          <w:kern w:val="0"/>
          <w:sz w:val="28"/>
          <w:szCs w:val="28"/>
          <w:highlight w:val="none"/>
          <w:lang w:eastAsia="zh-CN"/>
        </w:rPr>
        <w:t>，</w:t>
      </w:r>
      <w:r>
        <w:rPr>
          <w:rFonts w:hint="eastAsia" w:cs="宋体"/>
          <w:color w:val="000000" w:themeColor="text1"/>
          <w:kern w:val="0"/>
          <w:sz w:val="28"/>
          <w:szCs w:val="28"/>
          <w:highlight w:val="none"/>
          <w:lang w:eastAsia="zh-CN"/>
        </w:rPr>
        <w:t>打开卸车泵开始卸车，</w:t>
      </w:r>
      <w:r>
        <w:rPr>
          <w:rFonts w:hint="eastAsia" w:ascii="宋体" w:hAnsi="宋体" w:eastAsia="宋体" w:cs="宋体"/>
          <w:color w:val="000000" w:themeColor="text1"/>
          <w:kern w:val="0"/>
          <w:sz w:val="28"/>
          <w:szCs w:val="28"/>
          <w:highlight w:val="none"/>
          <w:lang w:eastAsia="zh-CN"/>
        </w:rPr>
        <w:t>卸车过程由</w:t>
      </w:r>
      <w:r>
        <w:rPr>
          <w:rFonts w:hint="eastAsia" w:cs="宋体"/>
          <w:color w:val="000000" w:themeColor="text1"/>
          <w:kern w:val="0"/>
          <w:sz w:val="28"/>
          <w:szCs w:val="28"/>
          <w:highlight w:val="none"/>
          <w:lang w:eastAsia="zh-CN"/>
        </w:rPr>
        <w:t>华美线业人员</w:t>
      </w:r>
      <w:r>
        <w:rPr>
          <w:rFonts w:hint="eastAsia" w:ascii="宋体" w:hAnsi="宋体" w:eastAsia="宋体" w:cs="宋体"/>
          <w:color w:val="000000" w:themeColor="text1"/>
          <w:kern w:val="0"/>
          <w:sz w:val="28"/>
          <w:szCs w:val="28"/>
          <w:highlight w:val="none"/>
          <w:lang w:eastAsia="zh-CN"/>
        </w:rPr>
        <w:t>现场指挥和全程监护下进行。</w:t>
      </w:r>
    </w:p>
    <w:p w14:paraId="0DBCD6A2">
      <w:pPr>
        <w:keepNext w:val="0"/>
        <w:keepLines w:val="0"/>
        <w:pageBreakBefore w:val="0"/>
        <w:widowControl w:val="0"/>
        <w:kinsoku/>
        <w:wordWrap/>
        <w:topLinePunct w:val="0"/>
        <w:bidi w:val="0"/>
        <w:adjustRightInd w:val="0"/>
        <w:snapToGrid w:val="0"/>
        <w:spacing w:line="360" w:lineRule="auto"/>
        <w:ind w:firstLine="560" w:firstLineChars="200"/>
        <w:rPr>
          <w:rFonts w:hint="default" w:eastAsia="宋体"/>
          <w:color w:val="000000" w:themeColor="text1"/>
          <w:sz w:val="28"/>
          <w:szCs w:val="28"/>
          <w:highlight w:val="none"/>
          <w:lang w:val="en-US" w:eastAsia="zh-CN"/>
        </w:rPr>
      </w:pPr>
      <w:r>
        <w:rPr>
          <w:rFonts w:hint="eastAsia" w:ascii="宋体" w:hAnsi="宋体" w:eastAsia="宋体" w:cs="宋体"/>
          <w:color w:val="000000" w:themeColor="text1"/>
          <w:sz w:val="28"/>
          <w:szCs w:val="28"/>
          <w:highlight w:val="none"/>
          <w:lang w:val="en-US" w:eastAsia="zh-CN"/>
        </w:rPr>
        <w:t>氢氧化钠溶液</w:t>
      </w:r>
      <w:r>
        <w:rPr>
          <w:rFonts w:hint="eastAsia" w:ascii="宋体" w:hAnsi="宋体" w:eastAsia="宋体" w:cs="宋体"/>
          <w:color w:val="000000" w:themeColor="text1"/>
          <w:sz w:val="28"/>
          <w:szCs w:val="28"/>
          <w:highlight w:val="none"/>
          <w:lang w:eastAsia="zh-CN"/>
        </w:rPr>
        <w:t>储罐区域设置了</w:t>
      </w:r>
      <w:r>
        <w:rPr>
          <w:rFonts w:hint="eastAsia"/>
          <w:color w:val="000000" w:themeColor="text1"/>
          <w:sz w:val="28"/>
          <w:szCs w:val="28"/>
          <w:highlight w:val="none"/>
        </w:rPr>
        <w:t>化学品作业场所安全警示标志</w:t>
      </w:r>
      <w:r>
        <w:rPr>
          <w:rFonts w:hint="eastAsia" w:ascii="宋体" w:hAnsi="宋体" w:eastAsia="宋体" w:cs="宋体"/>
          <w:color w:val="000000" w:themeColor="text1"/>
          <w:sz w:val="28"/>
          <w:szCs w:val="28"/>
          <w:highlight w:val="none"/>
          <w:lang w:val="en-US" w:eastAsia="zh-CN"/>
        </w:rPr>
        <w:t>、卸车安全操作规程、视频监控、</w:t>
      </w:r>
      <w:r>
        <w:rPr>
          <w:rFonts w:hint="eastAsia" w:cs="宋体"/>
          <w:color w:val="000000" w:themeColor="text1"/>
          <w:sz w:val="28"/>
          <w:szCs w:val="28"/>
          <w:highlight w:val="none"/>
          <w:lang w:val="en-US" w:eastAsia="zh-CN"/>
        </w:rPr>
        <w:t>三角木、</w:t>
      </w:r>
      <w:r>
        <w:rPr>
          <w:rFonts w:hint="eastAsia" w:ascii="宋体" w:hAnsi="宋体" w:eastAsia="宋体" w:cs="宋体"/>
          <w:color w:val="000000" w:themeColor="text1"/>
          <w:sz w:val="28"/>
          <w:szCs w:val="28"/>
          <w:highlight w:val="none"/>
          <w:lang w:val="en-US" w:eastAsia="zh-CN"/>
        </w:rPr>
        <w:t>洗眼冲淋设施。</w:t>
      </w:r>
    </w:p>
    <w:p w14:paraId="23EDF926">
      <w:pPr>
        <w:keepNext w:val="0"/>
        <w:keepLines w:val="0"/>
        <w:pageBreakBefore w:val="0"/>
        <w:widowControl w:val="0"/>
        <w:numPr>
          <w:ilvl w:val="0"/>
          <w:numId w:val="1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lang w:eastAsia="zh-CN"/>
        </w:rPr>
      </w:pPr>
      <w:r>
        <w:rPr>
          <w:rFonts w:hint="eastAsia"/>
          <w:color w:val="000000" w:themeColor="text1"/>
          <w:spacing w:val="0"/>
          <w:sz w:val="28"/>
          <w:szCs w:val="28"/>
          <w:highlight w:val="none"/>
        </w:rPr>
        <w:t>废水处理站</w:t>
      </w:r>
      <w:r>
        <w:rPr>
          <w:color w:val="000000" w:themeColor="text1"/>
          <w:spacing w:val="0"/>
          <w:sz w:val="28"/>
          <w:szCs w:val="28"/>
          <w:highlight w:val="none"/>
        </w:rPr>
        <w:t>药剂房</w:t>
      </w:r>
    </w:p>
    <w:p w14:paraId="02B97920">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kern w:val="0"/>
          <w:sz w:val="28"/>
          <w:szCs w:val="28"/>
          <w:highlight w:val="none"/>
          <w:lang w:val="en-US" w:eastAsia="zh-CN"/>
        </w:rPr>
      </w:pPr>
      <w:r>
        <w:rPr>
          <w:rFonts w:hint="eastAsia" w:ascii="宋体" w:hAnsi="宋体" w:eastAsia="宋体" w:cs="宋体"/>
          <w:color w:val="000000" w:themeColor="text1"/>
          <w:sz w:val="28"/>
          <w:szCs w:val="28"/>
          <w:highlight w:val="none"/>
          <w:lang w:eastAsia="zh-CN"/>
        </w:rPr>
        <w:t>次氯酸钠溶液</w:t>
      </w:r>
      <w:r>
        <w:rPr>
          <w:rFonts w:hint="eastAsia" w:ascii="宋体" w:hAnsi="宋体" w:eastAsia="宋体" w:cs="宋体"/>
          <w:color w:val="000000" w:themeColor="text1"/>
          <w:kern w:val="0"/>
          <w:sz w:val="28"/>
          <w:szCs w:val="28"/>
          <w:highlight w:val="none"/>
          <w:lang w:eastAsia="zh-CN"/>
        </w:rPr>
        <w:t>为</w:t>
      </w:r>
      <w:r>
        <w:rPr>
          <w:rFonts w:hint="eastAsia" w:ascii="宋体" w:hAnsi="宋体" w:eastAsia="宋体" w:cs="宋体"/>
          <w:color w:val="000000" w:themeColor="text1"/>
          <w:kern w:val="0"/>
          <w:sz w:val="28"/>
          <w:szCs w:val="28"/>
          <w:highlight w:val="none"/>
          <w:lang w:val="en-US" w:eastAsia="zh-CN"/>
        </w:rPr>
        <w:t>50L塑料桶包装，</w:t>
      </w:r>
      <w:r>
        <w:rPr>
          <w:rFonts w:hint="eastAsia" w:ascii="宋体" w:hAnsi="宋体" w:eastAsia="宋体" w:cs="宋体"/>
          <w:color w:val="000000" w:themeColor="text1"/>
          <w:sz w:val="28"/>
          <w:szCs w:val="28"/>
          <w:highlight w:val="none"/>
          <w:lang w:eastAsia="zh-CN"/>
        </w:rPr>
        <w:t>次氯酸钠溶液</w:t>
      </w:r>
      <w:r>
        <w:rPr>
          <w:rFonts w:hint="eastAsia" w:ascii="宋体" w:hAnsi="宋体" w:eastAsia="宋体" w:cs="宋体"/>
          <w:color w:val="000000" w:themeColor="text1"/>
          <w:kern w:val="0"/>
          <w:sz w:val="28"/>
          <w:szCs w:val="28"/>
          <w:highlight w:val="none"/>
          <w:lang w:eastAsia="zh-CN"/>
        </w:rPr>
        <w:t>由供应商</w:t>
      </w:r>
      <w:r>
        <w:rPr>
          <w:rFonts w:hint="eastAsia" w:cs="宋体"/>
          <w:color w:val="000000" w:themeColor="text1"/>
          <w:kern w:val="0"/>
          <w:sz w:val="28"/>
          <w:szCs w:val="28"/>
          <w:highlight w:val="none"/>
          <w:lang w:eastAsia="zh-CN"/>
        </w:rPr>
        <w:t>通过货车</w:t>
      </w:r>
      <w:r>
        <w:rPr>
          <w:rFonts w:hint="eastAsia" w:ascii="宋体" w:hAnsi="宋体" w:eastAsia="宋体" w:cs="宋体"/>
          <w:color w:val="000000" w:themeColor="text1"/>
          <w:kern w:val="0"/>
          <w:sz w:val="28"/>
          <w:szCs w:val="28"/>
          <w:highlight w:val="none"/>
          <w:lang w:eastAsia="zh-CN"/>
        </w:rPr>
        <w:t>运输至</w:t>
      </w:r>
      <w:r>
        <w:rPr>
          <w:rFonts w:hint="eastAsia"/>
          <w:color w:val="000000" w:themeColor="text1"/>
          <w:spacing w:val="0"/>
          <w:sz w:val="28"/>
          <w:szCs w:val="28"/>
          <w:highlight w:val="none"/>
        </w:rPr>
        <w:t>废水处理站</w:t>
      </w:r>
      <w:r>
        <w:rPr>
          <w:rFonts w:hint="eastAsia" w:cs="宋体"/>
          <w:color w:val="000000" w:themeColor="text1"/>
          <w:kern w:val="0"/>
          <w:sz w:val="28"/>
          <w:szCs w:val="28"/>
          <w:highlight w:val="none"/>
          <w:lang w:eastAsia="zh-CN"/>
        </w:rPr>
        <w:t>药剂房南面道路</w:t>
      </w:r>
      <w:r>
        <w:rPr>
          <w:rFonts w:hint="eastAsia" w:ascii="宋体" w:hAnsi="宋体" w:eastAsia="宋体" w:cs="宋体"/>
          <w:color w:val="000000" w:themeColor="text1"/>
          <w:kern w:val="0"/>
          <w:sz w:val="28"/>
          <w:szCs w:val="28"/>
          <w:highlight w:val="none"/>
          <w:lang w:eastAsia="zh-CN"/>
        </w:rPr>
        <w:t>，</w:t>
      </w:r>
      <w:r>
        <w:rPr>
          <w:rFonts w:hint="eastAsia" w:cs="宋体"/>
          <w:color w:val="000000" w:themeColor="text1"/>
          <w:kern w:val="0"/>
          <w:sz w:val="28"/>
          <w:szCs w:val="28"/>
          <w:highlight w:val="none"/>
          <w:lang w:eastAsia="zh-CN"/>
        </w:rPr>
        <w:t>卸车由供应商负责，卸车人员</w:t>
      </w:r>
      <w:r>
        <w:rPr>
          <w:rFonts w:hint="eastAsia" w:ascii="宋体" w:hAnsi="宋体" w:eastAsia="宋体" w:cs="宋体"/>
          <w:color w:val="000000" w:themeColor="text1"/>
          <w:kern w:val="0"/>
          <w:sz w:val="28"/>
          <w:szCs w:val="28"/>
          <w:highlight w:val="none"/>
          <w:lang w:eastAsia="zh-CN"/>
        </w:rPr>
        <w:t>佩戴好劳动防护用品后通过</w:t>
      </w:r>
      <w:r>
        <w:rPr>
          <w:rFonts w:hint="eastAsia" w:cs="宋体"/>
          <w:color w:val="000000" w:themeColor="text1"/>
          <w:kern w:val="0"/>
          <w:sz w:val="28"/>
          <w:szCs w:val="28"/>
          <w:highlight w:val="none"/>
          <w:lang w:eastAsia="zh-CN"/>
        </w:rPr>
        <w:t>人工</w:t>
      </w:r>
      <w:r>
        <w:rPr>
          <w:rFonts w:hint="eastAsia" w:ascii="宋体" w:hAnsi="宋体" w:eastAsia="宋体" w:cs="宋体"/>
          <w:color w:val="000000" w:themeColor="text1"/>
          <w:kern w:val="0"/>
          <w:sz w:val="28"/>
          <w:szCs w:val="28"/>
          <w:highlight w:val="none"/>
          <w:lang w:eastAsia="zh-CN"/>
        </w:rPr>
        <w:t>卸车，卸车过程由</w:t>
      </w:r>
      <w:r>
        <w:rPr>
          <w:rFonts w:hint="eastAsia" w:cs="宋体"/>
          <w:color w:val="000000" w:themeColor="text1"/>
          <w:kern w:val="0"/>
          <w:sz w:val="28"/>
          <w:szCs w:val="28"/>
          <w:highlight w:val="none"/>
          <w:lang w:eastAsia="zh-CN"/>
        </w:rPr>
        <w:t>华美线业人员</w:t>
      </w:r>
      <w:r>
        <w:rPr>
          <w:rFonts w:hint="eastAsia" w:ascii="宋体" w:hAnsi="宋体" w:eastAsia="宋体" w:cs="宋体"/>
          <w:color w:val="000000" w:themeColor="text1"/>
          <w:kern w:val="0"/>
          <w:sz w:val="28"/>
          <w:szCs w:val="28"/>
          <w:highlight w:val="none"/>
          <w:lang w:eastAsia="zh-CN"/>
        </w:rPr>
        <w:t>现场指挥和全程监护下进行，最后由</w:t>
      </w:r>
      <w:r>
        <w:rPr>
          <w:rFonts w:hint="eastAsia" w:cs="宋体"/>
          <w:color w:val="000000" w:themeColor="text1"/>
          <w:kern w:val="0"/>
          <w:sz w:val="28"/>
          <w:szCs w:val="28"/>
          <w:highlight w:val="none"/>
          <w:lang w:eastAsia="zh-CN"/>
        </w:rPr>
        <w:t>华美线业人员</w:t>
      </w:r>
      <w:r>
        <w:rPr>
          <w:rFonts w:hint="eastAsia" w:ascii="宋体" w:hAnsi="宋体" w:eastAsia="宋体" w:cs="宋体"/>
          <w:color w:val="000000" w:themeColor="text1"/>
          <w:kern w:val="0"/>
          <w:sz w:val="28"/>
          <w:szCs w:val="28"/>
          <w:highlight w:val="none"/>
          <w:lang w:eastAsia="zh-CN"/>
        </w:rPr>
        <w:t>验收合格后再用</w:t>
      </w:r>
      <w:r>
        <w:rPr>
          <w:rFonts w:hint="eastAsia" w:cs="宋体"/>
          <w:color w:val="000000" w:themeColor="text1"/>
          <w:kern w:val="0"/>
          <w:sz w:val="28"/>
          <w:szCs w:val="28"/>
          <w:highlight w:val="none"/>
          <w:lang w:eastAsia="zh-CN"/>
        </w:rPr>
        <w:t>小推车</w:t>
      </w:r>
      <w:r>
        <w:rPr>
          <w:rFonts w:hint="eastAsia" w:ascii="宋体" w:hAnsi="宋体" w:eastAsia="宋体" w:cs="宋体"/>
          <w:color w:val="000000" w:themeColor="text1"/>
          <w:kern w:val="0"/>
          <w:sz w:val="28"/>
          <w:szCs w:val="28"/>
          <w:highlight w:val="none"/>
          <w:lang w:eastAsia="zh-CN"/>
        </w:rPr>
        <w:t>入库。</w:t>
      </w:r>
    </w:p>
    <w:p w14:paraId="1C3EB5C5">
      <w:pPr>
        <w:keepNext w:val="0"/>
        <w:keepLines w:val="0"/>
        <w:pageBreakBefore w:val="0"/>
        <w:widowControl w:val="0"/>
        <w:kinsoku/>
        <w:wordWrap/>
        <w:topLinePunct w:val="0"/>
        <w:bidi w:val="0"/>
        <w:adjustRightInd w:val="0"/>
        <w:snapToGrid w:val="0"/>
        <w:spacing w:line="360" w:lineRule="auto"/>
        <w:ind w:firstLine="560" w:firstLineChars="200"/>
        <w:rPr>
          <w:rFonts w:hint="default" w:eastAsia="宋体"/>
          <w:color w:val="000000" w:themeColor="text1"/>
          <w:sz w:val="28"/>
          <w:szCs w:val="28"/>
          <w:highlight w:val="none"/>
          <w:lang w:val="en-US" w:eastAsia="zh-CN"/>
        </w:rPr>
      </w:pPr>
      <w:r>
        <w:rPr>
          <w:rFonts w:hint="eastAsia"/>
          <w:color w:val="000000" w:themeColor="text1"/>
          <w:spacing w:val="0"/>
          <w:sz w:val="28"/>
          <w:szCs w:val="28"/>
          <w:highlight w:val="none"/>
        </w:rPr>
        <w:t>废水处理站</w:t>
      </w:r>
      <w:r>
        <w:rPr>
          <w:color w:val="000000" w:themeColor="text1"/>
          <w:spacing w:val="0"/>
          <w:sz w:val="28"/>
          <w:szCs w:val="28"/>
          <w:highlight w:val="none"/>
        </w:rPr>
        <w:t>药剂房</w:t>
      </w:r>
      <w:r>
        <w:rPr>
          <w:rFonts w:hint="eastAsia" w:ascii="宋体" w:hAnsi="宋体" w:eastAsia="宋体" w:cs="宋体"/>
          <w:color w:val="000000" w:themeColor="text1"/>
          <w:sz w:val="28"/>
          <w:szCs w:val="28"/>
          <w:highlight w:val="none"/>
          <w:lang w:eastAsia="zh-CN"/>
        </w:rPr>
        <w:t>设置了</w:t>
      </w:r>
      <w:r>
        <w:rPr>
          <w:rFonts w:hint="eastAsia"/>
          <w:color w:val="000000" w:themeColor="text1"/>
          <w:sz w:val="28"/>
          <w:szCs w:val="28"/>
          <w:highlight w:val="none"/>
        </w:rPr>
        <w:t>化学品作业场所安全警示标志</w:t>
      </w:r>
      <w:r>
        <w:rPr>
          <w:rFonts w:hint="eastAsia" w:ascii="宋体" w:hAnsi="宋体" w:eastAsia="宋体" w:cs="宋体"/>
          <w:color w:val="000000" w:themeColor="text1"/>
          <w:sz w:val="28"/>
          <w:szCs w:val="28"/>
          <w:highlight w:val="none"/>
          <w:lang w:val="en-US" w:eastAsia="zh-CN"/>
        </w:rPr>
        <w:t>、视频监控、洗眼冲淋设施。</w:t>
      </w:r>
    </w:p>
    <w:bookmarkEnd w:id="250"/>
    <w:bookmarkEnd w:id="251"/>
    <w:bookmarkEnd w:id="252"/>
    <w:bookmarkEnd w:id="253"/>
    <w:bookmarkEnd w:id="254"/>
    <w:bookmarkEnd w:id="255"/>
    <w:bookmarkEnd w:id="258"/>
    <w:bookmarkEnd w:id="259"/>
    <w:bookmarkEnd w:id="260"/>
    <w:bookmarkEnd w:id="261"/>
    <w:p w14:paraId="1E2D2A76">
      <w:pPr>
        <w:pStyle w:val="7"/>
        <w:keepNext w:val="0"/>
        <w:keepLines w:val="0"/>
        <w:pageBreakBefore w:val="0"/>
        <w:widowControl w:val="0"/>
        <w:kinsoku/>
        <w:wordWrap/>
        <w:overflowPunct/>
        <w:topLinePunct w:val="0"/>
        <w:autoSpaceDE/>
        <w:autoSpaceDN/>
        <w:bidi w:val="0"/>
        <w:adjustRightInd w:val="0"/>
        <w:snapToGrid w:val="0"/>
        <w:textAlignment w:val="auto"/>
        <w:outlineLvl w:val="2"/>
        <w:rPr>
          <w:rFonts w:hint="eastAsia" w:hAnsi="宋体" w:eastAsia="黑体" w:cs="宋体"/>
          <w:color w:val="000000" w:themeColor="text1"/>
          <w:highlight w:val="none"/>
          <w:lang w:val="en-US" w:eastAsia="zh-CN"/>
        </w:rPr>
      </w:pPr>
      <w:bookmarkStart w:id="270" w:name="_Toc8133"/>
      <w:bookmarkStart w:id="271" w:name="_Toc7388"/>
      <w:bookmarkStart w:id="272" w:name="_Toc31240"/>
      <w:bookmarkStart w:id="273" w:name="_Toc10087"/>
      <w:bookmarkStart w:id="274" w:name="_Toc8476"/>
      <w:bookmarkStart w:id="275" w:name="_Toc17397"/>
      <w:bookmarkStart w:id="276" w:name="_Toc449456798"/>
      <w:bookmarkStart w:id="277" w:name="_Toc207676773"/>
      <w:bookmarkStart w:id="278" w:name="_Toc234394479"/>
      <w:bookmarkStart w:id="279" w:name="_Toc449456889"/>
      <w:bookmarkStart w:id="280" w:name="_Toc186273628"/>
      <w:bookmarkStart w:id="281" w:name="_Toc160859593"/>
      <w:bookmarkStart w:id="282" w:name="_Toc150849428"/>
      <w:bookmarkStart w:id="283" w:name="_Toc151792115"/>
      <w:bookmarkStart w:id="284" w:name="_Toc176576642"/>
      <w:bookmarkStart w:id="285" w:name="_Toc161042271"/>
      <w:r>
        <w:rPr>
          <w:rFonts w:hint="eastAsia" w:hAnsi="宋体" w:cs="宋体"/>
          <w:color w:val="000000" w:themeColor="text1"/>
          <w:highlight w:val="none"/>
          <w:lang w:val="en-US" w:eastAsia="zh-CN"/>
        </w:rPr>
        <w:t>2.</w:t>
      </w:r>
      <w:r>
        <w:rPr>
          <w:rFonts w:hint="eastAsia" w:cs="宋体"/>
          <w:color w:val="000000" w:themeColor="text1"/>
          <w:highlight w:val="none"/>
          <w:lang w:val="en-US" w:eastAsia="zh-CN"/>
        </w:rPr>
        <w:t>4.2危险化学品使用</w:t>
      </w:r>
      <w:bookmarkEnd w:id="270"/>
      <w:bookmarkEnd w:id="271"/>
      <w:bookmarkEnd w:id="272"/>
      <w:bookmarkEnd w:id="273"/>
      <w:bookmarkEnd w:id="274"/>
      <w:bookmarkEnd w:id="275"/>
    </w:p>
    <w:p w14:paraId="49A326AE">
      <w:pPr>
        <w:pStyle w:val="744"/>
        <w:keepNext w:val="0"/>
        <w:keepLines w:val="0"/>
        <w:pageBreakBefore w:val="0"/>
        <w:widowControl w:val="0"/>
        <w:kinsoku/>
        <w:wordWrap/>
        <w:topLinePunct w:val="0"/>
        <w:bidi w:val="0"/>
        <w:adjustRightInd w:val="0"/>
        <w:snapToGrid w:val="0"/>
        <w:spacing w:line="360" w:lineRule="auto"/>
        <w:ind w:firstLine="560"/>
        <w:rPr>
          <w:rFonts w:hint="eastAsia" w:ascii="宋体" w:hAnsi="宋体" w:eastAsia="宋体" w:cs="宋体"/>
          <w:color w:val="000000" w:themeColor="text1"/>
          <w:sz w:val="28"/>
          <w:szCs w:val="28"/>
          <w:highlight w:val="none"/>
          <w:lang w:val="en-US" w:eastAsia="zh-CN"/>
        </w:rPr>
      </w:pPr>
      <w:r>
        <w:rPr>
          <w:rFonts w:hint="eastAsia" w:ascii="宋体" w:hAnsi="宋体" w:eastAsia="宋体" w:cs="宋体"/>
          <w:color w:val="000000" w:themeColor="text1"/>
          <w:sz w:val="28"/>
          <w:szCs w:val="28"/>
          <w:highlight w:val="none"/>
          <w:lang w:val="en-US" w:eastAsia="zh-CN"/>
        </w:rPr>
        <w:t>本项目危险化学品用于</w:t>
      </w:r>
      <w:r>
        <w:rPr>
          <w:rFonts w:hint="eastAsia" w:ascii="宋体" w:hAnsi="宋体" w:eastAsia="宋体" w:cs="宋体"/>
          <w:color w:val="000000" w:themeColor="text1"/>
          <w:sz w:val="28"/>
          <w:szCs w:val="28"/>
          <w:highlight w:val="none"/>
          <w:lang w:eastAsia="zh-CN"/>
        </w:rPr>
        <w:t>漂染车间的</w:t>
      </w:r>
      <w:r>
        <w:rPr>
          <w:rFonts w:hint="eastAsia" w:ascii="宋体" w:hAnsi="宋体" w:eastAsia="宋体" w:cs="宋体"/>
          <w:color w:val="000000" w:themeColor="text1"/>
          <w:sz w:val="28"/>
          <w:szCs w:val="28"/>
          <w:highlight w:val="none"/>
        </w:rPr>
        <w:t>纱线染色</w:t>
      </w:r>
      <w:r>
        <w:rPr>
          <w:rFonts w:hint="eastAsia" w:ascii="宋体" w:hAnsi="宋体" w:eastAsia="宋体" w:cs="宋体"/>
          <w:color w:val="000000" w:themeColor="text1"/>
          <w:sz w:val="28"/>
          <w:szCs w:val="28"/>
          <w:highlight w:val="none"/>
          <w:lang w:eastAsia="zh-CN"/>
        </w:rPr>
        <w:t>和废水</w:t>
      </w:r>
      <w:r>
        <w:rPr>
          <w:rFonts w:hint="eastAsia" w:ascii="宋体" w:hAnsi="宋体" w:eastAsia="宋体" w:cs="宋体"/>
          <w:color w:val="000000" w:themeColor="text1"/>
          <w:sz w:val="28"/>
          <w:szCs w:val="28"/>
          <w:highlight w:val="none"/>
          <w:lang w:val="en-US" w:eastAsia="zh-CN"/>
        </w:rPr>
        <w:t>处理站的</w:t>
      </w:r>
      <w:r>
        <w:rPr>
          <w:color w:val="000000" w:themeColor="text1"/>
          <w:sz w:val="28"/>
          <w:szCs w:val="28"/>
          <w:highlight w:val="none"/>
        </w:rPr>
        <w:t>MBR膜</w:t>
      </w:r>
      <w:r>
        <w:rPr>
          <w:rFonts w:hint="eastAsia"/>
          <w:color w:val="000000" w:themeColor="text1"/>
          <w:sz w:val="28"/>
          <w:szCs w:val="28"/>
          <w:highlight w:val="none"/>
        </w:rPr>
        <w:t>清洗</w:t>
      </w:r>
      <w:r>
        <w:rPr>
          <w:rFonts w:hint="eastAsia" w:ascii="宋体" w:hAnsi="宋体" w:eastAsia="宋体" w:cs="宋体"/>
          <w:color w:val="000000" w:themeColor="text1"/>
          <w:sz w:val="28"/>
          <w:szCs w:val="28"/>
          <w:highlight w:val="none"/>
          <w:lang w:val="en-US" w:eastAsia="zh-CN"/>
        </w:rPr>
        <w:t>。</w:t>
      </w:r>
    </w:p>
    <w:p w14:paraId="24BC2EFC">
      <w:pPr>
        <w:pStyle w:val="744"/>
        <w:keepNext w:val="0"/>
        <w:keepLines w:val="0"/>
        <w:pageBreakBefore w:val="0"/>
        <w:widowControl w:val="0"/>
        <w:numPr>
          <w:ilvl w:val="0"/>
          <w:numId w:val="14"/>
        </w:numPr>
        <w:kinsoku/>
        <w:wordWrap/>
        <w:topLinePunct w:val="0"/>
        <w:bidi w:val="0"/>
        <w:adjustRightInd w:val="0"/>
        <w:snapToGrid w:val="0"/>
        <w:spacing w:line="360" w:lineRule="auto"/>
        <w:ind w:left="142" w:leftChars="0" w:firstLine="420" w:firstLineChars="0"/>
        <w:rPr>
          <w:rFonts w:hint="eastAsia" w:ascii="宋体" w:hAnsi="宋体" w:eastAsia="宋体" w:cs="宋体"/>
          <w:color w:val="000000" w:themeColor="text1"/>
          <w:sz w:val="28"/>
          <w:szCs w:val="28"/>
          <w:highlight w:val="none"/>
          <w:lang w:eastAsia="zh-CN"/>
        </w:rPr>
      </w:pPr>
      <w:r>
        <w:rPr>
          <w:rFonts w:hint="eastAsia"/>
          <w:color w:val="000000" w:themeColor="text1"/>
          <w:sz w:val="28"/>
          <w:szCs w:val="28"/>
          <w:highlight w:val="none"/>
        </w:rPr>
        <w:t>纱线染色</w:t>
      </w:r>
      <w:r>
        <w:rPr>
          <w:rFonts w:hint="eastAsia"/>
          <w:color w:val="000000" w:themeColor="text1"/>
          <w:sz w:val="28"/>
          <w:szCs w:val="28"/>
          <w:highlight w:val="none"/>
          <w:lang w:eastAsia="zh-CN"/>
        </w:rPr>
        <w:t>危险化学品使用</w:t>
      </w:r>
    </w:p>
    <w:p w14:paraId="77D24A2D">
      <w:pPr>
        <w:pStyle w:val="744"/>
        <w:keepNext w:val="0"/>
        <w:keepLines w:val="0"/>
        <w:pageBreakBefore w:val="0"/>
        <w:widowControl w:val="0"/>
        <w:numPr>
          <w:ilvl w:val="0"/>
          <w:numId w:val="1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lang w:eastAsia="zh-CN"/>
        </w:rPr>
      </w:pPr>
      <w:r>
        <w:rPr>
          <w:rFonts w:hint="eastAsia"/>
          <w:color w:val="000000" w:themeColor="text1"/>
          <w:sz w:val="28"/>
          <w:szCs w:val="28"/>
          <w:highlight w:val="none"/>
        </w:rPr>
        <w:t>纱线染色</w:t>
      </w:r>
      <w:r>
        <w:rPr>
          <w:rFonts w:hint="eastAsia"/>
          <w:color w:val="000000" w:themeColor="text1"/>
          <w:sz w:val="28"/>
          <w:szCs w:val="28"/>
          <w:highlight w:val="none"/>
          <w:lang w:eastAsia="zh-CN"/>
        </w:rPr>
        <w:t>危险化学品使用场所</w:t>
      </w:r>
    </w:p>
    <w:p w14:paraId="478BE092">
      <w:pPr>
        <w:pStyle w:val="744"/>
        <w:keepNext w:val="0"/>
        <w:keepLines w:val="0"/>
        <w:pageBreakBefore w:val="0"/>
        <w:widowControl w:val="0"/>
        <w:numPr>
          <w:ilvl w:val="0"/>
          <w:numId w:val="15"/>
        </w:numPr>
        <w:kinsoku/>
        <w:wordWrap/>
        <w:overflowPunct/>
        <w:topLinePunct w:val="0"/>
        <w:autoSpaceDE/>
        <w:autoSpaceDN/>
        <w:bidi w:val="0"/>
        <w:adjustRightInd w:val="0"/>
        <w:snapToGrid w:val="0"/>
        <w:spacing w:line="360" w:lineRule="auto"/>
        <w:ind w:left="0" w:leftChars="0" w:firstLine="560" w:firstLineChars="200"/>
        <w:textAlignment w:val="auto"/>
        <w:rPr>
          <w:color w:val="000000" w:themeColor="text1"/>
          <w:sz w:val="28"/>
          <w:szCs w:val="28"/>
          <w:highlight w:val="none"/>
        </w:rPr>
      </w:pPr>
      <w:r>
        <w:rPr>
          <w:rFonts w:hint="eastAsia"/>
          <w:color w:val="000000" w:themeColor="text1"/>
          <w:sz w:val="28"/>
          <w:szCs w:val="28"/>
          <w:highlight w:val="none"/>
          <w:lang w:eastAsia="zh-CN"/>
        </w:rPr>
        <w:t>危险化学品使用过程</w:t>
      </w:r>
    </w:p>
    <w:p w14:paraId="11D632B6">
      <w:pPr>
        <w:pStyle w:val="744"/>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废水处理</w:t>
      </w:r>
      <w:r>
        <w:rPr>
          <w:rFonts w:hint="eastAsia" w:ascii="宋体" w:hAnsi="宋体" w:eastAsia="宋体" w:cs="宋体"/>
          <w:color w:val="000000" w:themeColor="text1"/>
          <w:sz w:val="28"/>
          <w:szCs w:val="28"/>
          <w:highlight w:val="none"/>
          <w:lang w:eastAsia="zh-CN"/>
        </w:rPr>
        <w:t>危险化学品使用</w:t>
      </w:r>
    </w:p>
    <w:p w14:paraId="05904451">
      <w:pPr>
        <w:pStyle w:val="744"/>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color w:val="000000" w:themeColor="text1"/>
          <w:sz w:val="28"/>
          <w:szCs w:val="28"/>
          <w:highlight w:val="none"/>
        </w:rPr>
      </w:pPr>
      <w:r>
        <w:rPr>
          <w:rFonts w:hint="eastAsia" w:ascii="宋体" w:hAnsi="宋体" w:eastAsia="宋体" w:cs="宋体"/>
          <w:color w:val="000000" w:themeColor="text1"/>
          <w:sz w:val="28"/>
          <w:szCs w:val="28"/>
          <w:highlight w:val="none"/>
        </w:rPr>
        <w:t>废水处理</w:t>
      </w:r>
      <w:r>
        <w:rPr>
          <w:rFonts w:hint="eastAsia"/>
          <w:color w:val="000000" w:themeColor="text1"/>
          <w:sz w:val="28"/>
          <w:szCs w:val="28"/>
          <w:highlight w:val="none"/>
          <w:lang w:eastAsia="zh-CN"/>
        </w:rPr>
        <w:t>工艺</w:t>
      </w:r>
    </w:p>
    <w:p w14:paraId="1A2FEE28">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color w:val="000000" w:themeColor="text1"/>
          <w:sz w:val="28"/>
          <w:szCs w:val="28"/>
          <w:highlight w:val="none"/>
        </w:rPr>
      </w:pPr>
      <w:r>
        <w:rPr>
          <w:rFonts w:hint="eastAsia"/>
          <w:color w:val="000000" w:themeColor="text1"/>
          <w:sz w:val="28"/>
          <w:szCs w:val="28"/>
          <w:highlight w:val="none"/>
        </w:rPr>
        <w:t>华美线业废水处理工艺采用“双膜（</w:t>
      </w:r>
      <w:r>
        <w:rPr>
          <w:color w:val="000000" w:themeColor="text1"/>
          <w:sz w:val="28"/>
          <w:szCs w:val="28"/>
          <w:highlight w:val="none"/>
        </w:rPr>
        <w:t>MBR膜+RO膜）”法工艺。</w:t>
      </w:r>
    </w:p>
    <w:p w14:paraId="78ECA964">
      <w:pPr>
        <w:pStyle w:val="744"/>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rPr>
      </w:pPr>
      <w:r>
        <w:rPr>
          <w:rFonts w:hint="eastAsia" w:ascii="宋体" w:hAnsi="宋体" w:eastAsia="宋体" w:cs="宋体"/>
          <w:color w:val="000000" w:themeColor="text1"/>
          <w:sz w:val="28"/>
          <w:szCs w:val="28"/>
          <w:highlight w:val="none"/>
        </w:rPr>
        <w:t>废水处理</w:t>
      </w:r>
      <w:r>
        <w:rPr>
          <w:rFonts w:hint="eastAsia"/>
          <w:color w:val="000000" w:themeColor="text1"/>
          <w:sz w:val="28"/>
          <w:szCs w:val="28"/>
          <w:highlight w:val="none"/>
          <w:lang w:eastAsia="zh-CN"/>
        </w:rPr>
        <w:t>危险化学品使用场所</w:t>
      </w:r>
    </w:p>
    <w:p w14:paraId="24720807">
      <w:pPr>
        <w:pStyle w:val="744"/>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i w:val="0"/>
          <w:iCs w:val="0"/>
          <w:color w:val="000000" w:themeColor="text1"/>
          <w:kern w:val="0"/>
          <w:sz w:val="28"/>
          <w:szCs w:val="28"/>
          <w:highlight w:val="none"/>
          <w:u w:val="none"/>
          <w:lang w:val="en-US" w:eastAsia="zh-CN" w:bidi="ar"/>
        </w:rPr>
      </w:pPr>
      <w:r>
        <w:rPr>
          <w:rFonts w:hint="eastAsia" w:ascii="宋体" w:hAnsi="宋体" w:eastAsia="宋体" w:cs="宋体"/>
          <w:color w:val="000000" w:themeColor="text1"/>
          <w:sz w:val="28"/>
          <w:szCs w:val="28"/>
          <w:highlight w:val="none"/>
        </w:rPr>
        <w:t>废水处理</w:t>
      </w:r>
      <w:r>
        <w:rPr>
          <w:rFonts w:hint="eastAsia" w:ascii="宋体" w:hAnsi="宋体" w:eastAsia="宋体" w:cs="宋体"/>
          <w:color w:val="000000" w:themeColor="text1"/>
          <w:sz w:val="28"/>
          <w:szCs w:val="28"/>
          <w:highlight w:val="none"/>
          <w:lang w:eastAsia="zh-CN"/>
        </w:rPr>
        <w:t>危险化学品使用场所为</w:t>
      </w:r>
      <w:r>
        <w:rPr>
          <w:rFonts w:hint="eastAsia" w:ascii="宋体" w:hAnsi="宋体" w:eastAsia="宋体" w:cs="宋体"/>
          <w:color w:val="000000" w:themeColor="text1"/>
          <w:sz w:val="28"/>
          <w:szCs w:val="28"/>
          <w:highlight w:val="none"/>
        </w:rPr>
        <w:t>废水处理</w:t>
      </w:r>
      <w:r>
        <w:rPr>
          <w:rFonts w:hint="eastAsia" w:ascii="宋体" w:hAnsi="宋体" w:eastAsia="宋体" w:cs="宋体"/>
          <w:color w:val="000000" w:themeColor="text1"/>
          <w:sz w:val="28"/>
          <w:szCs w:val="28"/>
          <w:highlight w:val="none"/>
          <w:lang w:eastAsia="zh-CN"/>
        </w:rPr>
        <w:t>站</w:t>
      </w:r>
      <w:r>
        <w:rPr>
          <w:rFonts w:hint="eastAsia" w:ascii="宋体" w:hAnsi="宋体" w:cs="宋体"/>
          <w:color w:val="000000" w:themeColor="text1"/>
          <w:kern w:val="0"/>
          <w:sz w:val="28"/>
          <w:szCs w:val="28"/>
          <w:highlight w:val="none"/>
          <w:lang w:eastAsia="zh-CN"/>
        </w:rPr>
        <w:t>加药区的次钠配料桶</w:t>
      </w:r>
      <w:r>
        <w:rPr>
          <w:rFonts w:hint="eastAsia" w:ascii="宋体" w:hAnsi="宋体" w:eastAsia="宋体" w:cs="宋体"/>
          <w:i w:val="0"/>
          <w:iCs w:val="0"/>
          <w:color w:val="000000" w:themeColor="text1"/>
          <w:kern w:val="0"/>
          <w:sz w:val="28"/>
          <w:szCs w:val="28"/>
          <w:highlight w:val="none"/>
          <w:u w:val="none"/>
          <w:lang w:val="en-US" w:eastAsia="zh-CN" w:bidi="ar"/>
        </w:rPr>
        <w:t>。</w:t>
      </w:r>
    </w:p>
    <w:p w14:paraId="31923EE6">
      <w:pPr>
        <w:pStyle w:val="744"/>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rPr>
      </w:pPr>
      <w:r>
        <w:rPr>
          <w:rFonts w:hint="eastAsia" w:ascii="宋体" w:hAnsi="宋体" w:eastAsia="宋体" w:cs="宋体"/>
          <w:color w:val="000000" w:themeColor="text1"/>
          <w:sz w:val="28"/>
          <w:szCs w:val="28"/>
          <w:highlight w:val="none"/>
        </w:rPr>
        <w:t>废水处理</w:t>
      </w:r>
      <w:r>
        <w:rPr>
          <w:rFonts w:hint="eastAsia"/>
          <w:color w:val="000000" w:themeColor="text1"/>
          <w:sz w:val="28"/>
          <w:szCs w:val="28"/>
          <w:highlight w:val="none"/>
          <w:lang w:eastAsia="zh-CN"/>
        </w:rPr>
        <w:t>危险化学品使用过程</w:t>
      </w:r>
    </w:p>
    <w:p w14:paraId="65EBC875">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color w:val="000000" w:themeColor="text1"/>
          <w:sz w:val="28"/>
          <w:szCs w:val="28"/>
          <w:highlight w:val="none"/>
        </w:rPr>
      </w:pPr>
      <w:r>
        <w:rPr>
          <w:rFonts w:hint="eastAsia"/>
          <w:color w:val="000000" w:themeColor="text1"/>
          <w:sz w:val="28"/>
          <w:szCs w:val="28"/>
          <w:highlight w:val="none"/>
        </w:rPr>
        <w:t>次氯酸钠</w:t>
      </w:r>
      <w:r>
        <w:rPr>
          <w:rFonts w:hint="eastAsia"/>
          <w:color w:val="000000" w:themeColor="text1"/>
          <w:sz w:val="28"/>
          <w:szCs w:val="28"/>
          <w:highlight w:val="none"/>
          <w:lang w:eastAsia="zh-CN"/>
        </w:rPr>
        <w:t>溶液</w:t>
      </w:r>
      <w:r>
        <w:rPr>
          <w:rFonts w:hint="eastAsia"/>
          <w:color w:val="000000" w:themeColor="text1"/>
          <w:sz w:val="28"/>
          <w:szCs w:val="28"/>
          <w:highlight w:val="none"/>
        </w:rPr>
        <w:t>用于清洗</w:t>
      </w:r>
      <w:r>
        <w:rPr>
          <w:color w:val="000000" w:themeColor="text1"/>
          <w:sz w:val="28"/>
          <w:szCs w:val="28"/>
          <w:highlight w:val="none"/>
        </w:rPr>
        <w:t>MBR膜</w:t>
      </w:r>
      <w:r>
        <w:rPr>
          <w:rFonts w:hint="eastAsia"/>
          <w:color w:val="000000" w:themeColor="text1"/>
          <w:sz w:val="28"/>
          <w:szCs w:val="28"/>
          <w:highlight w:val="none"/>
        </w:rPr>
        <w:t>。</w:t>
      </w:r>
    </w:p>
    <w:p w14:paraId="03B263C1">
      <w:pPr>
        <w:pStyle w:val="6"/>
        <w:keepNext w:val="0"/>
        <w:keepLines w:val="0"/>
        <w:pageBreakBefore w:val="0"/>
        <w:widowControl w:val="0"/>
        <w:kinsoku/>
        <w:wordWrap/>
        <w:overflowPunct/>
        <w:topLinePunct w:val="0"/>
        <w:autoSpaceDE/>
        <w:autoSpaceDN/>
        <w:bidi w:val="0"/>
        <w:textAlignment w:val="auto"/>
        <w:rPr>
          <w:rFonts w:hint="eastAsia" w:hAnsi="宋体" w:cs="宋体"/>
          <w:color w:val="000000" w:themeColor="text1"/>
          <w:highlight w:val="none"/>
        </w:rPr>
      </w:pPr>
      <w:bookmarkStart w:id="286" w:name="_Toc26679"/>
      <w:bookmarkStart w:id="287" w:name="_Toc17771"/>
      <w:bookmarkStart w:id="288" w:name="_Toc2573"/>
      <w:bookmarkStart w:id="289" w:name="_Toc20657"/>
      <w:bookmarkStart w:id="290" w:name="_Toc30502"/>
      <w:bookmarkStart w:id="291" w:name="_Toc18696"/>
      <w:r>
        <w:rPr>
          <w:rFonts w:hint="eastAsia" w:hAnsi="宋体" w:cs="宋体"/>
          <w:color w:val="000000" w:themeColor="text1"/>
          <w:highlight w:val="none"/>
        </w:rPr>
        <w:t>2.</w:t>
      </w:r>
      <w:r>
        <w:rPr>
          <w:rFonts w:hint="eastAsia" w:cs="宋体"/>
          <w:color w:val="000000" w:themeColor="text1"/>
          <w:highlight w:val="none"/>
          <w:lang w:val="en-US" w:eastAsia="zh-CN"/>
        </w:rPr>
        <w:t>5</w:t>
      </w:r>
      <w:r>
        <w:rPr>
          <w:rFonts w:hint="eastAsia" w:hAnsi="宋体" w:cs="宋体"/>
          <w:color w:val="000000" w:themeColor="text1"/>
          <w:highlight w:val="none"/>
        </w:rPr>
        <w:t>主要设备</w:t>
      </w:r>
      <w:r>
        <w:rPr>
          <w:rFonts w:hint="eastAsia" w:cs="宋体"/>
          <w:color w:val="000000" w:themeColor="text1"/>
          <w:highlight w:val="none"/>
          <w:lang w:eastAsia="zh-CN"/>
        </w:rPr>
        <w:t>和安全设施</w:t>
      </w:r>
      <w:bookmarkEnd w:id="286"/>
      <w:bookmarkEnd w:id="287"/>
      <w:bookmarkEnd w:id="288"/>
      <w:bookmarkEnd w:id="289"/>
      <w:bookmarkEnd w:id="290"/>
      <w:bookmarkEnd w:id="291"/>
    </w:p>
    <w:p w14:paraId="0C67B3CD">
      <w:pPr>
        <w:pStyle w:val="7"/>
        <w:keepNext w:val="0"/>
        <w:keepLines w:val="0"/>
        <w:pageBreakBefore w:val="0"/>
        <w:widowControl w:val="0"/>
        <w:kinsoku/>
        <w:wordWrap/>
        <w:overflowPunct/>
        <w:topLinePunct w:val="0"/>
        <w:autoSpaceDE/>
        <w:autoSpaceDN/>
        <w:bidi w:val="0"/>
        <w:adjustRightInd w:val="0"/>
        <w:snapToGrid w:val="0"/>
        <w:textAlignment w:val="auto"/>
        <w:outlineLvl w:val="2"/>
        <w:rPr>
          <w:rFonts w:hint="default" w:hAnsi="宋体" w:cs="宋体"/>
          <w:color w:val="000000" w:themeColor="text1"/>
          <w:highlight w:val="none"/>
          <w:lang w:val="en-US" w:eastAsia="zh-CN"/>
        </w:rPr>
      </w:pPr>
      <w:bookmarkStart w:id="292" w:name="_Toc18352"/>
      <w:bookmarkStart w:id="293" w:name="_Toc29837"/>
      <w:bookmarkStart w:id="294" w:name="_Toc174"/>
      <w:bookmarkStart w:id="295" w:name="_Toc6102"/>
      <w:bookmarkStart w:id="296" w:name="_Toc32407"/>
      <w:bookmarkStart w:id="297" w:name="_Toc20133"/>
      <w:r>
        <w:rPr>
          <w:rFonts w:hint="eastAsia" w:hAnsi="宋体" w:cs="宋体"/>
          <w:color w:val="000000" w:themeColor="text1"/>
          <w:highlight w:val="none"/>
          <w:lang w:val="en-US" w:eastAsia="zh-CN"/>
        </w:rPr>
        <w:t>2.5.1主要设备</w:t>
      </w:r>
      <w:bookmarkEnd w:id="292"/>
      <w:bookmarkEnd w:id="293"/>
      <w:bookmarkEnd w:id="294"/>
      <w:bookmarkEnd w:id="295"/>
      <w:bookmarkEnd w:id="296"/>
      <w:bookmarkEnd w:id="297"/>
    </w:p>
    <w:p w14:paraId="4531CC6C">
      <w:pPr>
        <w:keepNext w:val="0"/>
        <w:keepLines w:val="0"/>
        <w:pageBreakBefore w:val="0"/>
        <w:widowControl w:val="0"/>
        <w:kinsoku/>
        <w:wordWrap/>
        <w:topLinePunct w:val="0"/>
        <w:bidi w:val="0"/>
        <w:adjustRightInd w:val="0"/>
        <w:snapToGrid w:val="0"/>
        <w:spacing w:line="360" w:lineRule="auto"/>
        <w:ind w:firstLine="560" w:firstLineChars="200"/>
        <w:rPr>
          <w:rFonts w:hint="eastAsia"/>
          <w:bCs/>
          <w:snapToGrid w:val="0"/>
          <w:color w:val="000000" w:themeColor="text1"/>
          <w:sz w:val="28"/>
          <w:szCs w:val="28"/>
          <w:highlight w:val="none"/>
        </w:rPr>
      </w:pPr>
      <w:r>
        <w:rPr>
          <w:rFonts w:hint="eastAsia"/>
          <w:color w:val="000000" w:themeColor="text1"/>
          <w:sz w:val="28"/>
          <w:szCs w:val="28"/>
          <w:highlight w:val="none"/>
        </w:rPr>
        <w:t>华美线业</w:t>
      </w:r>
      <w:r>
        <w:rPr>
          <w:rFonts w:hint="eastAsia"/>
          <w:bCs/>
          <w:snapToGrid w:val="0"/>
          <w:color w:val="000000" w:themeColor="text1"/>
          <w:sz w:val="28"/>
          <w:szCs w:val="28"/>
          <w:highlight w:val="none"/>
        </w:rPr>
        <w:t>涉及危险化学品的主要设备为染色车间的</w:t>
      </w:r>
      <w:r>
        <w:rPr>
          <w:bCs/>
          <w:snapToGrid w:val="0"/>
          <w:color w:val="000000" w:themeColor="text1"/>
          <w:sz w:val="28"/>
          <w:szCs w:val="28"/>
          <w:highlight w:val="none"/>
        </w:rPr>
        <w:t>染缸</w:t>
      </w:r>
      <w:r>
        <w:rPr>
          <w:rFonts w:hint="eastAsia"/>
          <w:bCs/>
          <w:snapToGrid w:val="0"/>
          <w:color w:val="000000" w:themeColor="text1"/>
          <w:sz w:val="28"/>
          <w:szCs w:val="28"/>
          <w:highlight w:val="none"/>
        </w:rPr>
        <w:t>、</w:t>
      </w:r>
      <w:r>
        <w:rPr>
          <w:rFonts w:hint="eastAsia" w:ascii="宋体" w:hAnsi="宋体" w:eastAsia="宋体" w:cs="宋体"/>
          <w:color w:val="000000" w:themeColor="text1"/>
          <w:sz w:val="28"/>
          <w:szCs w:val="28"/>
          <w:highlight w:val="none"/>
          <w:lang w:val="en-US" w:eastAsia="zh-CN"/>
        </w:rPr>
        <w:t>氢氧化钠溶液</w:t>
      </w:r>
      <w:r>
        <w:rPr>
          <w:rFonts w:hint="eastAsia"/>
          <w:bCs/>
          <w:snapToGrid w:val="0"/>
          <w:color w:val="000000" w:themeColor="text1"/>
          <w:sz w:val="28"/>
          <w:szCs w:val="28"/>
          <w:highlight w:val="none"/>
        </w:rPr>
        <w:t>储罐、污水处理设施等。</w:t>
      </w:r>
    </w:p>
    <w:p w14:paraId="49B296EB">
      <w:pPr>
        <w:keepNext w:val="0"/>
        <w:keepLines w:val="0"/>
        <w:pageBreakBefore w:val="0"/>
        <w:widowControl w:val="0"/>
        <w:kinsoku/>
        <w:wordWrap/>
        <w:topLinePunct w:val="0"/>
        <w:bidi w:val="0"/>
        <w:adjustRightInd w:val="0"/>
        <w:snapToGrid w:val="0"/>
        <w:spacing w:line="360" w:lineRule="auto"/>
        <w:ind w:firstLine="560" w:firstLineChars="200"/>
        <w:rPr>
          <w:rFonts w:hint="eastAsia" w:ascii="黑体" w:hAnsi="黑体" w:eastAsia="宋体"/>
          <w:b/>
          <w:color w:val="000000" w:themeColor="text1"/>
          <w:sz w:val="28"/>
          <w:szCs w:val="28"/>
          <w:highlight w:val="none"/>
          <w:lang w:eastAsia="zh-CN"/>
        </w:rPr>
      </w:pPr>
      <w:r>
        <w:rPr>
          <w:rFonts w:hint="eastAsia"/>
          <w:color w:val="000000" w:themeColor="text1"/>
          <w:sz w:val="28"/>
          <w:szCs w:val="28"/>
          <w:highlight w:val="none"/>
        </w:rPr>
        <w:t>华美线业</w:t>
      </w:r>
      <w:r>
        <w:rPr>
          <w:rFonts w:hint="eastAsia"/>
          <w:bCs/>
          <w:snapToGrid w:val="0"/>
          <w:color w:val="000000" w:themeColor="text1"/>
          <w:sz w:val="28"/>
          <w:szCs w:val="28"/>
          <w:highlight w:val="none"/>
        </w:rPr>
        <w:t>涉及</w:t>
      </w:r>
      <w:r>
        <w:rPr>
          <w:rFonts w:hint="eastAsia"/>
          <w:color w:val="000000" w:themeColor="text1"/>
          <w:sz w:val="28"/>
          <w:szCs w:val="28"/>
          <w:highlight w:val="none"/>
        </w:rPr>
        <w:t>危险化学品的主要生产设备见</w:t>
      </w:r>
      <w:r>
        <w:rPr>
          <w:rFonts w:hint="eastAsia"/>
          <w:color w:val="000000" w:themeColor="text1"/>
          <w:sz w:val="28"/>
          <w:szCs w:val="28"/>
          <w:highlight w:val="none"/>
          <w:lang w:eastAsia="zh-CN"/>
        </w:rPr>
        <w:t>下表。</w:t>
      </w:r>
    </w:p>
    <w:p w14:paraId="1A07CBAE">
      <w:pPr>
        <w:keepNext w:val="0"/>
        <w:keepLines w:val="0"/>
        <w:pageBreakBefore w:val="0"/>
        <w:widowControl w:val="0"/>
        <w:kinsoku/>
        <w:wordWrap/>
        <w:topLinePunct w:val="0"/>
        <w:bidi w:val="0"/>
        <w:adjustRightInd w:val="0"/>
        <w:snapToGrid w:val="0"/>
        <w:spacing w:line="360" w:lineRule="auto"/>
        <w:jc w:val="center"/>
        <w:rPr>
          <w:rFonts w:ascii="黑体" w:hAnsi="黑体" w:eastAsia="黑体"/>
          <w:b/>
          <w:color w:val="000000" w:themeColor="text1"/>
          <w:highlight w:val="none"/>
        </w:rPr>
      </w:pPr>
      <w:r>
        <w:rPr>
          <w:rFonts w:hint="eastAsia" w:ascii="黑体" w:hAnsi="黑体" w:eastAsia="黑体"/>
          <w:b/>
          <w:color w:val="000000" w:themeColor="text1"/>
          <w:highlight w:val="none"/>
        </w:rPr>
        <w:t>表</w:t>
      </w:r>
      <w:r>
        <w:rPr>
          <w:rFonts w:ascii="黑体" w:hAnsi="黑体" w:eastAsia="黑体"/>
          <w:b/>
          <w:color w:val="000000" w:themeColor="text1"/>
          <w:highlight w:val="none"/>
        </w:rPr>
        <w:t>2.</w:t>
      </w:r>
      <w:r>
        <w:rPr>
          <w:rFonts w:hint="eastAsia" w:ascii="黑体" w:hAnsi="黑体" w:eastAsia="黑体"/>
          <w:b/>
          <w:color w:val="000000" w:themeColor="text1"/>
          <w:highlight w:val="none"/>
          <w:lang w:val="en-US" w:eastAsia="zh-CN"/>
        </w:rPr>
        <w:t>5</w:t>
      </w:r>
      <w:r>
        <w:rPr>
          <w:rFonts w:ascii="黑体" w:hAnsi="黑体" w:eastAsia="黑体"/>
          <w:b/>
          <w:color w:val="000000" w:themeColor="text1"/>
          <w:highlight w:val="none"/>
        </w:rPr>
        <w:t>-</w:t>
      </w:r>
      <w:r>
        <w:rPr>
          <w:rFonts w:hint="eastAsia" w:ascii="黑体" w:hAnsi="黑体" w:eastAsia="黑体"/>
          <w:b/>
          <w:color w:val="000000" w:themeColor="text1"/>
          <w:highlight w:val="none"/>
          <w:lang w:val="en-US" w:eastAsia="zh-CN"/>
        </w:rPr>
        <w:t>1</w:t>
      </w:r>
      <w:r>
        <w:rPr>
          <w:rFonts w:ascii="黑体" w:hAnsi="黑体" w:eastAsia="黑体"/>
          <w:b/>
          <w:color w:val="000000" w:themeColor="text1"/>
          <w:highlight w:val="none"/>
        </w:rPr>
        <w:t>主要生产设备设施一览表</w:t>
      </w:r>
    </w:p>
    <w:tbl>
      <w:tblPr>
        <w:tblStyle w:val="61"/>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5"/>
        <w:gridCol w:w="1425"/>
        <w:gridCol w:w="1612"/>
        <w:gridCol w:w="1785"/>
        <w:gridCol w:w="765"/>
        <w:gridCol w:w="1080"/>
        <w:gridCol w:w="1990"/>
      </w:tblGrid>
      <w:tr w14:paraId="65FEE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blHeader/>
          <w:jc w:val="center"/>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CD54F">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b/>
                <w:bCs/>
                <w:i w:val="0"/>
                <w:iCs w:val="0"/>
                <w:color w:val="000000" w:themeColor="text1"/>
                <w:sz w:val="21"/>
                <w:szCs w:val="21"/>
                <w:highlight w:val="none"/>
                <w:u w:val="none"/>
              </w:rPr>
            </w:pPr>
            <w:r>
              <w:rPr>
                <w:rFonts w:hint="eastAsia" w:ascii="宋体" w:hAnsi="宋体" w:eastAsia="宋体" w:cs="宋体"/>
                <w:b/>
                <w:bCs/>
                <w:i w:val="0"/>
                <w:iCs w:val="0"/>
                <w:color w:val="000000" w:themeColor="text1"/>
                <w:kern w:val="0"/>
                <w:sz w:val="21"/>
                <w:szCs w:val="21"/>
                <w:highlight w:val="none"/>
                <w:u w:val="none"/>
                <w:lang w:val="en-US" w:eastAsia="zh-CN" w:bidi="ar"/>
              </w:rPr>
              <w:t>序号</w:t>
            </w:r>
          </w:p>
        </w:tc>
        <w:tc>
          <w:tcPr>
            <w:tcW w:w="7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DA80A">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b/>
                <w:bCs/>
                <w:i w:val="0"/>
                <w:iCs w:val="0"/>
                <w:color w:val="000000" w:themeColor="text1"/>
                <w:kern w:val="0"/>
                <w:sz w:val="21"/>
                <w:szCs w:val="21"/>
                <w:highlight w:val="none"/>
                <w:u w:val="none"/>
                <w:lang w:val="en-US" w:eastAsia="zh-CN" w:bidi="ar"/>
              </w:rPr>
            </w:pPr>
            <w:r>
              <w:rPr>
                <w:rFonts w:hint="eastAsia" w:ascii="宋体" w:hAnsi="宋体" w:eastAsia="宋体" w:cs="宋体"/>
                <w:b/>
                <w:bCs/>
                <w:i w:val="0"/>
                <w:iCs w:val="0"/>
                <w:color w:val="000000" w:themeColor="text1"/>
                <w:kern w:val="0"/>
                <w:sz w:val="21"/>
                <w:szCs w:val="21"/>
                <w:highlight w:val="none"/>
                <w:u w:val="none"/>
                <w:lang w:val="en-US" w:eastAsia="zh-CN" w:bidi="ar"/>
              </w:rPr>
              <w:t>设备名称</w:t>
            </w:r>
          </w:p>
        </w:tc>
        <w:tc>
          <w:tcPr>
            <w:tcW w:w="8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86901">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b/>
                <w:bCs/>
                <w:i w:val="0"/>
                <w:iCs w:val="0"/>
                <w:color w:val="000000" w:themeColor="text1"/>
                <w:sz w:val="21"/>
                <w:szCs w:val="21"/>
                <w:highlight w:val="none"/>
                <w:u w:val="none"/>
                <w:lang w:eastAsia="zh-CN"/>
              </w:rPr>
            </w:pPr>
            <w:r>
              <w:rPr>
                <w:rFonts w:hint="eastAsia" w:ascii="宋体" w:hAnsi="宋体" w:eastAsia="宋体" w:cs="宋体"/>
                <w:b/>
                <w:bCs/>
                <w:i w:val="0"/>
                <w:iCs w:val="0"/>
                <w:color w:val="000000" w:themeColor="text1"/>
                <w:sz w:val="21"/>
                <w:szCs w:val="21"/>
                <w:highlight w:val="none"/>
                <w:u w:val="none"/>
                <w:lang w:eastAsia="zh-CN"/>
              </w:rPr>
              <w:t>安装位置</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5FDC5">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b/>
                <w:bCs/>
                <w:i w:val="0"/>
                <w:iCs w:val="0"/>
                <w:color w:val="000000" w:themeColor="text1"/>
                <w:sz w:val="21"/>
                <w:szCs w:val="21"/>
                <w:highlight w:val="none"/>
                <w:u w:val="none"/>
                <w:lang w:val="en-US" w:eastAsia="zh-CN"/>
              </w:rPr>
            </w:pPr>
            <w:r>
              <w:rPr>
                <w:rFonts w:hint="eastAsia" w:ascii="宋体" w:hAnsi="宋体" w:eastAsia="宋体" w:cs="宋体"/>
                <w:b/>
                <w:bCs/>
                <w:i w:val="0"/>
                <w:iCs w:val="0"/>
                <w:color w:val="000000" w:themeColor="text1"/>
                <w:sz w:val="21"/>
                <w:szCs w:val="21"/>
                <w:highlight w:val="none"/>
                <w:u w:val="none"/>
                <w:lang w:eastAsia="zh-CN"/>
              </w:rPr>
              <w:t>型号</w:t>
            </w:r>
            <w:r>
              <w:rPr>
                <w:rFonts w:hint="eastAsia" w:ascii="宋体" w:hAnsi="宋体" w:eastAsia="宋体" w:cs="宋体"/>
                <w:b/>
                <w:bCs/>
                <w:i w:val="0"/>
                <w:iCs w:val="0"/>
                <w:color w:val="000000" w:themeColor="text1"/>
                <w:sz w:val="21"/>
                <w:szCs w:val="21"/>
                <w:highlight w:val="none"/>
                <w:u w:val="none"/>
                <w:lang w:val="en-US" w:eastAsia="zh-CN"/>
              </w:rPr>
              <w:t>/规格</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3189F">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b/>
                <w:bCs/>
                <w:i w:val="0"/>
                <w:iCs w:val="0"/>
                <w:color w:val="000000" w:themeColor="text1"/>
                <w:sz w:val="21"/>
                <w:szCs w:val="21"/>
                <w:highlight w:val="none"/>
                <w:u w:val="none"/>
                <w:lang w:eastAsia="zh-CN"/>
              </w:rPr>
            </w:pPr>
            <w:r>
              <w:rPr>
                <w:rFonts w:hint="eastAsia" w:ascii="宋体" w:hAnsi="宋体" w:eastAsia="宋体" w:cs="宋体"/>
                <w:b/>
                <w:bCs/>
                <w:i w:val="0"/>
                <w:iCs w:val="0"/>
                <w:color w:val="000000" w:themeColor="text1"/>
                <w:sz w:val="21"/>
                <w:szCs w:val="21"/>
                <w:highlight w:val="none"/>
                <w:u w:val="none"/>
                <w:lang w:eastAsia="zh-CN"/>
              </w:rPr>
              <w:t>数量</w:t>
            </w: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DE439">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b/>
                <w:bCs/>
                <w:i w:val="0"/>
                <w:iCs w:val="0"/>
                <w:color w:val="000000" w:themeColor="text1"/>
                <w:sz w:val="21"/>
                <w:szCs w:val="21"/>
                <w:highlight w:val="none"/>
                <w:u w:val="none"/>
                <w:lang w:eastAsia="zh-CN"/>
              </w:rPr>
            </w:pPr>
            <w:r>
              <w:rPr>
                <w:rFonts w:hint="eastAsia" w:ascii="宋体" w:hAnsi="宋体" w:eastAsia="宋体" w:cs="宋体"/>
                <w:b/>
                <w:bCs/>
                <w:i w:val="0"/>
                <w:iCs w:val="0"/>
                <w:color w:val="000000" w:themeColor="text1"/>
                <w:sz w:val="21"/>
                <w:szCs w:val="21"/>
                <w:highlight w:val="none"/>
                <w:u w:val="none"/>
                <w:lang w:eastAsia="zh-CN"/>
              </w:rPr>
              <w:t>材质</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20DDB">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b/>
                <w:bCs/>
                <w:i w:val="0"/>
                <w:iCs w:val="0"/>
                <w:color w:val="000000" w:themeColor="text1"/>
                <w:kern w:val="0"/>
                <w:sz w:val="21"/>
                <w:szCs w:val="21"/>
                <w:highlight w:val="none"/>
                <w:u w:val="none"/>
                <w:lang w:val="en-US" w:eastAsia="zh-CN" w:bidi="ar"/>
              </w:rPr>
            </w:pPr>
            <w:r>
              <w:rPr>
                <w:rFonts w:hint="eastAsia" w:cs="宋体"/>
                <w:b/>
                <w:bCs/>
                <w:i w:val="0"/>
                <w:iCs w:val="0"/>
                <w:color w:val="000000" w:themeColor="text1"/>
                <w:kern w:val="0"/>
                <w:sz w:val="21"/>
                <w:szCs w:val="21"/>
                <w:highlight w:val="none"/>
                <w:u w:val="none"/>
                <w:lang w:val="en-US" w:eastAsia="zh-CN" w:bidi="ar"/>
              </w:rPr>
              <w:t>涉及的危化品</w:t>
            </w:r>
          </w:p>
        </w:tc>
      </w:tr>
      <w:tr w14:paraId="71F2F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6EF90">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themeColor="text1"/>
                <w:sz w:val="21"/>
                <w:szCs w:val="21"/>
                <w:highlight w:val="none"/>
                <w:u w:val="none"/>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2B939F">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化料缸</w:t>
            </w:r>
          </w:p>
        </w:tc>
        <w:tc>
          <w:tcPr>
            <w:tcW w:w="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BC2C0">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染色平台C</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0A395">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5843D">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lang w:val="en-US" w:eastAsia="zh-CN"/>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A2782">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sz w:val="21"/>
                <w:szCs w:val="21"/>
                <w:highlight w:val="none"/>
                <w:u w:val="none"/>
                <w:lang w:eastAsia="zh-CN"/>
              </w:rPr>
              <w:t>不锈钢</w:t>
            </w:r>
          </w:p>
        </w:tc>
        <w:tc>
          <w:tcPr>
            <w:tcW w:w="1058" w:type="pct"/>
            <w:vMerge w:val="restart"/>
            <w:tcBorders>
              <w:top w:val="single" w:color="000000" w:sz="4" w:space="0"/>
              <w:left w:val="single" w:color="000000" w:sz="4" w:space="0"/>
              <w:right w:val="single" w:color="000000" w:sz="4" w:space="0"/>
            </w:tcBorders>
            <w:shd w:val="clear" w:color="auto" w:fill="auto"/>
            <w:noWrap/>
            <w:vAlign w:val="center"/>
          </w:tcPr>
          <w:p w14:paraId="75730611">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color w:val="000000" w:themeColor="text1"/>
                <w:sz w:val="21"/>
                <w:szCs w:val="21"/>
                <w:highlight w:val="none"/>
                <w:u w:val="none"/>
                <w:lang w:bidi="ar"/>
              </w:rPr>
              <w:t>乙酸、过碳酸钠、保险粉、氢氧化钠溶液</w:t>
            </w:r>
          </w:p>
        </w:tc>
      </w:tr>
      <w:tr w14:paraId="6553A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234A7">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themeColor="text1"/>
                <w:sz w:val="21"/>
                <w:szCs w:val="21"/>
                <w:highlight w:val="none"/>
                <w:u w:val="none"/>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645EF">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化料缸</w:t>
            </w:r>
          </w:p>
        </w:tc>
        <w:tc>
          <w:tcPr>
            <w:tcW w:w="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20B00">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染色平台C</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431FD">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FEEEC">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lang w:val="en-US" w:eastAsia="zh-CN"/>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7C70A">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sz w:val="21"/>
                <w:szCs w:val="21"/>
                <w:highlight w:val="none"/>
                <w:u w:val="none"/>
                <w:lang w:eastAsia="zh-CN"/>
              </w:rPr>
              <w:t>不锈钢</w:t>
            </w:r>
          </w:p>
        </w:tc>
        <w:tc>
          <w:tcPr>
            <w:tcW w:w="1058" w:type="pct"/>
            <w:vMerge w:val="continue"/>
            <w:tcBorders>
              <w:left w:val="single" w:color="000000" w:sz="4" w:space="0"/>
              <w:right w:val="single" w:color="000000" w:sz="4" w:space="0"/>
            </w:tcBorders>
            <w:shd w:val="clear" w:color="auto" w:fill="auto"/>
            <w:noWrap/>
            <w:vAlign w:val="center"/>
          </w:tcPr>
          <w:p w14:paraId="15DB4791">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14:paraId="0AC04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10AC3">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themeColor="text1"/>
                <w:sz w:val="21"/>
                <w:szCs w:val="21"/>
                <w:highlight w:val="none"/>
                <w:u w:val="none"/>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06690">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化料缸</w:t>
            </w:r>
          </w:p>
        </w:tc>
        <w:tc>
          <w:tcPr>
            <w:tcW w:w="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4DD9E">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染色平台C</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8F4E3">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1F8AE">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lang w:val="en-US" w:eastAsia="zh-CN"/>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AA9B1">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sz w:val="21"/>
                <w:szCs w:val="21"/>
                <w:highlight w:val="none"/>
                <w:u w:val="none"/>
                <w:lang w:eastAsia="zh-CN"/>
              </w:rPr>
              <w:t>不锈钢</w:t>
            </w:r>
          </w:p>
        </w:tc>
        <w:tc>
          <w:tcPr>
            <w:tcW w:w="1058" w:type="pct"/>
            <w:vMerge w:val="continue"/>
            <w:tcBorders>
              <w:left w:val="single" w:color="000000" w:sz="4" w:space="0"/>
              <w:right w:val="single" w:color="000000" w:sz="4" w:space="0"/>
            </w:tcBorders>
            <w:shd w:val="clear" w:color="auto" w:fill="auto"/>
            <w:noWrap/>
            <w:vAlign w:val="center"/>
          </w:tcPr>
          <w:p w14:paraId="075D1E3D">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14:paraId="1704E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3FD15">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themeColor="text1"/>
                <w:sz w:val="21"/>
                <w:szCs w:val="21"/>
                <w:highlight w:val="none"/>
                <w:u w:val="none"/>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D8BBE">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化料缸</w:t>
            </w:r>
          </w:p>
        </w:tc>
        <w:tc>
          <w:tcPr>
            <w:tcW w:w="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75330">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染色平台C</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AC9B0">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A9B02">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60FFA">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sz w:val="21"/>
                <w:szCs w:val="21"/>
                <w:highlight w:val="none"/>
                <w:u w:val="none"/>
                <w:lang w:eastAsia="zh-CN"/>
              </w:rPr>
              <w:t>不锈钢</w:t>
            </w:r>
          </w:p>
        </w:tc>
        <w:tc>
          <w:tcPr>
            <w:tcW w:w="1058" w:type="pct"/>
            <w:vMerge w:val="continue"/>
            <w:tcBorders>
              <w:left w:val="single" w:color="000000" w:sz="4" w:space="0"/>
              <w:right w:val="single" w:color="000000" w:sz="4" w:space="0"/>
            </w:tcBorders>
            <w:shd w:val="clear" w:color="auto" w:fill="auto"/>
            <w:noWrap/>
            <w:vAlign w:val="center"/>
          </w:tcPr>
          <w:p w14:paraId="462E15E9">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14:paraId="067FB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0F1A4">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themeColor="text1"/>
                <w:sz w:val="21"/>
                <w:szCs w:val="21"/>
                <w:highlight w:val="none"/>
                <w:u w:val="none"/>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CEB936">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化料缸</w:t>
            </w:r>
          </w:p>
        </w:tc>
        <w:tc>
          <w:tcPr>
            <w:tcW w:w="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5C779">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染色平台D</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5E40B">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5424B">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26E70">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sz w:val="21"/>
                <w:szCs w:val="21"/>
                <w:highlight w:val="none"/>
                <w:u w:val="none"/>
                <w:lang w:eastAsia="zh-CN"/>
              </w:rPr>
              <w:t>不锈钢</w:t>
            </w:r>
          </w:p>
        </w:tc>
        <w:tc>
          <w:tcPr>
            <w:tcW w:w="1058" w:type="pct"/>
            <w:vMerge w:val="continue"/>
            <w:tcBorders>
              <w:left w:val="single" w:color="000000" w:sz="4" w:space="0"/>
              <w:right w:val="single" w:color="000000" w:sz="4" w:space="0"/>
            </w:tcBorders>
            <w:shd w:val="clear" w:color="auto" w:fill="auto"/>
            <w:noWrap/>
            <w:vAlign w:val="center"/>
          </w:tcPr>
          <w:p w14:paraId="220EBB3E">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14:paraId="4B3A8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9474A">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themeColor="text1"/>
                <w:sz w:val="21"/>
                <w:szCs w:val="21"/>
                <w:highlight w:val="none"/>
                <w:u w:val="none"/>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6924D">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化料缸</w:t>
            </w:r>
          </w:p>
        </w:tc>
        <w:tc>
          <w:tcPr>
            <w:tcW w:w="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B9F85">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染色平台D</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99B56">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E0F5D">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BD6D5">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sz w:val="21"/>
                <w:szCs w:val="21"/>
                <w:highlight w:val="none"/>
                <w:u w:val="none"/>
                <w:lang w:eastAsia="zh-CN"/>
              </w:rPr>
              <w:t>不锈钢</w:t>
            </w:r>
          </w:p>
        </w:tc>
        <w:tc>
          <w:tcPr>
            <w:tcW w:w="1058" w:type="pct"/>
            <w:vMerge w:val="continue"/>
            <w:tcBorders>
              <w:left w:val="single" w:color="000000" w:sz="4" w:space="0"/>
              <w:right w:val="single" w:color="000000" w:sz="4" w:space="0"/>
            </w:tcBorders>
            <w:shd w:val="clear" w:color="auto" w:fill="auto"/>
            <w:noWrap/>
            <w:vAlign w:val="center"/>
          </w:tcPr>
          <w:p w14:paraId="1B446A67">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14:paraId="5E987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32569">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themeColor="text1"/>
                <w:sz w:val="21"/>
                <w:szCs w:val="21"/>
                <w:highlight w:val="none"/>
                <w:u w:val="none"/>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DB679">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化料缸</w:t>
            </w:r>
          </w:p>
        </w:tc>
        <w:tc>
          <w:tcPr>
            <w:tcW w:w="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2D1BEC">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染色平台F</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A2DD87">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lang w:val="en-US" w:eastAsia="zh-CN" w:bidi="ar-SA"/>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6609D">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lang w:val="en-US" w:eastAsia="zh-CN"/>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AC974">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sz w:val="21"/>
                <w:szCs w:val="21"/>
                <w:highlight w:val="none"/>
                <w:u w:val="none"/>
                <w:lang w:eastAsia="zh-CN"/>
              </w:rPr>
              <w:t>不锈钢</w:t>
            </w:r>
          </w:p>
        </w:tc>
        <w:tc>
          <w:tcPr>
            <w:tcW w:w="1058" w:type="pct"/>
            <w:vMerge w:val="continue"/>
            <w:tcBorders>
              <w:left w:val="single" w:color="000000" w:sz="4" w:space="0"/>
              <w:right w:val="single" w:color="000000" w:sz="4" w:space="0"/>
            </w:tcBorders>
            <w:shd w:val="clear" w:color="auto" w:fill="auto"/>
            <w:noWrap/>
            <w:vAlign w:val="center"/>
          </w:tcPr>
          <w:p w14:paraId="08C95C8D">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14:paraId="40732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FD01D">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themeColor="text1"/>
                <w:sz w:val="21"/>
                <w:szCs w:val="21"/>
                <w:highlight w:val="none"/>
                <w:u w:val="none"/>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D1C61">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化料缸</w:t>
            </w:r>
          </w:p>
        </w:tc>
        <w:tc>
          <w:tcPr>
            <w:tcW w:w="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8EEE5D">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染色平台F</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C8911">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DFC7B">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8E2DD">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sz w:val="21"/>
                <w:szCs w:val="21"/>
                <w:highlight w:val="none"/>
                <w:u w:val="none"/>
                <w:lang w:eastAsia="zh-CN"/>
              </w:rPr>
              <w:t>不锈钢</w:t>
            </w:r>
          </w:p>
        </w:tc>
        <w:tc>
          <w:tcPr>
            <w:tcW w:w="1058" w:type="pct"/>
            <w:vMerge w:val="continue"/>
            <w:tcBorders>
              <w:left w:val="single" w:color="000000" w:sz="4" w:space="0"/>
              <w:right w:val="single" w:color="000000" w:sz="4" w:space="0"/>
            </w:tcBorders>
            <w:shd w:val="clear" w:color="auto" w:fill="auto"/>
            <w:noWrap/>
            <w:vAlign w:val="center"/>
          </w:tcPr>
          <w:p w14:paraId="78DE600A">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14:paraId="60653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5DDBC">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themeColor="text1"/>
                <w:sz w:val="21"/>
                <w:szCs w:val="21"/>
                <w:highlight w:val="none"/>
                <w:u w:val="none"/>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EE588E">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化料缸</w:t>
            </w:r>
          </w:p>
        </w:tc>
        <w:tc>
          <w:tcPr>
            <w:tcW w:w="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20E040">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染色平台F</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6F1023">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1C5BAF">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lang w:val="en-US" w:eastAsia="zh-CN"/>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C97C3">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sz w:val="21"/>
                <w:szCs w:val="21"/>
                <w:highlight w:val="none"/>
                <w:u w:val="none"/>
                <w:lang w:eastAsia="zh-CN"/>
              </w:rPr>
              <w:t>不锈钢</w:t>
            </w:r>
          </w:p>
        </w:tc>
        <w:tc>
          <w:tcPr>
            <w:tcW w:w="1058" w:type="pct"/>
            <w:vMerge w:val="continue"/>
            <w:tcBorders>
              <w:left w:val="single" w:color="000000" w:sz="4" w:space="0"/>
              <w:right w:val="single" w:color="000000" w:sz="4" w:space="0"/>
            </w:tcBorders>
            <w:shd w:val="clear" w:color="auto" w:fill="auto"/>
            <w:noWrap/>
            <w:vAlign w:val="center"/>
          </w:tcPr>
          <w:p w14:paraId="3A978099">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14:paraId="47966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2DCCE">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themeColor="text1"/>
                <w:sz w:val="21"/>
                <w:szCs w:val="21"/>
                <w:highlight w:val="none"/>
                <w:u w:val="none"/>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73D05F">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化料缸</w:t>
            </w:r>
          </w:p>
        </w:tc>
        <w:tc>
          <w:tcPr>
            <w:tcW w:w="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E4130">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染色平台F</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63EA8C">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652AF">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lang w:val="en-US" w:eastAsia="zh-CN"/>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ED232">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sz w:val="21"/>
                <w:szCs w:val="21"/>
                <w:highlight w:val="none"/>
                <w:u w:val="none"/>
                <w:lang w:eastAsia="zh-CN"/>
              </w:rPr>
            </w:pPr>
            <w:r>
              <w:rPr>
                <w:rFonts w:hint="eastAsia" w:ascii="宋体" w:hAnsi="宋体" w:eastAsia="宋体" w:cs="宋体"/>
                <w:i w:val="0"/>
                <w:iCs w:val="0"/>
                <w:color w:val="000000" w:themeColor="text1"/>
                <w:sz w:val="21"/>
                <w:szCs w:val="21"/>
                <w:highlight w:val="none"/>
                <w:u w:val="none"/>
                <w:lang w:eastAsia="zh-CN"/>
              </w:rPr>
              <w:t>不锈钢</w:t>
            </w:r>
          </w:p>
        </w:tc>
        <w:tc>
          <w:tcPr>
            <w:tcW w:w="1058" w:type="pct"/>
            <w:vMerge w:val="continue"/>
            <w:tcBorders>
              <w:left w:val="single" w:color="000000" w:sz="4" w:space="0"/>
              <w:right w:val="single" w:color="000000" w:sz="4" w:space="0"/>
            </w:tcBorders>
            <w:shd w:val="clear" w:color="auto" w:fill="auto"/>
            <w:noWrap/>
            <w:vAlign w:val="center"/>
          </w:tcPr>
          <w:p w14:paraId="7264FFD4">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14:paraId="7940B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192FC">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8F639">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染缸</w:t>
            </w:r>
          </w:p>
        </w:tc>
        <w:tc>
          <w:tcPr>
            <w:tcW w:w="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7C99B">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染色平台S</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99530">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4EC88">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4833D">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316TI</w:t>
            </w:r>
          </w:p>
        </w:tc>
        <w:tc>
          <w:tcPr>
            <w:tcW w:w="1058" w:type="pct"/>
            <w:vMerge w:val="continue"/>
            <w:tcBorders>
              <w:left w:val="single" w:color="000000" w:sz="4" w:space="0"/>
              <w:bottom w:val="single" w:color="000000" w:sz="4" w:space="0"/>
              <w:right w:val="single" w:color="000000" w:sz="4" w:space="0"/>
            </w:tcBorders>
            <w:shd w:val="clear" w:color="auto" w:fill="auto"/>
            <w:noWrap/>
            <w:vAlign w:val="center"/>
          </w:tcPr>
          <w:p w14:paraId="7BFDAC42">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r>
      <w:tr w14:paraId="06C79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7AEEC">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6ABF3">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电动葫芦</w:t>
            </w:r>
          </w:p>
        </w:tc>
        <w:tc>
          <w:tcPr>
            <w:tcW w:w="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9E8C9">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染色平台E旁</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0890B">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F33C7">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55612">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67D7E">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color w:val="000000" w:themeColor="text1"/>
                <w:sz w:val="21"/>
                <w:szCs w:val="21"/>
                <w:highlight w:val="none"/>
                <w:u w:val="none"/>
                <w:lang w:bidi="ar"/>
              </w:rPr>
              <w:t>乙酸、氢氧化钠溶液</w:t>
            </w:r>
          </w:p>
        </w:tc>
      </w:tr>
      <w:tr w14:paraId="66665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66E83">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4B370">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color w:val="000000" w:themeColor="text1"/>
                <w:sz w:val="21"/>
                <w:szCs w:val="21"/>
                <w:highlight w:val="none"/>
                <w:lang w:val="en-US" w:eastAsia="zh-CN"/>
              </w:rPr>
              <w:t>氢氧化钠溶液</w:t>
            </w:r>
            <w:r>
              <w:rPr>
                <w:rFonts w:hint="eastAsia" w:ascii="宋体" w:hAnsi="宋体" w:eastAsia="宋体" w:cs="宋体"/>
                <w:color w:val="000000" w:themeColor="text1"/>
                <w:sz w:val="21"/>
                <w:szCs w:val="21"/>
                <w:highlight w:val="none"/>
              </w:rPr>
              <w:t>储罐</w:t>
            </w:r>
          </w:p>
        </w:tc>
        <w:tc>
          <w:tcPr>
            <w:tcW w:w="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5AAEFF">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5#仓库东面靠围墙</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780CF">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045B6">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D7822">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塑料</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D67BB">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color w:val="000000" w:themeColor="text1"/>
                <w:sz w:val="21"/>
                <w:szCs w:val="21"/>
                <w:highlight w:val="none"/>
                <w:u w:val="none"/>
                <w:lang w:bidi="ar"/>
              </w:rPr>
              <w:t>氢氧化钠溶液</w:t>
            </w:r>
          </w:p>
        </w:tc>
      </w:tr>
      <w:tr w14:paraId="3D6CB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30E0A">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5E730">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color w:val="000000" w:themeColor="text1"/>
                <w:sz w:val="21"/>
                <w:szCs w:val="21"/>
                <w:highlight w:val="none"/>
                <w:lang w:eastAsia="zh-CN"/>
              </w:rPr>
              <w:t>次氯酸钠溶液配料罐</w:t>
            </w:r>
          </w:p>
        </w:tc>
        <w:tc>
          <w:tcPr>
            <w:tcW w:w="8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F9783">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次钠加药区</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4C8BC">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A34C4">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D22AF">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塑料</w:t>
            </w:r>
          </w:p>
        </w:tc>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24211">
            <w:pPr>
              <w:keepNext w:val="0"/>
              <w:keepLines w:val="0"/>
              <w:pageBreakBefore w:val="0"/>
              <w:widowControl w:val="0"/>
              <w:suppressLineNumbers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color w:val="000000" w:themeColor="text1"/>
                <w:sz w:val="21"/>
                <w:szCs w:val="21"/>
                <w:highlight w:val="none"/>
                <w:u w:val="none"/>
                <w:lang w:bidi="ar"/>
              </w:rPr>
              <w:t>次氯酸钠溶液</w:t>
            </w:r>
          </w:p>
        </w:tc>
      </w:tr>
    </w:tbl>
    <w:p w14:paraId="239ED177">
      <w:pPr>
        <w:pStyle w:val="7"/>
        <w:keepNext w:val="0"/>
        <w:keepLines w:val="0"/>
        <w:pageBreakBefore w:val="0"/>
        <w:widowControl w:val="0"/>
        <w:kinsoku/>
        <w:wordWrap/>
        <w:topLinePunct w:val="0"/>
        <w:bidi w:val="0"/>
        <w:adjustRightInd w:val="0"/>
        <w:snapToGrid w:val="0"/>
        <w:spacing w:beforeLines="50" w:afterLines="0"/>
        <w:outlineLvl w:val="2"/>
        <w:rPr>
          <w:rFonts w:hint="default" w:hAnsi="宋体" w:cs="宋体"/>
          <w:color w:val="000000" w:themeColor="text1"/>
          <w:highlight w:val="none"/>
          <w:lang w:val="en-US" w:eastAsia="zh-CN"/>
        </w:rPr>
      </w:pPr>
      <w:bookmarkStart w:id="298" w:name="_Toc12899"/>
      <w:bookmarkStart w:id="299" w:name="_Toc24922"/>
      <w:bookmarkStart w:id="300" w:name="_Toc5864"/>
      <w:bookmarkStart w:id="301" w:name="_Toc1444"/>
      <w:bookmarkStart w:id="302" w:name="_Toc1129"/>
      <w:bookmarkStart w:id="303" w:name="_Toc956"/>
      <w:r>
        <w:rPr>
          <w:rFonts w:hint="eastAsia" w:hAnsi="宋体" w:cs="宋体"/>
          <w:color w:val="000000" w:themeColor="text1"/>
          <w:highlight w:val="none"/>
          <w:lang w:val="en-US" w:eastAsia="zh-CN"/>
        </w:rPr>
        <w:t>2.5.2安全设施</w:t>
      </w:r>
      <w:bookmarkEnd w:id="298"/>
      <w:bookmarkEnd w:id="299"/>
      <w:bookmarkEnd w:id="300"/>
      <w:bookmarkEnd w:id="301"/>
      <w:bookmarkEnd w:id="302"/>
      <w:bookmarkEnd w:id="303"/>
    </w:p>
    <w:p w14:paraId="50D8CFC2">
      <w:pPr>
        <w:pStyle w:val="732"/>
        <w:widowControl w:val="0"/>
        <w:adjustRightInd w:val="0"/>
        <w:snapToGrid w:val="0"/>
        <w:spacing w:line="360" w:lineRule="auto"/>
        <w:ind w:firstLine="560" w:firstLineChars="200"/>
        <w:jc w:val="both"/>
        <w:rPr>
          <w:rFonts w:hint="eastAsia" w:ascii="黑体" w:hAnsi="黑体" w:eastAsia="黑体" w:cs="宋体"/>
          <w:b/>
          <w:bCs/>
          <w:color w:val="000000" w:themeColor="text1"/>
          <w:sz w:val="28"/>
          <w:szCs w:val="28"/>
          <w:highlight w:val="none"/>
          <w:lang w:eastAsia="zh-CN"/>
        </w:rPr>
      </w:pPr>
      <w:r>
        <w:rPr>
          <w:rFonts w:hint="eastAsia" w:ascii="宋体" w:hAnsi="宋体" w:eastAsia="宋体" w:cs="宋体"/>
          <w:color w:val="000000" w:themeColor="text1"/>
          <w:sz w:val="28"/>
          <w:szCs w:val="28"/>
          <w:highlight w:val="none"/>
          <w:lang w:eastAsia="zh-CN"/>
        </w:rPr>
        <w:t>涉及危险化学品</w:t>
      </w:r>
      <w:r>
        <w:rPr>
          <w:rFonts w:hint="eastAsia" w:ascii="宋体" w:hAnsi="宋体" w:eastAsia="宋体" w:cs="宋体"/>
          <w:color w:val="000000" w:themeColor="text1"/>
          <w:sz w:val="28"/>
          <w:szCs w:val="28"/>
          <w:highlight w:val="none"/>
        </w:rPr>
        <w:t>的</w:t>
      </w:r>
      <w:r>
        <w:rPr>
          <w:rFonts w:hint="eastAsia" w:ascii="宋体" w:hAnsi="宋体" w:eastAsia="宋体" w:cs="宋体"/>
          <w:color w:val="000000" w:themeColor="text1"/>
          <w:sz w:val="28"/>
          <w:szCs w:val="28"/>
          <w:highlight w:val="none"/>
          <w:lang w:eastAsia="zh-CN"/>
        </w:rPr>
        <w:t>安全设施</w:t>
      </w:r>
      <w:r>
        <w:rPr>
          <w:rFonts w:hint="eastAsia" w:ascii="宋体" w:hAnsi="宋体" w:eastAsia="宋体" w:cs="宋体"/>
          <w:color w:val="000000" w:themeColor="text1"/>
          <w:sz w:val="28"/>
          <w:szCs w:val="28"/>
          <w:highlight w:val="none"/>
        </w:rPr>
        <w:t>见</w:t>
      </w:r>
      <w:r>
        <w:rPr>
          <w:rFonts w:hint="eastAsia" w:ascii="宋体" w:hAnsi="宋体" w:eastAsia="宋体" w:cs="宋体"/>
          <w:color w:val="000000" w:themeColor="text1"/>
          <w:sz w:val="28"/>
          <w:szCs w:val="28"/>
          <w:highlight w:val="none"/>
          <w:lang w:eastAsia="zh-CN"/>
        </w:rPr>
        <w:t>下表</w:t>
      </w:r>
      <w:r>
        <w:rPr>
          <w:rFonts w:hint="eastAsia" w:ascii="宋体" w:hAnsi="宋体" w:cs="宋体"/>
          <w:color w:val="000000" w:themeColor="text1"/>
          <w:sz w:val="28"/>
          <w:szCs w:val="28"/>
          <w:highlight w:val="none"/>
          <w:lang w:eastAsia="zh-CN"/>
        </w:rPr>
        <w:t>。</w:t>
      </w:r>
    </w:p>
    <w:p w14:paraId="72869BCB">
      <w:pPr>
        <w:pStyle w:val="732"/>
        <w:widowControl w:val="0"/>
        <w:adjustRightInd w:val="0"/>
        <w:snapToGrid w:val="0"/>
        <w:spacing w:line="360" w:lineRule="auto"/>
        <w:ind w:firstLine="0" w:firstLineChars="0"/>
        <w:jc w:val="center"/>
        <w:rPr>
          <w:rFonts w:ascii="黑体" w:hAnsi="黑体" w:eastAsia="黑体" w:cs="宋体"/>
          <w:b/>
          <w:bCs/>
          <w:color w:val="000000" w:themeColor="text1"/>
          <w:sz w:val="24"/>
          <w:szCs w:val="24"/>
          <w:highlight w:val="none"/>
        </w:rPr>
      </w:pPr>
      <w:r>
        <w:rPr>
          <w:rFonts w:hint="eastAsia" w:ascii="黑体" w:hAnsi="黑体" w:eastAsia="黑体" w:cs="宋体"/>
          <w:b/>
          <w:bCs/>
          <w:color w:val="000000" w:themeColor="text1"/>
          <w:sz w:val="24"/>
          <w:szCs w:val="24"/>
          <w:highlight w:val="none"/>
          <w:lang w:eastAsia="zh-CN"/>
        </w:rPr>
        <w:t>表</w:t>
      </w:r>
      <w:r>
        <w:rPr>
          <w:rFonts w:hint="eastAsia" w:ascii="黑体" w:hAnsi="黑体" w:eastAsia="黑体" w:cs="宋体"/>
          <w:b/>
          <w:bCs/>
          <w:color w:val="000000" w:themeColor="text1"/>
          <w:sz w:val="24"/>
          <w:szCs w:val="24"/>
          <w:highlight w:val="none"/>
          <w:lang w:val="en-US" w:eastAsia="zh-CN"/>
        </w:rPr>
        <w:t xml:space="preserve">2.5-2 </w:t>
      </w:r>
      <w:r>
        <w:rPr>
          <w:rFonts w:hint="eastAsia" w:ascii="黑体" w:hAnsi="黑体" w:eastAsia="黑体" w:cs="宋体"/>
          <w:b/>
          <w:bCs/>
          <w:color w:val="000000" w:themeColor="text1"/>
          <w:sz w:val="24"/>
          <w:szCs w:val="24"/>
          <w:highlight w:val="none"/>
          <w:lang w:eastAsia="zh-CN"/>
        </w:rPr>
        <w:t>安全设施</w:t>
      </w:r>
      <w:r>
        <w:rPr>
          <w:rFonts w:ascii="黑体" w:hAnsi="黑体" w:eastAsia="黑体" w:cs="宋体"/>
          <w:b/>
          <w:bCs/>
          <w:color w:val="000000" w:themeColor="text1"/>
          <w:sz w:val="24"/>
          <w:szCs w:val="24"/>
          <w:highlight w:val="none"/>
        </w:rPr>
        <w:t>一览表</w:t>
      </w:r>
    </w:p>
    <w:tbl>
      <w:tblPr>
        <w:tblStyle w:val="61"/>
        <w:tblW w:w="4995" w:type="pct"/>
        <w:jc w:val="center"/>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728"/>
        <w:gridCol w:w="1697"/>
        <w:gridCol w:w="1295"/>
        <w:gridCol w:w="750"/>
        <w:gridCol w:w="739"/>
        <w:gridCol w:w="4184"/>
      </w:tblGrid>
      <w:tr w14:paraId="31BEAAA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388" w:type="pct"/>
            <w:vAlign w:val="center"/>
          </w:tcPr>
          <w:p w14:paraId="127626B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序号</w:t>
            </w:r>
          </w:p>
        </w:tc>
        <w:tc>
          <w:tcPr>
            <w:tcW w:w="903" w:type="pct"/>
            <w:vAlign w:val="center"/>
          </w:tcPr>
          <w:p w14:paraId="5AF5F9B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设备名称</w:t>
            </w:r>
          </w:p>
        </w:tc>
        <w:tc>
          <w:tcPr>
            <w:tcW w:w="689" w:type="pct"/>
            <w:vAlign w:val="center"/>
          </w:tcPr>
          <w:p w14:paraId="3FAB23AD">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型号、规格</w:t>
            </w:r>
          </w:p>
        </w:tc>
        <w:tc>
          <w:tcPr>
            <w:tcW w:w="399" w:type="pct"/>
            <w:vAlign w:val="center"/>
          </w:tcPr>
          <w:p w14:paraId="431E561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单位</w:t>
            </w:r>
          </w:p>
        </w:tc>
        <w:tc>
          <w:tcPr>
            <w:tcW w:w="393" w:type="pct"/>
            <w:vAlign w:val="center"/>
          </w:tcPr>
          <w:p w14:paraId="20332418">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数量</w:t>
            </w:r>
          </w:p>
        </w:tc>
        <w:tc>
          <w:tcPr>
            <w:tcW w:w="2226" w:type="pct"/>
            <w:vAlign w:val="center"/>
          </w:tcPr>
          <w:p w14:paraId="7DF7AB0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备注</w:t>
            </w:r>
          </w:p>
        </w:tc>
      </w:tr>
      <w:tr w14:paraId="64C8F8A9">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388" w:type="pct"/>
            <w:vAlign w:val="center"/>
          </w:tcPr>
          <w:p w14:paraId="4AE0A456">
            <w:pPr>
              <w:keepNext w:val="0"/>
              <w:keepLines w:val="0"/>
              <w:pageBreakBefore w:val="0"/>
              <w:widowControl w:val="0"/>
              <w:numPr>
                <w:ilvl w:val="0"/>
                <w:numId w:val="1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rPr>
            </w:pPr>
          </w:p>
        </w:tc>
        <w:tc>
          <w:tcPr>
            <w:tcW w:w="903" w:type="pct"/>
            <w:vAlign w:val="center"/>
          </w:tcPr>
          <w:p w14:paraId="7AB0812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lang w:eastAsia="zh-CN"/>
              </w:rPr>
            </w:pPr>
            <w:r>
              <w:rPr>
                <w:rFonts w:hint="eastAsia" w:ascii="宋体" w:hAnsi="宋体" w:eastAsia="宋体" w:cs="宋体"/>
                <w:b w:val="0"/>
                <w:bCs w:val="0"/>
                <w:color w:val="000000" w:themeColor="text1"/>
                <w:sz w:val="21"/>
                <w:szCs w:val="21"/>
                <w:highlight w:val="none"/>
                <w:lang w:eastAsia="zh-CN"/>
              </w:rPr>
              <w:t>温湿度计</w:t>
            </w:r>
          </w:p>
        </w:tc>
        <w:tc>
          <w:tcPr>
            <w:tcW w:w="689" w:type="pct"/>
            <w:vAlign w:val="center"/>
          </w:tcPr>
          <w:p w14:paraId="45D164A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lang w:val="en-US" w:eastAsia="zh-CN"/>
              </w:rPr>
            </w:pPr>
            <w:r>
              <w:rPr>
                <w:rFonts w:hint="eastAsia" w:ascii="宋体" w:hAnsi="宋体" w:eastAsia="宋体" w:cs="宋体"/>
                <w:b w:val="0"/>
                <w:bCs w:val="0"/>
                <w:color w:val="000000" w:themeColor="text1"/>
                <w:sz w:val="21"/>
                <w:szCs w:val="21"/>
                <w:highlight w:val="none"/>
                <w:lang w:val="en-US" w:eastAsia="zh-CN"/>
              </w:rPr>
              <w:t>/</w:t>
            </w:r>
          </w:p>
        </w:tc>
        <w:tc>
          <w:tcPr>
            <w:tcW w:w="399" w:type="pct"/>
            <w:vAlign w:val="center"/>
          </w:tcPr>
          <w:p w14:paraId="4BBFDB6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lang w:eastAsia="zh-CN"/>
              </w:rPr>
            </w:pPr>
            <w:r>
              <w:rPr>
                <w:rFonts w:hint="eastAsia" w:ascii="宋体" w:hAnsi="宋体" w:eastAsia="宋体" w:cs="宋体"/>
                <w:b w:val="0"/>
                <w:bCs w:val="0"/>
                <w:color w:val="000000" w:themeColor="text1"/>
                <w:sz w:val="21"/>
                <w:szCs w:val="21"/>
                <w:highlight w:val="none"/>
                <w:lang w:eastAsia="zh-CN"/>
              </w:rPr>
              <w:t>台</w:t>
            </w:r>
          </w:p>
        </w:tc>
        <w:tc>
          <w:tcPr>
            <w:tcW w:w="393" w:type="pct"/>
            <w:vAlign w:val="center"/>
          </w:tcPr>
          <w:p w14:paraId="7C241D1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lang w:val="en-US" w:eastAsia="zh-CN"/>
              </w:rPr>
            </w:pPr>
            <w:r>
              <w:rPr>
                <w:rFonts w:hint="eastAsia" w:ascii="宋体" w:hAnsi="宋体" w:eastAsia="宋体" w:cs="宋体"/>
                <w:b w:val="0"/>
                <w:bCs w:val="0"/>
                <w:color w:val="000000" w:themeColor="text1"/>
                <w:sz w:val="21"/>
                <w:szCs w:val="21"/>
                <w:highlight w:val="none"/>
                <w:lang w:val="en-US" w:eastAsia="zh-CN"/>
              </w:rPr>
              <w:t>2</w:t>
            </w:r>
          </w:p>
        </w:tc>
        <w:tc>
          <w:tcPr>
            <w:tcW w:w="2226" w:type="pct"/>
            <w:vAlign w:val="center"/>
          </w:tcPr>
          <w:p w14:paraId="58C6D1E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default" w:cs="宋体"/>
                <w:b w:val="0"/>
                <w:bCs w:val="0"/>
                <w:color w:val="000000" w:themeColor="text1"/>
                <w:sz w:val="21"/>
                <w:szCs w:val="21"/>
                <w:highlight w:val="none"/>
                <w:lang w:val="en-US" w:eastAsia="zh-CN"/>
              </w:rPr>
            </w:pPr>
            <w:r>
              <w:rPr>
                <w:rFonts w:hint="default" w:cs="宋体"/>
                <w:b w:val="0"/>
                <w:bCs w:val="0"/>
                <w:color w:val="000000" w:themeColor="text1"/>
                <w:sz w:val="21"/>
                <w:szCs w:val="21"/>
                <w:highlight w:val="none"/>
                <w:lang w:val="en-US"/>
              </w:rPr>
              <w:t>1#</w:t>
            </w:r>
            <w:r>
              <w:rPr>
                <w:rFonts w:hint="eastAsia" w:cs="宋体"/>
                <w:b w:val="0"/>
                <w:bCs w:val="0"/>
                <w:color w:val="000000" w:themeColor="text1"/>
                <w:sz w:val="21"/>
                <w:szCs w:val="21"/>
                <w:highlight w:val="none"/>
                <w:lang w:val="en-US" w:eastAsia="zh-CN"/>
              </w:rPr>
              <w:t>隔间1个、2#隔间1个</w:t>
            </w:r>
          </w:p>
        </w:tc>
      </w:tr>
      <w:tr w14:paraId="2E2B88D2">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388" w:type="pct"/>
            <w:vAlign w:val="center"/>
          </w:tcPr>
          <w:p w14:paraId="17DE0523">
            <w:pPr>
              <w:keepNext w:val="0"/>
              <w:keepLines w:val="0"/>
              <w:pageBreakBefore w:val="0"/>
              <w:widowControl w:val="0"/>
              <w:numPr>
                <w:ilvl w:val="0"/>
                <w:numId w:val="1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rPr>
            </w:pPr>
          </w:p>
        </w:tc>
        <w:tc>
          <w:tcPr>
            <w:tcW w:w="903" w:type="pct"/>
            <w:vAlign w:val="center"/>
          </w:tcPr>
          <w:p w14:paraId="30E4EA9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lang w:eastAsia="zh-CN"/>
              </w:rPr>
            </w:pPr>
            <w:r>
              <w:rPr>
                <w:rFonts w:hint="eastAsia" w:ascii="宋体" w:hAnsi="宋体" w:eastAsia="宋体" w:cs="宋体"/>
                <w:b w:val="0"/>
                <w:bCs w:val="0"/>
                <w:color w:val="000000" w:themeColor="text1"/>
                <w:sz w:val="21"/>
                <w:szCs w:val="21"/>
                <w:highlight w:val="none"/>
              </w:rPr>
              <w:t>可燃气体</w:t>
            </w:r>
            <w:r>
              <w:rPr>
                <w:rFonts w:hint="eastAsia" w:ascii="宋体" w:hAnsi="宋体" w:eastAsia="宋体" w:cs="宋体"/>
                <w:b w:val="0"/>
                <w:bCs w:val="0"/>
                <w:color w:val="000000" w:themeColor="text1"/>
                <w:sz w:val="21"/>
                <w:szCs w:val="21"/>
                <w:highlight w:val="none"/>
                <w:lang w:eastAsia="zh-CN"/>
              </w:rPr>
              <w:t>检测</w:t>
            </w:r>
            <w:r>
              <w:rPr>
                <w:rFonts w:hint="eastAsia" w:ascii="宋体" w:hAnsi="宋体" w:eastAsia="宋体" w:cs="宋体"/>
                <w:b w:val="0"/>
                <w:bCs w:val="0"/>
                <w:color w:val="000000" w:themeColor="text1"/>
                <w:sz w:val="21"/>
                <w:szCs w:val="21"/>
                <w:highlight w:val="none"/>
              </w:rPr>
              <w:t>报警系统</w:t>
            </w:r>
          </w:p>
        </w:tc>
        <w:tc>
          <w:tcPr>
            <w:tcW w:w="689" w:type="pct"/>
            <w:vAlign w:val="center"/>
          </w:tcPr>
          <w:p w14:paraId="75636FF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lang w:val="en-US" w:eastAsia="zh-CN"/>
              </w:rPr>
            </w:pPr>
            <w:r>
              <w:rPr>
                <w:rFonts w:hint="eastAsia" w:ascii="宋体" w:hAnsi="宋体" w:eastAsia="宋体" w:cs="宋体"/>
                <w:b w:val="0"/>
                <w:bCs w:val="0"/>
                <w:color w:val="000000" w:themeColor="text1"/>
                <w:sz w:val="21"/>
                <w:szCs w:val="21"/>
                <w:highlight w:val="none"/>
                <w:lang w:val="en-US" w:eastAsia="zh-CN"/>
              </w:rPr>
              <w:t>YA-D100</w:t>
            </w:r>
          </w:p>
        </w:tc>
        <w:tc>
          <w:tcPr>
            <w:tcW w:w="399" w:type="pct"/>
            <w:vAlign w:val="center"/>
          </w:tcPr>
          <w:p w14:paraId="57801AB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lang w:eastAsia="zh-CN"/>
              </w:rPr>
            </w:pPr>
            <w:r>
              <w:rPr>
                <w:rFonts w:hint="eastAsia" w:ascii="宋体" w:hAnsi="宋体" w:eastAsia="宋体" w:cs="宋体"/>
                <w:b w:val="0"/>
                <w:bCs w:val="0"/>
                <w:color w:val="000000" w:themeColor="text1"/>
                <w:sz w:val="21"/>
                <w:szCs w:val="21"/>
                <w:highlight w:val="none"/>
                <w:lang w:eastAsia="zh-CN"/>
              </w:rPr>
              <w:t>套</w:t>
            </w:r>
          </w:p>
        </w:tc>
        <w:tc>
          <w:tcPr>
            <w:tcW w:w="393" w:type="pct"/>
            <w:vAlign w:val="center"/>
          </w:tcPr>
          <w:p w14:paraId="09D41782">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lang w:val="en-US" w:eastAsia="zh-CN"/>
              </w:rPr>
            </w:pPr>
            <w:r>
              <w:rPr>
                <w:rFonts w:hint="eastAsia" w:ascii="宋体" w:hAnsi="宋体" w:eastAsia="宋体" w:cs="宋体"/>
                <w:b w:val="0"/>
                <w:bCs w:val="0"/>
                <w:color w:val="000000" w:themeColor="text1"/>
                <w:sz w:val="21"/>
                <w:szCs w:val="21"/>
                <w:highlight w:val="none"/>
                <w:lang w:val="en-US" w:eastAsia="zh-CN"/>
              </w:rPr>
              <w:t>1</w:t>
            </w:r>
          </w:p>
        </w:tc>
        <w:tc>
          <w:tcPr>
            <w:tcW w:w="2226" w:type="pct"/>
            <w:vAlign w:val="center"/>
          </w:tcPr>
          <w:p w14:paraId="79139E1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default" w:ascii="宋体" w:hAnsi="宋体" w:eastAsia="宋体" w:cs="宋体"/>
                <w:b w:val="0"/>
                <w:bCs w:val="0"/>
                <w:color w:val="000000" w:themeColor="text1"/>
                <w:sz w:val="21"/>
                <w:szCs w:val="21"/>
                <w:highlight w:val="none"/>
                <w:lang w:val="en-US" w:eastAsia="zh-CN"/>
              </w:rPr>
            </w:pPr>
            <w:r>
              <w:rPr>
                <w:rFonts w:hint="eastAsia" w:ascii="宋体" w:hAnsi="宋体" w:eastAsia="宋体" w:cs="宋体"/>
                <w:b w:val="0"/>
                <w:bCs w:val="0"/>
                <w:color w:val="000000" w:themeColor="text1"/>
                <w:sz w:val="21"/>
                <w:szCs w:val="21"/>
                <w:highlight w:val="none"/>
              </w:rPr>
              <w:t>可燃气体</w:t>
            </w:r>
            <w:r>
              <w:rPr>
                <w:rFonts w:hint="eastAsia" w:ascii="宋体" w:hAnsi="宋体" w:eastAsia="宋体" w:cs="宋体"/>
                <w:b w:val="0"/>
                <w:bCs w:val="0"/>
                <w:color w:val="000000" w:themeColor="text1"/>
                <w:sz w:val="21"/>
                <w:szCs w:val="21"/>
                <w:highlight w:val="none"/>
                <w:lang w:eastAsia="zh-CN"/>
              </w:rPr>
              <w:t>检测报警器</w:t>
            </w:r>
            <w:r>
              <w:rPr>
                <w:rFonts w:hint="eastAsia" w:ascii="宋体" w:hAnsi="宋体" w:eastAsia="宋体" w:cs="宋体"/>
                <w:b w:val="0"/>
                <w:bCs w:val="0"/>
                <w:color w:val="000000" w:themeColor="text1"/>
                <w:sz w:val="21"/>
                <w:szCs w:val="21"/>
                <w:highlight w:val="none"/>
                <w:lang w:val="en-US" w:eastAsia="zh-CN"/>
              </w:rPr>
              <w:t>1个，设置在存放乙酸的</w:t>
            </w:r>
            <w:r>
              <w:rPr>
                <w:rFonts w:hint="eastAsia" w:cs="宋体"/>
                <w:b w:val="0"/>
                <w:bCs w:val="0"/>
                <w:color w:val="000000" w:themeColor="text1"/>
                <w:sz w:val="21"/>
                <w:szCs w:val="21"/>
                <w:highlight w:val="none"/>
                <w:lang w:val="en-US" w:eastAsia="zh-CN"/>
              </w:rPr>
              <w:t>1#</w:t>
            </w:r>
            <w:r>
              <w:rPr>
                <w:rFonts w:hint="eastAsia" w:ascii="宋体" w:hAnsi="宋体" w:eastAsia="宋体" w:cs="宋体"/>
                <w:b w:val="0"/>
                <w:bCs w:val="0"/>
                <w:color w:val="000000" w:themeColor="text1"/>
                <w:sz w:val="21"/>
                <w:szCs w:val="21"/>
                <w:highlight w:val="none"/>
                <w:lang w:val="en-US" w:eastAsia="zh-CN"/>
              </w:rPr>
              <w:t>隔间内。</w:t>
            </w:r>
            <w:r>
              <w:rPr>
                <w:rFonts w:hint="eastAsia" w:ascii="宋体" w:hAnsi="宋体" w:eastAsia="宋体" w:cs="宋体"/>
                <w:b w:val="0"/>
                <w:bCs w:val="0"/>
                <w:color w:val="000000" w:themeColor="text1"/>
                <w:sz w:val="21"/>
                <w:szCs w:val="21"/>
                <w:highlight w:val="none"/>
              </w:rPr>
              <w:t>控制</w:t>
            </w:r>
            <w:r>
              <w:rPr>
                <w:rFonts w:hint="eastAsia" w:ascii="宋体" w:hAnsi="宋体" w:eastAsia="宋体" w:cs="宋体"/>
                <w:b w:val="0"/>
                <w:bCs w:val="0"/>
                <w:color w:val="000000" w:themeColor="text1"/>
                <w:sz w:val="21"/>
                <w:szCs w:val="21"/>
                <w:highlight w:val="none"/>
                <w:lang w:eastAsia="zh-CN"/>
              </w:rPr>
              <w:t>单元设置在漂染车间内的试样室内，该试样室在生产期间</w:t>
            </w:r>
            <w:r>
              <w:rPr>
                <w:rFonts w:hint="eastAsia" w:ascii="宋体" w:hAnsi="宋体" w:eastAsia="宋体" w:cs="宋体"/>
                <w:b w:val="0"/>
                <w:bCs w:val="0"/>
                <w:color w:val="000000" w:themeColor="text1"/>
                <w:sz w:val="21"/>
                <w:szCs w:val="21"/>
                <w:highlight w:val="none"/>
                <w:lang w:val="en-US" w:eastAsia="zh-CN"/>
              </w:rPr>
              <w:t>24小时有人值班</w:t>
            </w:r>
            <w:r>
              <w:rPr>
                <w:rFonts w:hint="eastAsia" w:cs="宋体"/>
                <w:b w:val="0"/>
                <w:bCs w:val="0"/>
                <w:color w:val="000000" w:themeColor="text1"/>
                <w:sz w:val="21"/>
                <w:szCs w:val="21"/>
                <w:highlight w:val="none"/>
                <w:lang w:val="en-US" w:eastAsia="zh-CN"/>
              </w:rPr>
              <w:t>。</w:t>
            </w:r>
            <w:r>
              <w:rPr>
                <w:rFonts w:hint="eastAsia" w:ascii="宋体" w:hAnsi="宋体" w:eastAsia="宋体" w:cs="宋体"/>
                <w:b w:val="0"/>
                <w:bCs w:val="0"/>
                <w:color w:val="000000" w:themeColor="text1"/>
                <w:sz w:val="21"/>
                <w:szCs w:val="21"/>
                <w:highlight w:val="none"/>
              </w:rPr>
              <w:t>可燃气体</w:t>
            </w:r>
            <w:r>
              <w:rPr>
                <w:rFonts w:hint="eastAsia" w:ascii="宋体" w:hAnsi="宋体" w:eastAsia="宋体" w:cs="宋体"/>
                <w:b w:val="0"/>
                <w:bCs w:val="0"/>
                <w:color w:val="000000" w:themeColor="text1"/>
                <w:sz w:val="21"/>
                <w:szCs w:val="21"/>
                <w:highlight w:val="none"/>
                <w:lang w:eastAsia="zh-CN"/>
              </w:rPr>
              <w:t>检测</w:t>
            </w:r>
            <w:r>
              <w:rPr>
                <w:rFonts w:hint="eastAsia" w:ascii="宋体" w:hAnsi="宋体" w:eastAsia="宋体" w:cs="宋体"/>
                <w:b w:val="0"/>
                <w:bCs w:val="0"/>
                <w:color w:val="000000" w:themeColor="text1"/>
                <w:sz w:val="21"/>
                <w:szCs w:val="21"/>
                <w:highlight w:val="none"/>
              </w:rPr>
              <w:t>报警系统</w:t>
            </w:r>
            <w:r>
              <w:rPr>
                <w:rFonts w:hint="eastAsia" w:cs="宋体"/>
                <w:b w:val="0"/>
                <w:bCs w:val="0"/>
                <w:color w:val="000000" w:themeColor="text1"/>
                <w:sz w:val="21"/>
                <w:szCs w:val="21"/>
                <w:highlight w:val="none"/>
                <w:lang w:val="en-US" w:eastAsia="zh-CN"/>
              </w:rPr>
              <w:t>于2023年10月更新。</w:t>
            </w:r>
          </w:p>
        </w:tc>
      </w:tr>
      <w:tr w14:paraId="61694845">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388" w:type="pct"/>
            <w:vAlign w:val="center"/>
          </w:tcPr>
          <w:p w14:paraId="5E2C0DE8">
            <w:pPr>
              <w:keepNext w:val="0"/>
              <w:keepLines w:val="0"/>
              <w:pageBreakBefore w:val="0"/>
              <w:widowControl w:val="0"/>
              <w:numPr>
                <w:ilvl w:val="0"/>
                <w:numId w:val="1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rPr>
            </w:pPr>
          </w:p>
        </w:tc>
        <w:tc>
          <w:tcPr>
            <w:tcW w:w="903" w:type="pct"/>
            <w:vAlign w:val="center"/>
          </w:tcPr>
          <w:p w14:paraId="7BA4A9ED">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rPr>
            </w:pPr>
            <w:r>
              <w:rPr>
                <w:rFonts w:hint="eastAsia" w:ascii="宋体" w:hAnsi="宋体" w:eastAsia="宋体" w:cs="宋体"/>
                <w:b w:val="0"/>
                <w:bCs w:val="0"/>
                <w:color w:val="000000" w:themeColor="text1"/>
                <w:sz w:val="21"/>
                <w:szCs w:val="21"/>
                <w:highlight w:val="none"/>
              </w:rPr>
              <w:t>轴流排风机</w:t>
            </w:r>
          </w:p>
        </w:tc>
        <w:tc>
          <w:tcPr>
            <w:tcW w:w="689" w:type="pct"/>
            <w:vAlign w:val="center"/>
          </w:tcPr>
          <w:p w14:paraId="10087522">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lang w:val="en-US" w:eastAsia="zh-CN"/>
              </w:rPr>
            </w:pPr>
            <w:r>
              <w:rPr>
                <w:rFonts w:hint="eastAsia" w:ascii="宋体" w:hAnsi="宋体" w:eastAsia="宋体" w:cs="宋体"/>
                <w:b w:val="0"/>
                <w:bCs w:val="0"/>
                <w:color w:val="000000" w:themeColor="text1"/>
                <w:sz w:val="21"/>
                <w:szCs w:val="21"/>
                <w:highlight w:val="none"/>
                <w:lang w:eastAsia="zh-CN"/>
              </w:rPr>
              <w:t>防爆</w:t>
            </w:r>
            <w:r>
              <w:rPr>
                <w:rFonts w:hint="eastAsia" w:cs="宋体"/>
                <w:b w:val="0"/>
                <w:bCs w:val="0"/>
                <w:color w:val="000000" w:themeColor="text1"/>
                <w:sz w:val="21"/>
                <w:szCs w:val="21"/>
                <w:highlight w:val="none"/>
                <w:lang w:eastAsia="zh-CN"/>
              </w:rPr>
              <w:t>型</w:t>
            </w:r>
          </w:p>
        </w:tc>
        <w:tc>
          <w:tcPr>
            <w:tcW w:w="399" w:type="pct"/>
            <w:vAlign w:val="center"/>
          </w:tcPr>
          <w:p w14:paraId="5D58FA6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rPr>
            </w:pPr>
            <w:r>
              <w:rPr>
                <w:rFonts w:hint="eastAsia" w:ascii="宋体" w:hAnsi="宋体" w:eastAsia="宋体" w:cs="宋体"/>
                <w:b w:val="0"/>
                <w:bCs w:val="0"/>
                <w:color w:val="000000" w:themeColor="text1"/>
                <w:sz w:val="21"/>
                <w:szCs w:val="21"/>
                <w:highlight w:val="none"/>
                <w:lang w:eastAsia="zh-CN"/>
              </w:rPr>
              <w:t>台</w:t>
            </w:r>
          </w:p>
        </w:tc>
        <w:tc>
          <w:tcPr>
            <w:tcW w:w="393" w:type="pct"/>
            <w:vAlign w:val="center"/>
          </w:tcPr>
          <w:p w14:paraId="1FCC448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lang w:val="en-US" w:eastAsia="zh-CN"/>
              </w:rPr>
            </w:pPr>
            <w:r>
              <w:rPr>
                <w:rFonts w:hint="eastAsia" w:ascii="宋体" w:hAnsi="宋体" w:eastAsia="宋体" w:cs="宋体"/>
                <w:b w:val="0"/>
                <w:bCs w:val="0"/>
                <w:color w:val="000000" w:themeColor="text1"/>
                <w:sz w:val="21"/>
                <w:szCs w:val="21"/>
                <w:highlight w:val="none"/>
                <w:lang w:val="en-US" w:eastAsia="zh-CN"/>
              </w:rPr>
              <w:t>2</w:t>
            </w:r>
          </w:p>
        </w:tc>
        <w:tc>
          <w:tcPr>
            <w:tcW w:w="2226" w:type="pct"/>
            <w:vAlign w:val="center"/>
          </w:tcPr>
          <w:p w14:paraId="761C898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lang w:eastAsia="zh-CN"/>
              </w:rPr>
            </w:pPr>
            <w:r>
              <w:rPr>
                <w:rFonts w:hint="eastAsia" w:ascii="宋体" w:hAnsi="宋体" w:eastAsia="宋体" w:cs="宋体"/>
                <w:b w:val="0"/>
                <w:bCs w:val="0"/>
                <w:color w:val="000000" w:themeColor="text1"/>
                <w:sz w:val="21"/>
                <w:szCs w:val="21"/>
                <w:highlight w:val="none"/>
                <w:lang w:eastAsia="zh-CN"/>
              </w:rPr>
              <w:t>危化品备货库房</w:t>
            </w:r>
          </w:p>
        </w:tc>
      </w:tr>
      <w:tr w14:paraId="4F5E4F9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388" w:type="pct"/>
            <w:vAlign w:val="center"/>
          </w:tcPr>
          <w:p w14:paraId="67374A7C">
            <w:pPr>
              <w:keepNext w:val="0"/>
              <w:keepLines w:val="0"/>
              <w:pageBreakBefore w:val="0"/>
              <w:widowControl w:val="0"/>
              <w:numPr>
                <w:ilvl w:val="0"/>
                <w:numId w:val="1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rPr>
            </w:pPr>
          </w:p>
        </w:tc>
        <w:tc>
          <w:tcPr>
            <w:tcW w:w="903" w:type="pct"/>
            <w:vAlign w:val="center"/>
          </w:tcPr>
          <w:p w14:paraId="6AA179F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lang w:eastAsia="zh-CN"/>
              </w:rPr>
            </w:pPr>
            <w:r>
              <w:rPr>
                <w:rFonts w:hint="eastAsia" w:ascii="宋体" w:hAnsi="宋体" w:eastAsia="宋体" w:cs="宋体"/>
                <w:b w:val="0"/>
                <w:bCs w:val="0"/>
                <w:color w:val="000000" w:themeColor="text1"/>
                <w:sz w:val="21"/>
                <w:szCs w:val="21"/>
                <w:highlight w:val="none"/>
                <w:lang w:eastAsia="zh-CN"/>
              </w:rPr>
              <w:t>视频监控</w:t>
            </w:r>
          </w:p>
        </w:tc>
        <w:tc>
          <w:tcPr>
            <w:tcW w:w="689" w:type="pct"/>
            <w:vAlign w:val="center"/>
          </w:tcPr>
          <w:p w14:paraId="4499260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rPr>
            </w:pPr>
            <w:r>
              <w:rPr>
                <w:rFonts w:hint="eastAsia" w:ascii="宋体" w:hAnsi="宋体" w:eastAsia="宋体" w:cs="宋体"/>
                <w:b w:val="0"/>
                <w:bCs w:val="0"/>
                <w:color w:val="000000" w:themeColor="text1"/>
                <w:sz w:val="21"/>
                <w:szCs w:val="21"/>
                <w:highlight w:val="none"/>
                <w:lang w:val="en-US" w:eastAsia="zh-CN"/>
              </w:rPr>
              <w:t>/</w:t>
            </w:r>
          </w:p>
        </w:tc>
        <w:tc>
          <w:tcPr>
            <w:tcW w:w="399" w:type="pct"/>
            <w:vAlign w:val="center"/>
          </w:tcPr>
          <w:p w14:paraId="21757D0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rPr>
            </w:pPr>
            <w:r>
              <w:rPr>
                <w:rFonts w:hint="eastAsia" w:ascii="宋体" w:hAnsi="宋体" w:eastAsia="宋体" w:cs="宋体"/>
                <w:b w:val="0"/>
                <w:bCs w:val="0"/>
                <w:color w:val="000000" w:themeColor="text1"/>
                <w:sz w:val="21"/>
                <w:szCs w:val="21"/>
                <w:highlight w:val="none"/>
                <w:lang w:val="en-US" w:eastAsia="zh-CN"/>
              </w:rPr>
              <w:t>/</w:t>
            </w:r>
          </w:p>
        </w:tc>
        <w:tc>
          <w:tcPr>
            <w:tcW w:w="393" w:type="pct"/>
            <w:vAlign w:val="center"/>
          </w:tcPr>
          <w:p w14:paraId="0BF9C0E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rPr>
            </w:pPr>
            <w:r>
              <w:rPr>
                <w:rFonts w:hint="eastAsia" w:ascii="宋体" w:hAnsi="宋体" w:eastAsia="宋体" w:cs="宋体"/>
                <w:b w:val="0"/>
                <w:bCs w:val="0"/>
                <w:color w:val="000000" w:themeColor="text1"/>
                <w:sz w:val="21"/>
                <w:szCs w:val="21"/>
                <w:highlight w:val="none"/>
                <w:lang w:val="en-US" w:eastAsia="zh-CN"/>
              </w:rPr>
              <w:t>/</w:t>
            </w:r>
          </w:p>
        </w:tc>
        <w:tc>
          <w:tcPr>
            <w:tcW w:w="2226" w:type="pct"/>
            <w:vAlign w:val="center"/>
          </w:tcPr>
          <w:p w14:paraId="40286FA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lang w:val="en-US" w:eastAsia="zh-CN"/>
              </w:rPr>
            </w:pPr>
            <w:r>
              <w:rPr>
                <w:rFonts w:hint="eastAsia" w:ascii="宋体" w:hAnsi="宋体" w:eastAsia="宋体" w:cs="宋体"/>
                <w:b w:val="0"/>
                <w:bCs w:val="0"/>
                <w:color w:val="000000" w:themeColor="text1"/>
                <w:sz w:val="21"/>
                <w:szCs w:val="21"/>
                <w:highlight w:val="none"/>
                <w:lang w:eastAsia="zh-CN"/>
              </w:rPr>
              <w:t>监控视频覆盖危险化学品装卸、储存和使用场所，监控视频录像保存</w:t>
            </w:r>
            <w:r>
              <w:rPr>
                <w:rFonts w:hint="eastAsia" w:ascii="宋体" w:hAnsi="宋体" w:eastAsia="宋体" w:cs="宋体"/>
                <w:b w:val="0"/>
                <w:bCs w:val="0"/>
                <w:color w:val="000000" w:themeColor="text1"/>
                <w:sz w:val="21"/>
                <w:szCs w:val="21"/>
                <w:highlight w:val="none"/>
                <w:lang w:val="en-US" w:eastAsia="zh-CN"/>
              </w:rPr>
              <w:t>6</w:t>
            </w:r>
            <w:r>
              <w:rPr>
                <w:rFonts w:hint="eastAsia" w:cs="宋体"/>
                <w:b w:val="0"/>
                <w:bCs w:val="0"/>
                <w:color w:val="000000" w:themeColor="text1"/>
                <w:sz w:val="21"/>
                <w:szCs w:val="21"/>
                <w:highlight w:val="none"/>
                <w:lang w:val="en-US" w:eastAsia="zh-CN"/>
              </w:rPr>
              <w:t>0</w:t>
            </w:r>
            <w:r>
              <w:rPr>
                <w:rFonts w:hint="eastAsia" w:ascii="宋体" w:hAnsi="宋体" w:eastAsia="宋体" w:cs="宋体"/>
                <w:b w:val="0"/>
                <w:bCs w:val="0"/>
                <w:color w:val="000000" w:themeColor="text1"/>
                <w:sz w:val="21"/>
                <w:szCs w:val="21"/>
                <w:highlight w:val="none"/>
                <w:lang w:val="en-US" w:eastAsia="zh-CN"/>
              </w:rPr>
              <w:t>天</w:t>
            </w:r>
          </w:p>
        </w:tc>
      </w:tr>
      <w:tr w14:paraId="458797D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388" w:type="pct"/>
            <w:vAlign w:val="center"/>
          </w:tcPr>
          <w:p w14:paraId="592C20E3">
            <w:pPr>
              <w:keepNext w:val="0"/>
              <w:keepLines w:val="0"/>
              <w:pageBreakBefore w:val="0"/>
              <w:widowControl w:val="0"/>
              <w:numPr>
                <w:ilvl w:val="0"/>
                <w:numId w:val="1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rPr>
            </w:pPr>
          </w:p>
        </w:tc>
        <w:tc>
          <w:tcPr>
            <w:tcW w:w="903" w:type="pct"/>
            <w:vAlign w:val="center"/>
          </w:tcPr>
          <w:p w14:paraId="0947438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lang w:eastAsia="zh-CN"/>
              </w:rPr>
            </w:pPr>
            <w:r>
              <w:rPr>
                <w:rFonts w:hint="eastAsia" w:ascii="宋体" w:hAnsi="宋体" w:eastAsia="宋体" w:cs="宋体"/>
                <w:b w:val="0"/>
                <w:bCs w:val="0"/>
                <w:color w:val="000000" w:themeColor="text1"/>
                <w:sz w:val="21"/>
                <w:szCs w:val="21"/>
                <w:highlight w:val="none"/>
                <w:lang w:eastAsia="zh-CN"/>
              </w:rPr>
              <w:t>洗眼充淋设施</w:t>
            </w:r>
          </w:p>
        </w:tc>
        <w:tc>
          <w:tcPr>
            <w:tcW w:w="689" w:type="pct"/>
            <w:vAlign w:val="center"/>
          </w:tcPr>
          <w:p w14:paraId="5759879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rPr>
            </w:pPr>
            <w:r>
              <w:rPr>
                <w:rFonts w:hint="eastAsia" w:ascii="宋体" w:hAnsi="宋体" w:eastAsia="宋体" w:cs="宋体"/>
                <w:b w:val="0"/>
                <w:bCs w:val="0"/>
                <w:color w:val="000000" w:themeColor="text1"/>
                <w:sz w:val="21"/>
                <w:szCs w:val="21"/>
                <w:highlight w:val="none"/>
                <w:lang w:val="en-US" w:eastAsia="zh-CN"/>
              </w:rPr>
              <w:t>/</w:t>
            </w:r>
          </w:p>
        </w:tc>
        <w:tc>
          <w:tcPr>
            <w:tcW w:w="399" w:type="pct"/>
            <w:vAlign w:val="center"/>
          </w:tcPr>
          <w:p w14:paraId="3B38FC0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rPr>
            </w:pPr>
            <w:r>
              <w:rPr>
                <w:rFonts w:hint="eastAsia" w:ascii="宋体" w:hAnsi="宋体" w:eastAsia="宋体" w:cs="宋体"/>
                <w:b w:val="0"/>
                <w:bCs w:val="0"/>
                <w:color w:val="000000" w:themeColor="text1"/>
                <w:sz w:val="21"/>
                <w:szCs w:val="21"/>
                <w:highlight w:val="none"/>
                <w:lang w:eastAsia="zh-CN"/>
              </w:rPr>
              <w:t>台</w:t>
            </w:r>
          </w:p>
        </w:tc>
        <w:tc>
          <w:tcPr>
            <w:tcW w:w="393" w:type="pct"/>
            <w:vAlign w:val="center"/>
          </w:tcPr>
          <w:p w14:paraId="2269905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lang w:val="en-US" w:eastAsia="zh-CN"/>
              </w:rPr>
            </w:pPr>
            <w:r>
              <w:rPr>
                <w:rFonts w:hint="eastAsia" w:ascii="宋体" w:hAnsi="宋体" w:eastAsia="宋体" w:cs="宋体"/>
                <w:b w:val="0"/>
                <w:bCs w:val="0"/>
                <w:color w:val="000000" w:themeColor="text1"/>
                <w:sz w:val="21"/>
                <w:szCs w:val="21"/>
                <w:highlight w:val="none"/>
                <w:lang w:val="en-US" w:eastAsia="zh-CN"/>
              </w:rPr>
              <w:t>6</w:t>
            </w:r>
          </w:p>
        </w:tc>
        <w:tc>
          <w:tcPr>
            <w:tcW w:w="2226" w:type="pct"/>
            <w:vAlign w:val="center"/>
          </w:tcPr>
          <w:p w14:paraId="5AA4DFF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000000" w:themeColor="text1"/>
                <w:sz w:val="21"/>
                <w:szCs w:val="21"/>
                <w:highlight w:val="none"/>
                <w:lang w:val="en-US" w:eastAsia="zh-CN"/>
              </w:rPr>
            </w:pPr>
            <w:r>
              <w:rPr>
                <w:rFonts w:hint="eastAsia" w:ascii="宋体" w:hAnsi="宋体" w:eastAsia="宋体" w:cs="宋体"/>
                <w:b w:val="0"/>
                <w:bCs w:val="0"/>
                <w:color w:val="000000" w:themeColor="text1"/>
                <w:sz w:val="21"/>
                <w:szCs w:val="21"/>
                <w:highlight w:val="none"/>
                <w:lang w:val="en-US" w:eastAsia="zh-CN"/>
              </w:rPr>
              <w:t>氢氧化钠溶液</w:t>
            </w:r>
            <w:r>
              <w:rPr>
                <w:rFonts w:hint="eastAsia" w:ascii="宋体" w:hAnsi="宋体" w:eastAsia="宋体" w:cs="宋体"/>
                <w:b w:val="0"/>
                <w:bCs w:val="0"/>
                <w:color w:val="000000" w:themeColor="text1"/>
                <w:sz w:val="21"/>
                <w:szCs w:val="21"/>
                <w:highlight w:val="none"/>
                <w:lang w:eastAsia="zh-CN"/>
              </w:rPr>
              <w:t>储罐区域</w:t>
            </w:r>
            <w:r>
              <w:rPr>
                <w:rFonts w:hint="eastAsia" w:ascii="宋体" w:hAnsi="宋体" w:eastAsia="宋体" w:cs="宋体"/>
                <w:b w:val="0"/>
                <w:bCs w:val="0"/>
                <w:color w:val="000000" w:themeColor="text1"/>
                <w:sz w:val="21"/>
                <w:szCs w:val="21"/>
                <w:highlight w:val="none"/>
                <w:lang w:val="en-US" w:eastAsia="zh-CN"/>
              </w:rPr>
              <w:t>1个、备货库房区域1个、漂染车间2个、</w:t>
            </w:r>
            <w:r>
              <w:rPr>
                <w:rFonts w:hint="eastAsia"/>
                <w:color w:val="000000" w:themeColor="text1"/>
                <w:sz w:val="21"/>
                <w:szCs w:val="21"/>
                <w:highlight w:val="none"/>
              </w:rPr>
              <w:t>废水处理站</w:t>
            </w:r>
            <w:r>
              <w:rPr>
                <w:rFonts w:hint="eastAsia" w:ascii="宋体" w:hAnsi="宋体" w:eastAsia="宋体" w:cs="宋体"/>
                <w:b w:val="0"/>
                <w:bCs w:val="0"/>
                <w:color w:val="000000" w:themeColor="text1"/>
                <w:spacing w:val="0"/>
                <w:sz w:val="21"/>
                <w:szCs w:val="21"/>
                <w:highlight w:val="none"/>
              </w:rPr>
              <w:t>药剂房</w:t>
            </w:r>
            <w:r>
              <w:rPr>
                <w:rFonts w:hint="eastAsia" w:ascii="宋体" w:hAnsi="宋体" w:eastAsia="宋体" w:cs="宋体"/>
                <w:b w:val="0"/>
                <w:bCs w:val="0"/>
                <w:color w:val="000000" w:themeColor="text1"/>
                <w:sz w:val="21"/>
                <w:szCs w:val="21"/>
                <w:highlight w:val="none"/>
                <w:lang w:val="en-US" w:eastAsia="zh-CN"/>
              </w:rPr>
              <w:t>1个、</w:t>
            </w:r>
            <w:r>
              <w:rPr>
                <w:rFonts w:hint="eastAsia" w:ascii="宋体" w:hAnsi="宋体" w:eastAsia="宋体" w:cs="宋体"/>
                <w:b w:val="0"/>
                <w:bCs w:val="0"/>
                <w:color w:val="000000" w:themeColor="text1"/>
                <w:kern w:val="0"/>
                <w:sz w:val="21"/>
                <w:szCs w:val="21"/>
                <w:highlight w:val="none"/>
                <w:lang w:eastAsia="zh-CN"/>
              </w:rPr>
              <w:t>次氯酸钠溶液加药区</w:t>
            </w:r>
            <w:r>
              <w:rPr>
                <w:rFonts w:hint="eastAsia" w:ascii="宋体" w:hAnsi="宋体" w:eastAsia="宋体" w:cs="宋体"/>
                <w:b w:val="0"/>
                <w:bCs w:val="0"/>
                <w:color w:val="000000" w:themeColor="text1"/>
                <w:kern w:val="0"/>
                <w:sz w:val="21"/>
                <w:szCs w:val="21"/>
                <w:highlight w:val="none"/>
                <w:lang w:val="en-US" w:eastAsia="zh-CN"/>
              </w:rPr>
              <w:t>1个</w:t>
            </w:r>
          </w:p>
        </w:tc>
      </w:tr>
    </w:tbl>
    <w:p w14:paraId="1CCF4A52">
      <w:pPr>
        <w:pStyle w:val="6"/>
        <w:keepNext w:val="0"/>
        <w:keepLines w:val="0"/>
        <w:pageBreakBefore w:val="0"/>
        <w:widowControl w:val="0"/>
        <w:kinsoku/>
        <w:wordWrap/>
        <w:overflowPunct/>
        <w:topLinePunct w:val="0"/>
        <w:autoSpaceDE/>
        <w:autoSpaceDN/>
        <w:bidi w:val="0"/>
        <w:adjustRightInd w:val="0"/>
        <w:snapToGrid w:val="0"/>
        <w:spacing w:beforeLines="50"/>
        <w:textAlignment w:val="auto"/>
        <w:rPr>
          <w:rFonts w:hint="eastAsia" w:eastAsia="黑体"/>
          <w:color w:val="000000" w:themeColor="text1"/>
          <w:highlight w:val="none"/>
          <w:lang w:eastAsia="zh-CN"/>
        </w:rPr>
      </w:pPr>
      <w:bookmarkStart w:id="304" w:name="_Toc894"/>
      <w:bookmarkStart w:id="305" w:name="_Toc28998"/>
      <w:bookmarkStart w:id="306" w:name="_Toc23813"/>
      <w:bookmarkStart w:id="307" w:name="_Toc4581"/>
      <w:bookmarkStart w:id="308" w:name="_Toc17463"/>
      <w:bookmarkStart w:id="309" w:name="_Toc17762"/>
      <w:r>
        <w:rPr>
          <w:color w:val="000000" w:themeColor="text1"/>
          <w:highlight w:val="none"/>
        </w:rPr>
        <w:t>2.</w:t>
      </w:r>
      <w:r>
        <w:rPr>
          <w:rFonts w:hint="eastAsia"/>
          <w:color w:val="000000" w:themeColor="text1"/>
          <w:highlight w:val="none"/>
          <w:lang w:val="en-US" w:eastAsia="zh-CN"/>
        </w:rPr>
        <w:t>6</w:t>
      </w:r>
      <w:r>
        <w:rPr>
          <w:color w:val="000000" w:themeColor="text1"/>
          <w:highlight w:val="none"/>
        </w:rPr>
        <w:t xml:space="preserve"> </w:t>
      </w:r>
      <w:r>
        <w:rPr>
          <w:rFonts w:hint="eastAsia"/>
          <w:color w:val="000000" w:themeColor="text1"/>
          <w:highlight w:val="none"/>
        </w:rPr>
        <w:t>公司管理情况</w:t>
      </w:r>
      <w:bookmarkEnd w:id="304"/>
      <w:bookmarkEnd w:id="305"/>
      <w:bookmarkEnd w:id="306"/>
      <w:bookmarkEnd w:id="307"/>
      <w:bookmarkEnd w:id="308"/>
      <w:bookmarkEnd w:id="309"/>
    </w:p>
    <w:p w14:paraId="0993FF99">
      <w:pPr>
        <w:pStyle w:val="26"/>
        <w:keepNext w:val="0"/>
        <w:keepLines w:val="0"/>
        <w:pageBreakBefore w:val="0"/>
        <w:widowControl w:val="0"/>
        <w:kinsoku/>
        <w:wordWrap/>
        <w:overflowPunct/>
        <w:topLinePunct w:val="0"/>
        <w:autoSpaceDE/>
        <w:autoSpaceDN/>
        <w:bidi w:val="0"/>
        <w:adjustRightInd w:val="0"/>
        <w:snapToGrid w:val="0"/>
        <w:spacing w:after="0" w:line="360" w:lineRule="auto"/>
        <w:ind w:firstLine="560" w:firstLineChars="200"/>
        <w:textAlignment w:val="auto"/>
        <w:rPr>
          <w:rFonts w:hint="default" w:eastAsia="宋体"/>
          <w:color w:val="000000" w:themeColor="text1"/>
          <w:sz w:val="28"/>
          <w:szCs w:val="28"/>
          <w:highlight w:val="none"/>
          <w:lang w:val="en-US" w:eastAsia="zh-CN"/>
        </w:rPr>
      </w:pPr>
      <w:r>
        <w:rPr>
          <w:rFonts w:hint="eastAsia" w:ascii="宋体" w:hAnsi="宋体" w:cs="宋体"/>
          <w:color w:val="000000" w:themeColor="text1"/>
          <w:sz w:val="28"/>
          <w:szCs w:val="28"/>
          <w:highlight w:val="none"/>
          <w:lang w:eastAsia="zh-CN"/>
        </w:rPr>
        <w:t>华美线业</w:t>
      </w:r>
      <w:r>
        <w:rPr>
          <w:rFonts w:hint="eastAsia" w:ascii="宋体" w:hAnsi="宋体" w:eastAsia="宋体" w:cs="宋体"/>
          <w:color w:val="000000" w:themeColor="text1"/>
          <w:sz w:val="28"/>
          <w:szCs w:val="28"/>
          <w:highlight w:val="none"/>
          <w:lang w:eastAsia="zh-CN"/>
        </w:rPr>
        <w:t>为安全生产标准化三级企业（</w:t>
      </w:r>
      <w:r>
        <w:rPr>
          <w:rFonts w:hint="eastAsia" w:ascii="宋体" w:hAnsi="宋体" w:cs="宋体"/>
          <w:color w:val="000000" w:themeColor="text1"/>
          <w:sz w:val="28"/>
          <w:szCs w:val="28"/>
          <w:highlight w:val="none"/>
          <w:lang w:eastAsia="zh-CN"/>
        </w:rPr>
        <w:t>纺织</w:t>
      </w:r>
      <w:r>
        <w:rPr>
          <w:rFonts w:hint="eastAsia" w:ascii="宋体" w:hAnsi="宋体" w:eastAsia="宋体" w:cs="宋体"/>
          <w:color w:val="000000" w:themeColor="text1"/>
          <w:sz w:val="28"/>
          <w:szCs w:val="28"/>
          <w:highlight w:val="none"/>
          <w:lang w:eastAsia="zh-CN"/>
        </w:rPr>
        <w:t>），有效时间至</w:t>
      </w:r>
      <w:r>
        <w:rPr>
          <w:rFonts w:hint="eastAsia" w:ascii="宋体" w:hAnsi="宋体" w:eastAsia="宋体" w:cs="宋体"/>
          <w:color w:val="000000" w:themeColor="text1"/>
          <w:sz w:val="28"/>
          <w:szCs w:val="28"/>
          <w:highlight w:val="none"/>
          <w:lang w:val="en-US" w:eastAsia="zh-CN"/>
        </w:rPr>
        <w:t>202</w:t>
      </w:r>
      <w:r>
        <w:rPr>
          <w:rFonts w:hint="eastAsia" w:ascii="宋体" w:hAnsi="宋体" w:cs="宋体"/>
          <w:color w:val="000000" w:themeColor="text1"/>
          <w:sz w:val="28"/>
          <w:szCs w:val="28"/>
          <w:highlight w:val="none"/>
          <w:lang w:val="en-US" w:eastAsia="zh-CN"/>
        </w:rPr>
        <w:t>5</w:t>
      </w:r>
      <w:r>
        <w:rPr>
          <w:rFonts w:hint="eastAsia" w:ascii="宋体" w:hAnsi="宋体" w:eastAsia="宋体" w:cs="宋体"/>
          <w:color w:val="000000" w:themeColor="text1"/>
          <w:sz w:val="28"/>
          <w:szCs w:val="28"/>
          <w:highlight w:val="none"/>
          <w:lang w:val="en-US" w:eastAsia="zh-CN"/>
        </w:rPr>
        <w:t>年</w:t>
      </w:r>
      <w:r>
        <w:rPr>
          <w:rFonts w:hint="eastAsia" w:ascii="宋体" w:hAnsi="宋体" w:cs="宋体"/>
          <w:color w:val="000000" w:themeColor="text1"/>
          <w:sz w:val="28"/>
          <w:szCs w:val="28"/>
          <w:highlight w:val="none"/>
          <w:lang w:val="en-US" w:eastAsia="zh-CN"/>
        </w:rPr>
        <w:t>4</w:t>
      </w:r>
      <w:r>
        <w:rPr>
          <w:rFonts w:hint="eastAsia" w:ascii="宋体" w:hAnsi="宋体" w:eastAsia="宋体" w:cs="宋体"/>
          <w:color w:val="000000" w:themeColor="text1"/>
          <w:sz w:val="28"/>
          <w:szCs w:val="28"/>
          <w:highlight w:val="none"/>
          <w:lang w:val="en-US" w:eastAsia="zh-CN"/>
        </w:rPr>
        <w:t>月</w:t>
      </w:r>
      <w:r>
        <w:rPr>
          <w:rFonts w:hint="eastAsia" w:ascii="宋体" w:hAnsi="宋体" w:cs="宋体"/>
          <w:color w:val="000000" w:themeColor="text1"/>
          <w:sz w:val="28"/>
          <w:szCs w:val="28"/>
          <w:highlight w:val="none"/>
          <w:lang w:val="en-US" w:eastAsia="zh-CN"/>
        </w:rPr>
        <w:t>01日，证书编号为AQBⅢFZ甬K2021008</w:t>
      </w:r>
      <w:r>
        <w:rPr>
          <w:rFonts w:hint="eastAsia" w:ascii="宋体" w:hAnsi="宋体" w:eastAsia="宋体" w:cs="宋体"/>
          <w:color w:val="000000" w:themeColor="text1"/>
          <w:sz w:val="28"/>
          <w:szCs w:val="28"/>
          <w:highlight w:val="none"/>
          <w:lang w:val="en-US" w:eastAsia="zh-CN"/>
        </w:rPr>
        <w:t>。安全生产标准化证书见附件。</w:t>
      </w:r>
    </w:p>
    <w:p w14:paraId="5412440E">
      <w:pPr>
        <w:pStyle w:val="7"/>
        <w:keepNext w:val="0"/>
        <w:keepLines w:val="0"/>
        <w:pageBreakBefore w:val="0"/>
        <w:widowControl w:val="0"/>
        <w:kinsoku/>
        <w:wordWrap/>
        <w:overflowPunct/>
        <w:topLinePunct w:val="0"/>
        <w:autoSpaceDE/>
        <w:autoSpaceDN/>
        <w:bidi w:val="0"/>
        <w:adjustRightInd w:val="0"/>
        <w:snapToGrid w:val="0"/>
        <w:textAlignment w:val="auto"/>
        <w:rPr>
          <w:color w:val="000000" w:themeColor="text1"/>
          <w:highlight w:val="none"/>
        </w:rPr>
      </w:pPr>
      <w:bookmarkStart w:id="310" w:name="_Toc23209"/>
      <w:bookmarkStart w:id="311" w:name="_Toc20926"/>
      <w:bookmarkStart w:id="312" w:name="_Toc6347"/>
      <w:bookmarkStart w:id="313" w:name="_Toc25669"/>
      <w:bookmarkStart w:id="314" w:name="_Toc5637"/>
      <w:bookmarkStart w:id="315" w:name="_Toc1443"/>
      <w:r>
        <w:rPr>
          <w:rFonts w:hint="eastAsia"/>
          <w:color w:val="000000" w:themeColor="text1"/>
          <w:highlight w:val="none"/>
        </w:rPr>
        <w:t>2.</w:t>
      </w:r>
      <w:r>
        <w:rPr>
          <w:rFonts w:hint="eastAsia"/>
          <w:color w:val="000000" w:themeColor="text1"/>
          <w:highlight w:val="none"/>
          <w:lang w:val="en-US" w:eastAsia="zh-CN"/>
        </w:rPr>
        <w:t>6</w:t>
      </w:r>
      <w:r>
        <w:rPr>
          <w:rFonts w:hint="eastAsia"/>
          <w:color w:val="000000" w:themeColor="text1"/>
          <w:highlight w:val="none"/>
        </w:rPr>
        <w:t xml:space="preserve">.1 </w:t>
      </w:r>
      <w:bookmarkEnd w:id="276"/>
      <w:bookmarkEnd w:id="277"/>
      <w:bookmarkEnd w:id="278"/>
      <w:bookmarkEnd w:id="279"/>
      <w:r>
        <w:rPr>
          <w:rFonts w:hint="eastAsia"/>
          <w:color w:val="000000" w:themeColor="text1"/>
          <w:highlight w:val="none"/>
        </w:rPr>
        <w:t>工作制度与劳动定员</w:t>
      </w:r>
      <w:bookmarkEnd w:id="310"/>
      <w:bookmarkEnd w:id="311"/>
      <w:bookmarkEnd w:id="312"/>
      <w:bookmarkEnd w:id="313"/>
      <w:bookmarkEnd w:id="314"/>
      <w:bookmarkEnd w:id="315"/>
    </w:p>
    <w:p w14:paraId="777E8918">
      <w:pPr>
        <w:pStyle w:val="744"/>
        <w:keepNext w:val="0"/>
        <w:keepLines w:val="0"/>
        <w:pageBreakBefore w:val="0"/>
        <w:widowControl w:val="0"/>
        <w:numPr>
          <w:ilvl w:val="0"/>
          <w:numId w:val="19"/>
        </w:numPr>
        <w:kinsoku/>
        <w:wordWrap/>
        <w:topLinePunct w:val="0"/>
        <w:bidi w:val="0"/>
        <w:adjustRightInd w:val="0"/>
        <w:snapToGrid w:val="0"/>
        <w:spacing w:line="360" w:lineRule="auto"/>
        <w:ind w:left="142" w:firstLine="420" w:firstLineChars="0"/>
        <w:rPr>
          <w:color w:val="000000" w:themeColor="text1"/>
          <w:sz w:val="28"/>
          <w:szCs w:val="28"/>
          <w:highlight w:val="none"/>
        </w:rPr>
      </w:pPr>
      <w:r>
        <w:rPr>
          <w:color w:val="000000" w:themeColor="text1"/>
          <w:sz w:val="28"/>
          <w:szCs w:val="28"/>
          <w:highlight w:val="none"/>
        </w:rPr>
        <w:t>工作制度</w:t>
      </w:r>
    </w:p>
    <w:p w14:paraId="0E408AFE">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华美线业</w:t>
      </w:r>
      <w:r>
        <w:rPr>
          <w:color w:val="000000" w:themeColor="text1"/>
          <w:sz w:val="28"/>
          <w:szCs w:val="28"/>
          <w:highlight w:val="none"/>
        </w:rPr>
        <w:t>工作制度为三班制生产，年工作300天，工作班制一般为二班制，忙时按三班制生产。</w:t>
      </w:r>
    </w:p>
    <w:p w14:paraId="12D10A50">
      <w:pPr>
        <w:pStyle w:val="744"/>
        <w:keepNext w:val="0"/>
        <w:keepLines w:val="0"/>
        <w:pageBreakBefore w:val="0"/>
        <w:widowControl w:val="0"/>
        <w:numPr>
          <w:ilvl w:val="0"/>
          <w:numId w:val="19"/>
        </w:numPr>
        <w:kinsoku/>
        <w:wordWrap/>
        <w:topLinePunct w:val="0"/>
        <w:bidi w:val="0"/>
        <w:adjustRightInd w:val="0"/>
        <w:snapToGrid w:val="0"/>
        <w:spacing w:line="360" w:lineRule="auto"/>
        <w:ind w:left="142" w:firstLine="420" w:firstLineChars="0"/>
        <w:rPr>
          <w:color w:val="000000" w:themeColor="text1"/>
          <w:sz w:val="28"/>
          <w:szCs w:val="28"/>
          <w:highlight w:val="none"/>
        </w:rPr>
      </w:pPr>
      <w:r>
        <w:rPr>
          <w:color w:val="000000" w:themeColor="text1"/>
          <w:sz w:val="28"/>
          <w:szCs w:val="28"/>
          <w:highlight w:val="none"/>
        </w:rPr>
        <w:t>劳动定员</w:t>
      </w:r>
    </w:p>
    <w:p w14:paraId="253DD3E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themeColor="text1"/>
          <w:sz w:val="28"/>
          <w:szCs w:val="28"/>
          <w:highlight w:val="none"/>
        </w:rPr>
      </w:pPr>
      <w:r>
        <w:rPr>
          <w:rFonts w:hint="eastAsia"/>
          <w:color w:val="000000" w:themeColor="text1"/>
          <w:sz w:val="28"/>
          <w:szCs w:val="28"/>
          <w:highlight w:val="none"/>
        </w:rPr>
        <w:t>华美线业</w:t>
      </w:r>
      <w:r>
        <w:rPr>
          <w:color w:val="000000" w:themeColor="text1"/>
          <w:sz w:val="28"/>
          <w:szCs w:val="28"/>
          <w:highlight w:val="none"/>
        </w:rPr>
        <w:t>现有员工</w:t>
      </w:r>
      <w:r>
        <w:rPr>
          <w:rFonts w:hint="eastAsia"/>
          <w:color w:val="000000" w:themeColor="text1"/>
          <w:sz w:val="28"/>
          <w:szCs w:val="28"/>
          <w:highlight w:val="none"/>
          <w:lang w:val="en-US" w:eastAsia="zh-CN"/>
        </w:rPr>
        <w:t>550</w:t>
      </w:r>
      <w:r>
        <w:rPr>
          <w:color w:val="000000" w:themeColor="text1"/>
          <w:sz w:val="28"/>
          <w:szCs w:val="28"/>
          <w:highlight w:val="none"/>
        </w:rPr>
        <w:t>名</w:t>
      </w:r>
      <w:r>
        <w:rPr>
          <w:rFonts w:hint="eastAsia"/>
          <w:color w:val="000000" w:themeColor="text1"/>
          <w:sz w:val="28"/>
          <w:szCs w:val="28"/>
          <w:highlight w:val="none"/>
        </w:rPr>
        <w:t>。</w:t>
      </w:r>
    </w:p>
    <w:p w14:paraId="23938652">
      <w:pPr>
        <w:widowControl w:val="0"/>
        <w:adjustRightInd w:val="0"/>
        <w:snapToGrid w:val="0"/>
        <w:ind w:firstLine="0" w:firstLineChars="0"/>
        <w:rPr>
          <w:color w:val="000000" w:themeColor="text1"/>
          <w:highlight w:val="none"/>
        </w:rPr>
        <w:sectPr>
          <w:footerReference r:id="rId17" w:type="default"/>
          <w:pgSz w:w="11907" w:h="16840"/>
          <w:pgMar w:top="1417" w:right="1134" w:bottom="1134" w:left="1587" w:header="794" w:footer="794" w:gutter="0"/>
          <w:pgBorders>
            <w:top w:val="none" w:sz="0" w:space="0"/>
            <w:left w:val="none" w:sz="0" w:space="0"/>
            <w:bottom w:val="none" w:sz="0" w:space="0"/>
            <w:right w:val="none" w:sz="0" w:space="0"/>
          </w:pgBorders>
          <w:cols w:space="720" w:num="1"/>
          <w:docGrid w:linePitch="326" w:charSpace="0"/>
        </w:sectPr>
      </w:pPr>
    </w:p>
    <w:p w14:paraId="0FD48A10">
      <w:pPr>
        <w:pStyle w:val="7"/>
        <w:rPr>
          <w:rFonts w:hint="eastAsia"/>
          <w:color w:val="000000" w:themeColor="text1"/>
          <w:sz w:val="28"/>
          <w:highlight w:val="none"/>
        </w:rPr>
      </w:pPr>
      <w:bookmarkStart w:id="316" w:name="_Toc32114"/>
      <w:r>
        <w:rPr>
          <w:rFonts w:hint="eastAsia"/>
          <w:color w:val="000000" w:themeColor="text1"/>
          <w:highlight w:val="none"/>
        </w:rPr>
        <w:t>2.</w:t>
      </w:r>
      <w:r>
        <w:rPr>
          <w:rFonts w:hint="eastAsia"/>
          <w:color w:val="000000" w:themeColor="text1"/>
          <w:highlight w:val="none"/>
          <w:lang w:val="en-US" w:eastAsia="zh-CN"/>
        </w:rPr>
        <w:t>6</w:t>
      </w:r>
      <w:r>
        <w:rPr>
          <w:rFonts w:hint="eastAsia"/>
          <w:color w:val="000000" w:themeColor="text1"/>
          <w:highlight w:val="none"/>
        </w:rPr>
        <w:t>.2 安全管理组织机构</w:t>
      </w:r>
      <w:bookmarkEnd w:id="316"/>
    </w:p>
    <w:p w14:paraId="6417490E">
      <w:pPr>
        <w:keepNext w:val="0"/>
        <w:keepLines w:val="0"/>
        <w:pageBreakBefore w:val="0"/>
        <w:widowControl w:val="0"/>
        <w:kinsoku/>
        <w:wordWrap/>
        <w:topLinePunct w:val="0"/>
        <w:bidi w:val="0"/>
        <w:adjustRightInd w:val="0"/>
        <w:snapToGrid w:val="0"/>
        <w:spacing w:line="360" w:lineRule="auto"/>
        <w:ind w:firstLine="560" w:firstLineChars="200"/>
        <w:rPr>
          <w:rFonts w:hint="eastAsia" w:ascii="宋体" w:hAnsi="宋体" w:eastAsia="宋体" w:cs="宋体"/>
          <w:color w:val="000000" w:themeColor="text1"/>
          <w:sz w:val="28"/>
          <w:szCs w:val="28"/>
          <w:highlight w:val="none"/>
        </w:rPr>
      </w:pPr>
      <w:r>
        <w:rPr>
          <w:rFonts w:hint="eastAsia"/>
          <w:color w:val="000000" w:themeColor="text1"/>
          <w:sz w:val="28"/>
          <w:highlight w:val="none"/>
        </w:rPr>
        <w:t>华美线业建立了</w:t>
      </w:r>
      <w:r>
        <w:rPr>
          <w:rFonts w:hint="eastAsia"/>
          <w:color w:val="000000" w:themeColor="text1"/>
          <w:sz w:val="28"/>
          <w:highlight w:val="none"/>
          <w:lang w:val="zh-CN"/>
        </w:rPr>
        <w:t>安全生产管理网络，</w:t>
      </w:r>
      <w:r>
        <w:rPr>
          <w:rFonts w:hint="eastAsia" w:ascii="宋体" w:hAnsi="宋体" w:eastAsia="宋体" w:cs="宋体"/>
          <w:color w:val="000000" w:themeColor="text1"/>
          <w:sz w:val="28"/>
          <w:szCs w:val="28"/>
          <w:highlight w:val="none"/>
        </w:rPr>
        <w:t>设置了</w:t>
      </w:r>
      <w:r>
        <w:rPr>
          <w:rFonts w:hint="eastAsia" w:ascii="宋体" w:hAnsi="宋体" w:eastAsia="宋体" w:cs="宋体"/>
          <w:color w:val="000000" w:themeColor="text1"/>
          <w:kern w:val="0"/>
          <w:sz w:val="28"/>
          <w:szCs w:val="28"/>
          <w:highlight w:val="none"/>
        </w:rPr>
        <w:t>安全生产管理机构</w:t>
      </w:r>
      <w:r>
        <w:rPr>
          <w:rFonts w:hint="eastAsia" w:ascii="宋体" w:hAnsi="宋体" w:eastAsia="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lang w:val="en-US" w:eastAsia="zh-CN"/>
        </w:rPr>
        <w:t>EHS，</w:t>
      </w:r>
      <w:r>
        <w:rPr>
          <w:rFonts w:hint="eastAsia" w:ascii="宋体" w:hAnsi="宋体" w:eastAsia="宋体" w:cs="宋体"/>
          <w:color w:val="000000" w:themeColor="text1"/>
          <w:kern w:val="0"/>
          <w:sz w:val="28"/>
          <w:szCs w:val="28"/>
          <w:highlight w:val="none"/>
        </w:rPr>
        <w:t>并配备</w:t>
      </w:r>
      <w:r>
        <w:rPr>
          <w:rFonts w:hint="eastAsia" w:ascii="宋体" w:hAnsi="宋体" w:eastAsia="宋体" w:cs="宋体"/>
          <w:color w:val="000000" w:themeColor="text1"/>
          <w:kern w:val="0"/>
          <w:sz w:val="28"/>
          <w:szCs w:val="28"/>
          <w:highlight w:val="none"/>
          <w:lang w:eastAsia="zh-CN"/>
        </w:rPr>
        <w:t>了</w:t>
      </w:r>
      <w:r>
        <w:rPr>
          <w:rFonts w:hint="eastAsia" w:cs="宋体"/>
          <w:color w:val="000000" w:themeColor="text1"/>
          <w:kern w:val="0"/>
          <w:sz w:val="28"/>
          <w:szCs w:val="28"/>
          <w:highlight w:val="none"/>
          <w:lang w:val="en-US" w:eastAsia="zh-CN"/>
        </w:rPr>
        <w:t>2</w:t>
      </w:r>
      <w:r>
        <w:rPr>
          <w:rFonts w:hint="eastAsia" w:ascii="宋体" w:hAnsi="宋体" w:eastAsia="宋体" w:cs="宋体"/>
          <w:color w:val="000000" w:themeColor="text1"/>
          <w:kern w:val="0"/>
          <w:sz w:val="28"/>
          <w:szCs w:val="28"/>
          <w:highlight w:val="none"/>
          <w:lang w:val="en-US" w:eastAsia="zh-CN"/>
        </w:rPr>
        <w:t>名</w:t>
      </w:r>
      <w:r>
        <w:rPr>
          <w:rFonts w:hint="eastAsia" w:ascii="宋体" w:hAnsi="宋体" w:eastAsia="宋体" w:cs="宋体"/>
          <w:color w:val="000000" w:themeColor="text1"/>
          <w:sz w:val="28"/>
          <w:szCs w:val="28"/>
          <w:highlight w:val="none"/>
        </w:rPr>
        <w:t>专职安全管理人员负责安全生产管理工作。</w:t>
      </w:r>
    </w:p>
    <w:p w14:paraId="1DFC9004">
      <w:pPr>
        <w:keepNext w:val="0"/>
        <w:keepLines w:val="0"/>
        <w:pageBreakBefore w:val="0"/>
        <w:widowControl w:val="0"/>
        <w:kinsoku/>
        <w:wordWrap/>
        <w:topLinePunct w:val="0"/>
        <w:bidi w:val="0"/>
        <w:adjustRightInd w:val="0"/>
        <w:snapToGrid w:val="0"/>
        <w:spacing w:line="360" w:lineRule="auto"/>
        <w:ind w:firstLine="560" w:firstLineChars="200"/>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安全管理网络</w:t>
      </w:r>
      <w:r>
        <w:rPr>
          <w:rFonts w:hint="eastAsia" w:ascii="宋体" w:hAnsi="宋体" w:eastAsia="宋体" w:cs="宋体"/>
          <w:color w:val="000000" w:themeColor="text1"/>
          <w:sz w:val="28"/>
          <w:szCs w:val="28"/>
          <w:highlight w:val="none"/>
          <w:lang w:eastAsia="zh-CN"/>
        </w:rPr>
        <w:t>见下图</w:t>
      </w:r>
      <w:r>
        <w:rPr>
          <w:rFonts w:hint="eastAsia" w:ascii="宋体" w:hAnsi="宋体" w:eastAsia="宋体" w:cs="宋体"/>
          <w:color w:val="000000" w:themeColor="text1"/>
          <w:sz w:val="28"/>
          <w:szCs w:val="28"/>
          <w:highlight w:val="none"/>
        </w:rPr>
        <w:t>。</w:t>
      </w:r>
    </w:p>
    <w:p w14:paraId="74A5B7C3">
      <w:pPr>
        <w:pStyle w:val="732"/>
        <w:keepNext w:val="0"/>
        <w:keepLines w:val="0"/>
        <w:pageBreakBefore w:val="0"/>
        <w:widowControl w:val="0"/>
        <w:kinsoku/>
        <w:wordWrap/>
        <w:topLinePunct w:val="0"/>
        <w:bidi w:val="0"/>
        <w:adjustRightInd w:val="0"/>
        <w:snapToGrid w:val="0"/>
        <w:spacing w:line="360" w:lineRule="auto"/>
        <w:jc w:val="center"/>
        <w:rPr>
          <w:rFonts w:ascii="宋体" w:hAnsi="宋体"/>
          <w:b/>
          <w:bCs/>
          <w:color w:val="000000" w:themeColor="text1"/>
          <w:sz w:val="28"/>
          <w:szCs w:val="28"/>
          <w:highlight w:val="none"/>
        </w:rPr>
      </w:pPr>
      <w:r>
        <w:rPr>
          <w:color w:val="000000" w:themeColor="text1"/>
          <w:highlight w:val="none"/>
        </w:rPr>
        <w:drawing>
          <wp:inline distT="0" distB="0" distL="114300" distR="114300">
            <wp:extent cx="9071610" cy="2776855"/>
            <wp:effectExtent l="0" t="0" r="1524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33"/>
                    <a:stretch>
                      <a:fillRect/>
                    </a:stretch>
                  </pic:blipFill>
                  <pic:spPr>
                    <a:xfrm>
                      <a:off x="0" y="0"/>
                      <a:ext cx="9071610" cy="2776855"/>
                    </a:xfrm>
                    <a:prstGeom prst="rect">
                      <a:avLst/>
                    </a:prstGeom>
                    <a:noFill/>
                    <a:ln>
                      <a:noFill/>
                    </a:ln>
                  </pic:spPr>
                </pic:pic>
              </a:graphicData>
            </a:graphic>
          </wp:inline>
        </w:drawing>
      </w:r>
    </w:p>
    <w:p w14:paraId="61604FD3">
      <w:pPr>
        <w:keepNext w:val="0"/>
        <w:keepLines w:val="0"/>
        <w:pageBreakBefore w:val="0"/>
        <w:widowControl w:val="0"/>
        <w:kinsoku/>
        <w:wordWrap/>
        <w:topLinePunct w:val="0"/>
        <w:bidi w:val="0"/>
        <w:adjustRightInd w:val="0"/>
        <w:snapToGrid w:val="0"/>
        <w:jc w:val="center"/>
        <w:rPr>
          <w:rFonts w:hint="eastAsia" w:ascii="黑体" w:hAnsi="黑体" w:eastAsia="黑体"/>
          <w:b/>
          <w:color w:val="000000" w:themeColor="text1"/>
          <w:highlight w:val="none"/>
          <w:lang w:eastAsia="zh-CN"/>
        </w:rPr>
      </w:pPr>
      <w:r>
        <w:rPr>
          <w:rFonts w:hint="eastAsia" w:ascii="黑体" w:hAnsi="黑体" w:eastAsia="黑体"/>
          <w:b/>
          <w:color w:val="000000" w:themeColor="text1"/>
          <w:highlight w:val="none"/>
        </w:rPr>
        <w:t>图</w:t>
      </w:r>
      <w:r>
        <w:rPr>
          <w:rFonts w:ascii="黑体" w:hAnsi="黑体" w:eastAsia="黑体"/>
          <w:b/>
          <w:color w:val="000000" w:themeColor="text1"/>
          <w:highlight w:val="none"/>
        </w:rPr>
        <w:t>2</w:t>
      </w:r>
      <w:r>
        <w:rPr>
          <w:rFonts w:hint="eastAsia" w:ascii="黑体" w:hAnsi="黑体" w:eastAsia="黑体"/>
          <w:b/>
          <w:color w:val="000000" w:themeColor="text1"/>
          <w:highlight w:val="none"/>
        </w:rPr>
        <w:t>.</w:t>
      </w:r>
      <w:r>
        <w:rPr>
          <w:rFonts w:hint="eastAsia" w:ascii="黑体" w:hAnsi="黑体" w:eastAsia="黑体"/>
          <w:b/>
          <w:color w:val="000000" w:themeColor="text1"/>
          <w:highlight w:val="none"/>
          <w:lang w:val="en-US" w:eastAsia="zh-CN"/>
        </w:rPr>
        <w:t>6</w:t>
      </w:r>
      <w:r>
        <w:rPr>
          <w:rFonts w:ascii="黑体" w:hAnsi="黑体" w:eastAsia="黑体"/>
          <w:b/>
          <w:color w:val="000000" w:themeColor="text1"/>
          <w:highlight w:val="none"/>
        </w:rPr>
        <w:t>-</w:t>
      </w:r>
      <w:r>
        <w:rPr>
          <w:rFonts w:hint="eastAsia" w:ascii="黑体" w:hAnsi="黑体" w:eastAsia="黑体"/>
          <w:b/>
          <w:color w:val="000000" w:themeColor="text1"/>
          <w:highlight w:val="none"/>
        </w:rPr>
        <w:t>1安全生产管理网络</w:t>
      </w:r>
      <w:r>
        <w:rPr>
          <w:rFonts w:hint="eastAsia" w:ascii="黑体" w:hAnsi="黑体" w:eastAsia="黑体"/>
          <w:b/>
          <w:color w:val="000000" w:themeColor="text1"/>
          <w:highlight w:val="none"/>
          <w:lang w:eastAsia="zh-CN"/>
        </w:rPr>
        <w:t>图</w:t>
      </w:r>
    </w:p>
    <w:p w14:paraId="2486ACF3">
      <w:pPr>
        <w:pStyle w:val="26"/>
        <w:adjustRightInd w:val="0"/>
        <w:snapToGrid w:val="0"/>
        <w:ind w:left="0" w:leftChars="0" w:firstLine="0" w:firstLineChars="0"/>
        <w:rPr>
          <w:color w:val="000000" w:themeColor="text1"/>
          <w:highlight w:val="none"/>
        </w:rPr>
      </w:pPr>
    </w:p>
    <w:p w14:paraId="2CB61141">
      <w:pPr>
        <w:pStyle w:val="7"/>
        <w:keepNext w:val="0"/>
        <w:keepLines w:val="0"/>
        <w:pageBreakBefore w:val="0"/>
        <w:widowControl w:val="0"/>
        <w:kinsoku/>
        <w:wordWrap/>
        <w:overflowPunct/>
        <w:topLinePunct w:val="0"/>
        <w:autoSpaceDE/>
        <w:autoSpaceDN/>
        <w:bidi w:val="0"/>
        <w:adjustRightInd w:val="0"/>
        <w:snapToGrid w:val="0"/>
        <w:textAlignment w:val="auto"/>
        <w:rPr>
          <w:color w:val="000000" w:themeColor="text1"/>
          <w:highlight w:val="none"/>
        </w:rPr>
      </w:pPr>
      <w:bookmarkStart w:id="317" w:name="_Toc12380"/>
      <w:bookmarkStart w:id="318" w:name="_Toc5310"/>
      <w:bookmarkStart w:id="319" w:name="_Toc30952"/>
      <w:bookmarkStart w:id="320" w:name="_Toc30337"/>
      <w:bookmarkStart w:id="321" w:name="_Toc8368"/>
      <w:bookmarkStart w:id="322" w:name="_Toc21436"/>
      <w:r>
        <w:rPr>
          <w:rFonts w:hint="eastAsia"/>
          <w:color w:val="000000" w:themeColor="text1"/>
          <w:highlight w:val="none"/>
        </w:rPr>
        <w:t>2.</w:t>
      </w:r>
      <w:r>
        <w:rPr>
          <w:rFonts w:hint="eastAsia"/>
          <w:color w:val="000000" w:themeColor="text1"/>
          <w:highlight w:val="none"/>
          <w:lang w:val="en-US" w:eastAsia="zh-CN"/>
        </w:rPr>
        <w:t>6</w:t>
      </w:r>
      <w:r>
        <w:rPr>
          <w:rFonts w:hint="eastAsia"/>
          <w:color w:val="000000" w:themeColor="text1"/>
          <w:highlight w:val="none"/>
        </w:rPr>
        <w:t>.3 从业人员资质</w:t>
      </w:r>
      <w:bookmarkEnd w:id="317"/>
      <w:bookmarkEnd w:id="318"/>
      <w:bookmarkEnd w:id="319"/>
      <w:bookmarkEnd w:id="320"/>
      <w:bookmarkEnd w:id="321"/>
      <w:bookmarkEnd w:id="322"/>
    </w:p>
    <w:p w14:paraId="7120CF71">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rPr>
      </w:pPr>
      <w:r>
        <w:rPr>
          <w:rFonts w:ascii="宋体" w:hAnsi="宋体"/>
          <w:color w:val="000000" w:themeColor="text1"/>
          <w:kern w:val="0"/>
          <w:sz w:val="28"/>
          <w:szCs w:val="28"/>
          <w:highlight w:val="none"/>
        </w:rPr>
        <w:t>主要负责人、</w:t>
      </w:r>
      <w:r>
        <w:rPr>
          <w:rFonts w:hint="eastAsia"/>
          <w:color w:val="000000" w:themeColor="text1"/>
          <w:kern w:val="0"/>
          <w:sz w:val="28"/>
          <w:szCs w:val="28"/>
          <w:highlight w:val="none"/>
          <w:lang w:eastAsia="zh-CN"/>
        </w:rPr>
        <w:t>专职</w:t>
      </w:r>
      <w:r>
        <w:rPr>
          <w:rFonts w:ascii="宋体" w:hAnsi="宋体"/>
          <w:color w:val="000000" w:themeColor="text1"/>
          <w:kern w:val="0"/>
          <w:sz w:val="28"/>
          <w:szCs w:val="28"/>
          <w:highlight w:val="none"/>
        </w:rPr>
        <w:t>安全</w:t>
      </w:r>
      <w:r>
        <w:rPr>
          <w:rFonts w:hint="eastAsia" w:ascii="宋体" w:hAnsi="宋体"/>
          <w:color w:val="000000" w:themeColor="text1"/>
          <w:kern w:val="0"/>
          <w:sz w:val="28"/>
          <w:szCs w:val="28"/>
          <w:highlight w:val="none"/>
          <w:lang w:eastAsia="zh-CN"/>
        </w:rPr>
        <w:t>生产</w:t>
      </w:r>
      <w:r>
        <w:rPr>
          <w:rFonts w:ascii="宋体" w:hAnsi="宋体"/>
          <w:color w:val="000000" w:themeColor="text1"/>
          <w:kern w:val="0"/>
          <w:sz w:val="28"/>
          <w:szCs w:val="28"/>
          <w:highlight w:val="none"/>
        </w:rPr>
        <w:t>管理人员</w:t>
      </w:r>
    </w:p>
    <w:p w14:paraId="17959406">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ascii="宋体" w:hAnsi="宋体"/>
          <w:color w:val="000000" w:themeColor="text1"/>
          <w:kern w:val="0"/>
          <w:sz w:val="28"/>
          <w:szCs w:val="28"/>
          <w:highlight w:val="none"/>
        </w:rPr>
      </w:pPr>
      <w:r>
        <w:rPr>
          <w:rFonts w:hint="eastAsia"/>
          <w:color w:val="000000" w:themeColor="text1"/>
          <w:sz w:val="28"/>
          <w:szCs w:val="28"/>
          <w:highlight w:val="none"/>
        </w:rPr>
        <w:t>华美线业</w:t>
      </w:r>
      <w:r>
        <w:rPr>
          <w:rFonts w:ascii="宋体" w:hAnsi="宋体"/>
          <w:color w:val="000000" w:themeColor="text1"/>
          <w:kern w:val="0"/>
          <w:sz w:val="28"/>
          <w:szCs w:val="28"/>
          <w:highlight w:val="none"/>
        </w:rPr>
        <w:t>主要负责人、</w:t>
      </w:r>
      <w:r>
        <w:rPr>
          <w:rFonts w:hint="eastAsia"/>
          <w:color w:val="000000" w:themeColor="text1"/>
          <w:kern w:val="0"/>
          <w:sz w:val="28"/>
          <w:szCs w:val="28"/>
          <w:highlight w:val="none"/>
          <w:lang w:eastAsia="zh-CN"/>
        </w:rPr>
        <w:t>专职</w:t>
      </w:r>
      <w:r>
        <w:rPr>
          <w:rFonts w:ascii="宋体" w:hAnsi="宋体"/>
          <w:color w:val="000000" w:themeColor="text1"/>
          <w:kern w:val="0"/>
          <w:sz w:val="28"/>
          <w:szCs w:val="28"/>
          <w:highlight w:val="none"/>
        </w:rPr>
        <w:t>安全管理人员均已经培训，取得</w:t>
      </w:r>
      <w:r>
        <w:rPr>
          <w:rFonts w:hint="eastAsia" w:ascii="宋体" w:hAnsi="宋体"/>
          <w:color w:val="000000" w:themeColor="text1"/>
          <w:kern w:val="0"/>
          <w:sz w:val="28"/>
          <w:szCs w:val="28"/>
          <w:highlight w:val="none"/>
        </w:rPr>
        <w:t>考核合格</w:t>
      </w:r>
      <w:r>
        <w:rPr>
          <w:rFonts w:ascii="宋体" w:hAnsi="宋体"/>
          <w:color w:val="000000" w:themeColor="text1"/>
          <w:kern w:val="0"/>
          <w:sz w:val="28"/>
          <w:szCs w:val="28"/>
          <w:highlight w:val="none"/>
        </w:rPr>
        <w:t>证书。</w:t>
      </w:r>
    </w:p>
    <w:p w14:paraId="2A636483">
      <w:pPr>
        <w:keepNext w:val="0"/>
        <w:keepLines w:val="0"/>
        <w:pageBreakBefore w:val="0"/>
        <w:widowControl w:val="0"/>
        <w:kinsoku/>
        <w:wordWrap/>
        <w:topLinePunct w:val="0"/>
        <w:bidi w:val="0"/>
        <w:adjustRightInd w:val="0"/>
        <w:snapToGrid w:val="0"/>
        <w:jc w:val="center"/>
        <w:rPr>
          <w:rFonts w:hint="eastAsia" w:ascii="黑体" w:hAnsi="黑体" w:eastAsia="黑体"/>
          <w:b/>
          <w:color w:val="000000" w:themeColor="text1"/>
          <w:sz w:val="28"/>
          <w:szCs w:val="28"/>
          <w:highlight w:val="none"/>
        </w:rPr>
        <w:sectPr>
          <w:footerReference r:id="rId18" w:type="default"/>
          <w:pgSz w:w="16840" w:h="11907" w:orient="landscape"/>
          <w:pgMar w:top="1587" w:right="1417" w:bottom="1134" w:left="1134" w:header="794" w:footer="794" w:gutter="0"/>
          <w:pgBorders>
            <w:top w:val="none" w:sz="0" w:space="0"/>
            <w:left w:val="none" w:sz="0" w:space="0"/>
            <w:bottom w:val="none" w:sz="0" w:space="0"/>
            <w:right w:val="none" w:sz="0" w:space="0"/>
          </w:pgBorders>
          <w:cols w:space="720" w:num="1"/>
          <w:docGrid w:linePitch="326" w:charSpace="0"/>
        </w:sectPr>
      </w:pPr>
    </w:p>
    <w:p w14:paraId="17540CC7">
      <w:pPr>
        <w:keepNext w:val="0"/>
        <w:keepLines w:val="0"/>
        <w:pageBreakBefore w:val="0"/>
        <w:widowControl w:val="0"/>
        <w:numPr>
          <w:ilvl w:val="0"/>
          <w:numId w:val="21"/>
        </w:numPr>
        <w:kinsoku/>
        <w:wordWrap/>
        <w:overflowPunct/>
        <w:topLinePunct w:val="0"/>
        <w:autoSpaceDE/>
        <w:autoSpaceDN/>
        <w:bidi w:val="0"/>
        <w:adjustRightInd w:val="0"/>
        <w:snapToGrid w:val="0"/>
        <w:spacing w:before="0" w:beforeLines="0" w:line="360" w:lineRule="auto"/>
        <w:ind w:left="0" w:firstLine="560" w:firstLineChars="200"/>
        <w:textAlignment w:val="auto"/>
        <w:rPr>
          <w:rFonts w:ascii="宋体" w:hAnsi="宋体" w:cs="宋体"/>
          <w:bCs/>
          <w:color w:val="000000" w:themeColor="text1"/>
          <w:kern w:val="0"/>
          <w:sz w:val="28"/>
          <w:szCs w:val="28"/>
          <w:highlight w:val="none"/>
          <w:lang w:val="en-GB"/>
        </w:rPr>
      </w:pPr>
      <w:r>
        <w:rPr>
          <w:rFonts w:hint="eastAsia" w:ascii="宋体" w:hAnsi="宋体" w:cs="宋体"/>
          <w:bCs/>
          <w:color w:val="000000" w:themeColor="text1"/>
          <w:kern w:val="0"/>
          <w:sz w:val="28"/>
          <w:szCs w:val="28"/>
          <w:highlight w:val="none"/>
        </w:rPr>
        <w:t>特种作业人员</w:t>
      </w:r>
    </w:p>
    <w:p w14:paraId="15C9DAA7">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bCs/>
          <w:color w:val="000000" w:themeColor="text1"/>
          <w:kern w:val="0"/>
          <w:sz w:val="28"/>
          <w:szCs w:val="28"/>
          <w:highlight w:val="none"/>
        </w:rPr>
      </w:pPr>
      <w:r>
        <w:rPr>
          <w:rFonts w:hint="eastAsia" w:ascii="宋体" w:hAnsi="宋体" w:cs="宋体"/>
          <w:bCs/>
          <w:color w:val="000000" w:themeColor="text1"/>
          <w:kern w:val="0"/>
          <w:sz w:val="28"/>
          <w:szCs w:val="28"/>
          <w:highlight w:val="none"/>
        </w:rPr>
        <w:t>特种作业人员取得相应资格</w:t>
      </w:r>
      <w:r>
        <w:rPr>
          <w:rFonts w:hint="eastAsia" w:cs="宋体"/>
          <w:bCs/>
          <w:color w:val="000000" w:themeColor="text1"/>
          <w:kern w:val="0"/>
          <w:sz w:val="28"/>
          <w:szCs w:val="28"/>
          <w:highlight w:val="none"/>
          <w:lang w:eastAsia="zh-CN"/>
        </w:rPr>
        <w:t>证书，证书在有效期内</w:t>
      </w:r>
      <w:r>
        <w:rPr>
          <w:rFonts w:hint="eastAsia" w:ascii="宋体" w:hAnsi="宋体" w:cs="宋体"/>
          <w:bCs/>
          <w:color w:val="000000" w:themeColor="text1"/>
          <w:kern w:val="0"/>
          <w:sz w:val="28"/>
          <w:szCs w:val="28"/>
          <w:highlight w:val="none"/>
        </w:rPr>
        <w:t>。</w:t>
      </w:r>
    </w:p>
    <w:p w14:paraId="48C2CC6E">
      <w:pPr>
        <w:keepNext w:val="0"/>
        <w:keepLines w:val="0"/>
        <w:pageBreakBefore w:val="0"/>
        <w:widowControl w:val="0"/>
        <w:numPr>
          <w:ilvl w:val="0"/>
          <w:numId w:val="21"/>
        </w:numPr>
        <w:kinsoku/>
        <w:wordWrap/>
        <w:overflowPunct/>
        <w:topLinePunct w:val="0"/>
        <w:autoSpaceDE/>
        <w:autoSpaceDN/>
        <w:bidi w:val="0"/>
        <w:adjustRightInd w:val="0"/>
        <w:snapToGrid w:val="0"/>
        <w:spacing w:before="0" w:beforeLines="0" w:line="360" w:lineRule="auto"/>
        <w:ind w:left="0" w:firstLine="560" w:firstLineChars="200"/>
        <w:textAlignment w:val="auto"/>
        <w:rPr>
          <w:rFonts w:ascii="宋体" w:hAnsi="宋体" w:cs="宋体"/>
          <w:bCs/>
          <w:color w:val="000000" w:themeColor="text1"/>
          <w:kern w:val="0"/>
          <w:sz w:val="28"/>
          <w:szCs w:val="28"/>
          <w:highlight w:val="none"/>
        </w:rPr>
      </w:pPr>
      <w:r>
        <w:rPr>
          <w:rFonts w:ascii="宋体" w:hAnsi="宋体" w:cs="宋体"/>
          <w:bCs/>
          <w:color w:val="000000" w:themeColor="text1"/>
          <w:kern w:val="0"/>
          <w:sz w:val="28"/>
          <w:szCs w:val="28"/>
          <w:highlight w:val="none"/>
        </w:rPr>
        <w:t>其他人员</w:t>
      </w:r>
    </w:p>
    <w:p w14:paraId="12EC50A5">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bCs/>
          <w:color w:val="000000" w:themeColor="text1"/>
          <w:kern w:val="0"/>
          <w:sz w:val="28"/>
          <w:szCs w:val="28"/>
          <w:highlight w:val="none"/>
        </w:rPr>
      </w:pPr>
      <w:r>
        <w:rPr>
          <w:rFonts w:hint="eastAsia" w:ascii="宋体" w:hAnsi="宋体"/>
          <w:color w:val="000000" w:themeColor="text1"/>
          <w:kern w:val="0"/>
          <w:sz w:val="28"/>
          <w:szCs w:val="28"/>
          <w:highlight w:val="none"/>
          <w:lang w:val="en-US" w:eastAsia="zh-CN"/>
        </w:rPr>
        <w:t xml:space="preserve"> </w:t>
      </w:r>
      <w:r>
        <w:rPr>
          <w:rFonts w:hint="eastAsia" w:ascii="宋体" w:hAnsi="宋体" w:cs="宋体"/>
          <w:bCs/>
          <w:color w:val="000000" w:themeColor="text1"/>
          <w:kern w:val="0"/>
          <w:sz w:val="28"/>
          <w:szCs w:val="28"/>
          <w:highlight w:val="none"/>
        </w:rPr>
        <w:t>对危化品岗位新上岗的从业人员，在上岗进行厂、车间、班组三级安全培训教育。</w:t>
      </w:r>
    </w:p>
    <w:p w14:paraId="7F9BDF77">
      <w:pPr>
        <w:pStyle w:val="7"/>
        <w:keepNext w:val="0"/>
        <w:keepLines w:val="0"/>
        <w:pageBreakBefore w:val="0"/>
        <w:widowControl w:val="0"/>
        <w:kinsoku/>
        <w:wordWrap/>
        <w:overflowPunct/>
        <w:topLinePunct w:val="0"/>
        <w:autoSpaceDE/>
        <w:autoSpaceDN/>
        <w:bidi w:val="0"/>
        <w:adjustRightInd w:val="0"/>
        <w:snapToGrid w:val="0"/>
        <w:textAlignment w:val="auto"/>
        <w:rPr>
          <w:color w:val="000000" w:themeColor="text1"/>
          <w:highlight w:val="none"/>
        </w:rPr>
      </w:pPr>
      <w:bookmarkStart w:id="323" w:name="_Toc10740"/>
      <w:bookmarkStart w:id="324" w:name="_Toc30803"/>
      <w:bookmarkStart w:id="325" w:name="_Toc12647"/>
      <w:bookmarkStart w:id="326" w:name="_Toc8553"/>
      <w:r>
        <w:rPr>
          <w:rFonts w:hint="eastAsia"/>
          <w:color w:val="000000" w:themeColor="text1"/>
          <w:highlight w:val="none"/>
        </w:rPr>
        <w:t>2.</w:t>
      </w:r>
      <w:r>
        <w:rPr>
          <w:rFonts w:hint="eastAsia"/>
          <w:color w:val="000000" w:themeColor="text1"/>
          <w:highlight w:val="none"/>
          <w:lang w:val="en-US" w:eastAsia="zh-CN"/>
        </w:rPr>
        <w:t>6</w:t>
      </w:r>
      <w:r>
        <w:rPr>
          <w:rFonts w:hint="eastAsia"/>
          <w:color w:val="000000" w:themeColor="text1"/>
          <w:highlight w:val="none"/>
        </w:rPr>
        <w:t>.4 安全管理制度与安全操作规程</w:t>
      </w:r>
      <w:bookmarkEnd w:id="323"/>
      <w:bookmarkEnd w:id="324"/>
      <w:bookmarkEnd w:id="325"/>
      <w:bookmarkEnd w:id="326"/>
    </w:p>
    <w:p w14:paraId="4667A699">
      <w:pPr>
        <w:keepNext w:val="0"/>
        <w:keepLines w:val="0"/>
        <w:pageBreakBefore w:val="0"/>
        <w:widowControl w:val="0"/>
        <w:kinsoku/>
        <w:wordWrap/>
        <w:topLinePunct w:val="0"/>
        <w:bidi w:val="0"/>
        <w:adjustRightInd w:val="0"/>
        <w:snapToGrid w:val="0"/>
        <w:spacing w:line="360" w:lineRule="auto"/>
        <w:ind w:firstLine="560" w:firstLineChars="200"/>
        <w:rPr>
          <w:rFonts w:hint="eastAsia"/>
          <w:bCs/>
          <w:color w:val="000000" w:themeColor="text1"/>
          <w:sz w:val="28"/>
          <w:highlight w:val="none"/>
        </w:rPr>
      </w:pPr>
      <w:r>
        <w:rPr>
          <w:rFonts w:hint="eastAsia"/>
          <w:bCs/>
          <w:color w:val="000000" w:themeColor="text1"/>
          <w:sz w:val="28"/>
          <w:highlight w:val="none"/>
        </w:rPr>
        <w:t>华美线业根据生产作业实际情况</w:t>
      </w:r>
      <w:r>
        <w:rPr>
          <w:rFonts w:hint="eastAsia"/>
          <w:bCs/>
          <w:color w:val="000000" w:themeColor="text1"/>
          <w:sz w:val="28"/>
          <w:highlight w:val="none"/>
          <w:lang w:eastAsia="zh-CN"/>
        </w:rPr>
        <w:t>制定了</w:t>
      </w:r>
      <w:r>
        <w:rPr>
          <w:rFonts w:hint="eastAsia"/>
          <w:bCs/>
          <w:color w:val="000000" w:themeColor="text1"/>
          <w:sz w:val="28"/>
          <w:highlight w:val="none"/>
        </w:rPr>
        <w:t>安全管理制度及操作规程，其</w:t>
      </w:r>
      <w:r>
        <w:rPr>
          <w:rFonts w:hint="eastAsia"/>
          <w:bCs/>
          <w:color w:val="000000" w:themeColor="text1"/>
          <w:sz w:val="28"/>
          <w:highlight w:val="none"/>
          <w:lang w:eastAsia="zh-CN"/>
        </w:rPr>
        <w:t>中与危化品相关的</w:t>
      </w:r>
      <w:r>
        <w:rPr>
          <w:rFonts w:hint="eastAsia"/>
          <w:bCs/>
          <w:color w:val="000000" w:themeColor="text1"/>
          <w:sz w:val="28"/>
          <w:highlight w:val="none"/>
        </w:rPr>
        <w:t>安全管理制度及操作规程清单见下表。</w:t>
      </w:r>
    </w:p>
    <w:p w14:paraId="66636F65">
      <w:pPr>
        <w:keepNext w:val="0"/>
        <w:keepLines w:val="0"/>
        <w:pageBreakBefore w:val="0"/>
        <w:widowControl w:val="0"/>
        <w:kinsoku/>
        <w:wordWrap/>
        <w:topLinePunct w:val="0"/>
        <w:bidi w:val="0"/>
        <w:adjustRightInd w:val="0"/>
        <w:snapToGrid w:val="0"/>
        <w:spacing w:line="360" w:lineRule="auto"/>
        <w:jc w:val="center"/>
        <w:rPr>
          <w:rFonts w:ascii="黑体" w:hAnsi="黑体" w:eastAsia="黑体"/>
          <w:b/>
          <w:color w:val="000000" w:themeColor="text1"/>
          <w:highlight w:val="none"/>
        </w:rPr>
      </w:pPr>
      <w:r>
        <w:rPr>
          <w:rFonts w:hint="eastAsia" w:ascii="黑体" w:hAnsi="黑体" w:eastAsia="黑体"/>
          <w:b/>
          <w:color w:val="000000" w:themeColor="text1"/>
          <w:highlight w:val="none"/>
        </w:rPr>
        <w:t>表</w:t>
      </w:r>
      <w:r>
        <w:rPr>
          <w:rFonts w:ascii="黑体" w:hAnsi="黑体" w:eastAsia="黑体"/>
          <w:b/>
          <w:color w:val="000000" w:themeColor="text1"/>
          <w:highlight w:val="none"/>
        </w:rPr>
        <w:t>2.</w:t>
      </w:r>
      <w:r>
        <w:rPr>
          <w:rFonts w:hint="eastAsia" w:ascii="黑体" w:hAnsi="黑体" w:eastAsia="黑体"/>
          <w:b/>
          <w:color w:val="000000" w:themeColor="text1"/>
          <w:highlight w:val="none"/>
          <w:lang w:val="en-US" w:eastAsia="zh-CN"/>
        </w:rPr>
        <w:t>6</w:t>
      </w:r>
      <w:r>
        <w:rPr>
          <w:rFonts w:ascii="黑体" w:hAnsi="黑体" w:eastAsia="黑体"/>
          <w:b/>
          <w:color w:val="000000" w:themeColor="text1"/>
          <w:highlight w:val="none"/>
        </w:rPr>
        <w:t>-</w:t>
      </w:r>
      <w:r>
        <w:rPr>
          <w:rFonts w:hint="eastAsia" w:ascii="黑体" w:hAnsi="黑体" w:eastAsia="黑体"/>
          <w:b/>
          <w:color w:val="000000" w:themeColor="text1"/>
          <w:highlight w:val="none"/>
          <w:lang w:val="en-US" w:eastAsia="zh-CN"/>
        </w:rPr>
        <w:t>5</w:t>
      </w:r>
      <w:r>
        <w:rPr>
          <w:rFonts w:hint="eastAsia" w:ascii="黑体" w:hAnsi="黑体" w:eastAsia="黑体"/>
          <w:b/>
          <w:color w:val="000000" w:themeColor="text1"/>
          <w:highlight w:val="none"/>
        </w:rPr>
        <w:t>与危化品相关的</w:t>
      </w:r>
      <w:r>
        <w:rPr>
          <w:rFonts w:ascii="黑体" w:hAnsi="黑体" w:eastAsia="黑体"/>
          <w:b/>
          <w:color w:val="000000" w:themeColor="text1"/>
          <w:highlight w:val="none"/>
        </w:rPr>
        <w:t>安全管理制度清单</w:t>
      </w:r>
    </w:p>
    <w:tbl>
      <w:tblPr>
        <w:tblStyle w:val="61"/>
        <w:tblW w:w="9197" w:type="dxa"/>
        <w:jc w:val="center"/>
        <w:tblLayout w:type="autofit"/>
        <w:tblCellMar>
          <w:top w:w="0" w:type="dxa"/>
          <w:left w:w="108" w:type="dxa"/>
          <w:bottom w:w="0" w:type="dxa"/>
          <w:right w:w="108" w:type="dxa"/>
        </w:tblCellMar>
      </w:tblPr>
      <w:tblGrid>
        <w:gridCol w:w="999"/>
        <w:gridCol w:w="6378"/>
        <w:gridCol w:w="1820"/>
      </w:tblGrid>
      <w:tr w14:paraId="37F28188">
        <w:tblPrEx>
          <w:tblCellMar>
            <w:top w:w="0" w:type="dxa"/>
            <w:left w:w="108" w:type="dxa"/>
            <w:bottom w:w="0" w:type="dxa"/>
            <w:right w:w="108" w:type="dxa"/>
          </w:tblCellMar>
        </w:tblPrEx>
        <w:trPr>
          <w:trHeight w:val="454" w:hRule="atLeast"/>
          <w:tblHeader/>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47136A">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序号</w:t>
            </w: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6BAE9C98">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名称</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0D54F0EC">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备注</w:t>
            </w:r>
          </w:p>
        </w:tc>
      </w:tr>
      <w:tr w14:paraId="58534669">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6188A0">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71DDA6EC">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紧急应变管理作业程序</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10BF5A1C">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79097525">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B8FA5D">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6236B3D6">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紧急应变小组管理作业指导书</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20BF3E89">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2363F41C">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619E30">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4A6E191D">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禁烟管理办法</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5F847C8E">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43FE8DF8">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E19096">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0E57E777">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环保健康安全教育训练实施作业规范</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590E58FA">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1D137320">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C682B7">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752C922F">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兼职安全管理人员管理办法</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1CE6AE87">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5E6D5A27">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9B4F1A">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548A9F28">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化学品安全管理作业指导书</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5349DE4C">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19134E6A">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3988AB">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3F4E4617">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 xml:space="preserve"> EHS绩效评比与奖励办法</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6D65FFCB">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294AC96E">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A18E9B">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48CA2310">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个人防护用品管理作业指导书</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306EC85B">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156FBE7C">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24E276">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3DA82474">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防台防汛紧急应变作业指导书</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1631751E">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560C6B8E">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236B74">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1DC7412B">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rPr>
              <w:t>安全生产投入及费用管理</w:t>
            </w:r>
            <w:r>
              <w:rPr>
                <w:rFonts w:hint="eastAsia" w:ascii="宋体" w:hAnsi="宋体" w:eastAsia="宋体" w:cs="宋体"/>
                <w:color w:val="000000" w:themeColor="text1"/>
                <w:sz w:val="21"/>
                <w:szCs w:val="21"/>
                <w:highlight w:val="none"/>
                <w:lang w:eastAsia="zh-CN"/>
              </w:rPr>
              <w:t>制度</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568BCF1D">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7C3BF9EF">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4FB080">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7663FEDE">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安全生产教育、培训、考核管理</w:t>
            </w:r>
            <w:r>
              <w:rPr>
                <w:rFonts w:hint="eastAsia" w:ascii="宋体" w:hAnsi="宋体" w:eastAsia="宋体" w:cs="宋体"/>
                <w:color w:val="000000" w:themeColor="text1"/>
                <w:sz w:val="21"/>
                <w:szCs w:val="21"/>
                <w:highlight w:val="none"/>
                <w:lang w:eastAsia="zh-CN"/>
              </w:rPr>
              <w:t>制度</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7CDE0624">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161DE383">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0E9C8E">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71007AD4">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场所、设施、设备安全管理</w:t>
            </w:r>
            <w:r>
              <w:rPr>
                <w:rFonts w:hint="eastAsia" w:ascii="宋体" w:hAnsi="宋体" w:eastAsia="宋体" w:cs="宋体"/>
                <w:color w:val="000000" w:themeColor="text1"/>
                <w:sz w:val="21"/>
                <w:szCs w:val="21"/>
                <w:highlight w:val="none"/>
                <w:lang w:eastAsia="zh-CN"/>
              </w:rPr>
              <w:t>制度</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438381C5">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63112569">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7ACB4A">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3FF450F9">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安全风险分级管控</w:t>
            </w:r>
            <w:r>
              <w:rPr>
                <w:rFonts w:hint="eastAsia" w:ascii="宋体" w:hAnsi="宋体" w:eastAsia="宋体" w:cs="宋体"/>
                <w:color w:val="000000" w:themeColor="text1"/>
                <w:sz w:val="21"/>
                <w:szCs w:val="21"/>
                <w:highlight w:val="none"/>
                <w:lang w:eastAsia="zh-CN"/>
              </w:rPr>
              <w:t>制度</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1CABE1A4">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4F2FE5FE">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5A71BA">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34689F77">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安全检查和事故隐患排查治理</w:t>
            </w:r>
            <w:r>
              <w:rPr>
                <w:rFonts w:hint="eastAsia" w:ascii="宋体" w:hAnsi="宋体" w:eastAsia="宋体" w:cs="宋体"/>
                <w:color w:val="000000" w:themeColor="text1"/>
                <w:sz w:val="21"/>
                <w:szCs w:val="21"/>
                <w:highlight w:val="none"/>
                <w:lang w:eastAsia="zh-CN"/>
              </w:rPr>
              <w:t>制度</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4CCFFDB6">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2A7591E9">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E8EB6A">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3CF59EBF">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劳动防护用品配备和管理</w:t>
            </w:r>
            <w:r>
              <w:rPr>
                <w:rFonts w:hint="eastAsia" w:ascii="宋体" w:hAnsi="宋体" w:eastAsia="宋体" w:cs="宋体"/>
                <w:color w:val="000000" w:themeColor="text1"/>
                <w:sz w:val="21"/>
                <w:szCs w:val="21"/>
                <w:highlight w:val="none"/>
                <w:lang w:eastAsia="zh-CN"/>
              </w:rPr>
              <w:t>制度</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442EEB0C">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75650B0F">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08F9C8">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24D2238A">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应急预案管理和救援</w:t>
            </w:r>
            <w:r>
              <w:rPr>
                <w:rFonts w:hint="eastAsia" w:ascii="宋体" w:hAnsi="宋体" w:eastAsia="宋体" w:cs="宋体"/>
                <w:color w:val="000000" w:themeColor="text1"/>
                <w:sz w:val="21"/>
                <w:szCs w:val="21"/>
                <w:highlight w:val="none"/>
                <w:lang w:eastAsia="zh-CN"/>
              </w:rPr>
              <w:t>制度</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105374D5">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3B624CD9">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C16285">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25F126E3">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生产安全事故报告和处置</w:t>
            </w:r>
            <w:r>
              <w:rPr>
                <w:rFonts w:hint="eastAsia" w:ascii="宋体" w:hAnsi="宋体" w:eastAsia="宋体" w:cs="宋体"/>
                <w:color w:val="000000" w:themeColor="text1"/>
                <w:sz w:val="21"/>
                <w:szCs w:val="21"/>
                <w:highlight w:val="none"/>
                <w:lang w:eastAsia="zh-CN"/>
              </w:rPr>
              <w:t>制度</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53264F0C">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5DDDDA9B">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310FD0">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6FD19186">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变更安全管理制度</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3DA1DB61">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r w14:paraId="2BFC7BBD">
        <w:tblPrEx>
          <w:tblCellMar>
            <w:top w:w="0" w:type="dxa"/>
            <w:left w:w="108" w:type="dxa"/>
            <w:bottom w:w="0" w:type="dxa"/>
            <w:right w:w="108" w:type="dxa"/>
          </w:tblCellMar>
        </w:tblPrEx>
        <w:trPr>
          <w:trHeight w:val="454" w:hRule="atLeast"/>
          <w:jc w:val="center"/>
        </w:trPr>
        <w:tc>
          <w:tcPr>
            <w:tcW w:w="9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A60005">
            <w:pPr>
              <w:keepNext w:val="0"/>
              <w:keepLines w:val="0"/>
              <w:pageBreakBefore w:val="0"/>
              <w:widowControl w:val="0"/>
              <w:numPr>
                <w:ilvl w:val="0"/>
                <w:numId w:val="22"/>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6378" w:type="dxa"/>
            <w:tcBorders>
              <w:top w:val="single" w:color="auto" w:sz="4" w:space="0"/>
              <w:left w:val="nil"/>
              <w:bottom w:val="single" w:color="auto" w:sz="4" w:space="0"/>
              <w:right w:val="single" w:color="000000" w:sz="4" w:space="0"/>
            </w:tcBorders>
            <w:shd w:val="clear" w:color="auto" w:fill="auto"/>
            <w:noWrap/>
            <w:vAlign w:val="center"/>
          </w:tcPr>
          <w:p w14:paraId="1C6FA40A">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rPr>
              <w:t>特殊作业管理制度</w:t>
            </w:r>
          </w:p>
        </w:tc>
        <w:tc>
          <w:tcPr>
            <w:tcW w:w="1820" w:type="dxa"/>
            <w:tcBorders>
              <w:top w:val="single" w:color="auto" w:sz="4" w:space="0"/>
              <w:left w:val="nil"/>
              <w:bottom w:val="single" w:color="auto" w:sz="4" w:space="0"/>
              <w:right w:val="single" w:color="auto" w:sz="4" w:space="0"/>
            </w:tcBorders>
            <w:shd w:val="clear" w:color="auto" w:fill="auto"/>
            <w:noWrap/>
            <w:vAlign w:val="center"/>
          </w:tcPr>
          <w:p w14:paraId="05A8E068">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p>
        </w:tc>
      </w:tr>
    </w:tbl>
    <w:p w14:paraId="4B33593C">
      <w:pPr>
        <w:keepNext w:val="0"/>
        <w:keepLines w:val="0"/>
        <w:pageBreakBefore w:val="0"/>
        <w:widowControl w:val="0"/>
        <w:kinsoku/>
        <w:wordWrap/>
        <w:overflowPunct/>
        <w:topLinePunct w:val="0"/>
        <w:autoSpaceDE/>
        <w:autoSpaceDN/>
        <w:bidi w:val="0"/>
        <w:adjustRightInd w:val="0"/>
        <w:snapToGrid w:val="0"/>
        <w:spacing w:before="164" w:beforeLines="50" w:line="360" w:lineRule="auto"/>
        <w:jc w:val="center"/>
        <w:textAlignment w:val="auto"/>
        <w:rPr>
          <w:rFonts w:ascii="黑体" w:hAnsi="黑体" w:eastAsia="黑体"/>
          <w:b/>
          <w:color w:val="000000" w:themeColor="text1"/>
          <w:highlight w:val="none"/>
        </w:rPr>
      </w:pPr>
      <w:r>
        <w:rPr>
          <w:rFonts w:hint="eastAsia" w:ascii="黑体" w:hAnsi="黑体" w:eastAsia="黑体"/>
          <w:b/>
          <w:color w:val="000000" w:themeColor="text1"/>
          <w:highlight w:val="none"/>
        </w:rPr>
        <w:t>表</w:t>
      </w:r>
      <w:r>
        <w:rPr>
          <w:rFonts w:ascii="黑体" w:hAnsi="黑体" w:eastAsia="黑体"/>
          <w:b/>
          <w:color w:val="000000" w:themeColor="text1"/>
          <w:highlight w:val="none"/>
        </w:rPr>
        <w:t>2</w:t>
      </w:r>
      <w:r>
        <w:rPr>
          <w:rFonts w:hint="eastAsia" w:ascii="黑体" w:hAnsi="黑体" w:eastAsia="黑体"/>
          <w:b/>
          <w:color w:val="000000" w:themeColor="text1"/>
          <w:highlight w:val="none"/>
        </w:rPr>
        <w:t>.</w:t>
      </w:r>
      <w:r>
        <w:rPr>
          <w:rFonts w:hint="eastAsia" w:ascii="黑体" w:hAnsi="黑体" w:eastAsia="黑体"/>
          <w:b/>
          <w:color w:val="000000" w:themeColor="text1"/>
          <w:highlight w:val="none"/>
          <w:lang w:val="en-US" w:eastAsia="zh-CN"/>
        </w:rPr>
        <w:t>6</w:t>
      </w:r>
      <w:r>
        <w:rPr>
          <w:rFonts w:ascii="黑体" w:hAnsi="黑体" w:eastAsia="黑体"/>
          <w:b/>
          <w:color w:val="000000" w:themeColor="text1"/>
          <w:highlight w:val="none"/>
        </w:rPr>
        <w:t>-</w:t>
      </w:r>
      <w:r>
        <w:rPr>
          <w:rFonts w:hint="eastAsia" w:ascii="黑体" w:hAnsi="黑体" w:eastAsia="黑体"/>
          <w:b/>
          <w:color w:val="000000" w:themeColor="text1"/>
          <w:highlight w:val="none"/>
          <w:lang w:val="en-US" w:eastAsia="zh-CN"/>
        </w:rPr>
        <w:t>6</w:t>
      </w:r>
      <w:r>
        <w:rPr>
          <w:rFonts w:hint="eastAsia" w:ascii="黑体" w:hAnsi="黑体" w:eastAsia="黑体"/>
          <w:b/>
          <w:color w:val="000000" w:themeColor="text1"/>
          <w:highlight w:val="none"/>
        </w:rPr>
        <w:t>安全操作规程清单</w:t>
      </w:r>
    </w:p>
    <w:tbl>
      <w:tblPr>
        <w:tblStyle w:val="61"/>
        <w:tblW w:w="9234" w:type="dxa"/>
        <w:tblInd w:w="91" w:type="dxa"/>
        <w:tblLayout w:type="autofit"/>
        <w:tblCellMar>
          <w:top w:w="0" w:type="dxa"/>
          <w:left w:w="108" w:type="dxa"/>
          <w:bottom w:w="0" w:type="dxa"/>
          <w:right w:w="108" w:type="dxa"/>
        </w:tblCellMar>
      </w:tblPr>
      <w:tblGrid>
        <w:gridCol w:w="1013"/>
        <w:gridCol w:w="6378"/>
        <w:gridCol w:w="1843"/>
      </w:tblGrid>
      <w:tr w14:paraId="100DDBB3">
        <w:tblPrEx>
          <w:tblCellMar>
            <w:top w:w="0" w:type="dxa"/>
            <w:left w:w="108" w:type="dxa"/>
            <w:bottom w:w="0" w:type="dxa"/>
            <w:right w:w="108" w:type="dxa"/>
          </w:tblCellMar>
        </w:tblPrEx>
        <w:trPr>
          <w:trHeight w:val="454" w:hRule="atLeast"/>
        </w:trPr>
        <w:tc>
          <w:tcPr>
            <w:tcW w:w="10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D530AB">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序号</w:t>
            </w:r>
          </w:p>
        </w:tc>
        <w:tc>
          <w:tcPr>
            <w:tcW w:w="63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34E25A">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操作规程（名称）</w:t>
            </w: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9ED81E">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备注</w:t>
            </w:r>
          </w:p>
        </w:tc>
      </w:tr>
      <w:tr w14:paraId="58EAA5C3">
        <w:tblPrEx>
          <w:tblCellMar>
            <w:top w:w="0" w:type="dxa"/>
            <w:left w:w="108" w:type="dxa"/>
            <w:bottom w:w="0" w:type="dxa"/>
            <w:right w:w="108" w:type="dxa"/>
          </w:tblCellMar>
        </w:tblPrEx>
        <w:trPr>
          <w:trHeight w:val="454" w:hRule="atLeast"/>
        </w:trPr>
        <w:tc>
          <w:tcPr>
            <w:tcW w:w="10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018324">
            <w:pPr>
              <w:keepNext w:val="0"/>
              <w:keepLines w:val="0"/>
              <w:pageBreakBefore w:val="0"/>
              <w:widowControl w:val="0"/>
              <w:numPr>
                <w:ilvl w:val="0"/>
                <w:numId w:val="23"/>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b w:val="0"/>
                <w:bCs w:val="0"/>
                <w:color w:val="000000" w:themeColor="text1"/>
                <w:sz w:val="21"/>
                <w:szCs w:val="21"/>
                <w:highlight w:val="none"/>
              </w:rPr>
            </w:pPr>
          </w:p>
        </w:tc>
        <w:tc>
          <w:tcPr>
            <w:tcW w:w="63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A8FB00">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val="0"/>
                <w:bCs w:val="0"/>
                <w:color w:val="000000" w:themeColor="text1"/>
                <w:sz w:val="21"/>
                <w:szCs w:val="21"/>
                <w:highlight w:val="none"/>
              </w:rPr>
            </w:pPr>
            <w:r>
              <w:rPr>
                <w:rFonts w:hint="eastAsia" w:ascii="宋体" w:hAnsi="宋体" w:eastAsia="宋体" w:cs="宋体"/>
                <w:b w:val="0"/>
                <w:bCs w:val="0"/>
                <w:color w:val="000000" w:themeColor="text1"/>
                <w:sz w:val="21"/>
                <w:szCs w:val="21"/>
                <w:highlight w:val="none"/>
              </w:rPr>
              <w:t>称料工作指引</w:t>
            </w: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FB3000">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val="0"/>
                <w:bCs w:val="0"/>
                <w:color w:val="000000" w:themeColor="text1"/>
                <w:sz w:val="21"/>
                <w:szCs w:val="21"/>
                <w:highlight w:val="none"/>
              </w:rPr>
            </w:pPr>
            <w:r>
              <w:rPr>
                <w:rFonts w:hint="eastAsia" w:ascii="宋体" w:hAnsi="宋体" w:eastAsia="宋体" w:cs="宋体"/>
                <w:b w:val="0"/>
                <w:bCs w:val="0"/>
                <w:color w:val="000000" w:themeColor="text1"/>
                <w:sz w:val="21"/>
                <w:szCs w:val="21"/>
                <w:highlight w:val="none"/>
              </w:rPr>
              <w:t>　</w:t>
            </w:r>
          </w:p>
        </w:tc>
      </w:tr>
      <w:tr w14:paraId="3E52C4AF">
        <w:tblPrEx>
          <w:tblCellMar>
            <w:top w:w="0" w:type="dxa"/>
            <w:left w:w="108" w:type="dxa"/>
            <w:bottom w:w="0" w:type="dxa"/>
            <w:right w:w="108" w:type="dxa"/>
          </w:tblCellMar>
        </w:tblPrEx>
        <w:trPr>
          <w:trHeight w:val="454" w:hRule="atLeast"/>
        </w:trPr>
        <w:tc>
          <w:tcPr>
            <w:tcW w:w="10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7C97E2">
            <w:pPr>
              <w:keepNext w:val="0"/>
              <w:keepLines w:val="0"/>
              <w:pageBreakBefore w:val="0"/>
              <w:widowControl w:val="0"/>
              <w:numPr>
                <w:ilvl w:val="0"/>
                <w:numId w:val="23"/>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b w:val="0"/>
                <w:bCs w:val="0"/>
                <w:color w:val="000000" w:themeColor="text1"/>
                <w:sz w:val="21"/>
                <w:szCs w:val="21"/>
                <w:highlight w:val="none"/>
              </w:rPr>
            </w:pPr>
          </w:p>
        </w:tc>
        <w:tc>
          <w:tcPr>
            <w:tcW w:w="63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97351A">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val="0"/>
                <w:bCs w:val="0"/>
                <w:color w:val="000000" w:themeColor="text1"/>
                <w:sz w:val="21"/>
                <w:szCs w:val="21"/>
                <w:highlight w:val="none"/>
              </w:rPr>
            </w:pPr>
            <w:r>
              <w:rPr>
                <w:rFonts w:hint="eastAsia" w:ascii="宋体" w:hAnsi="宋体" w:eastAsia="宋体" w:cs="宋体"/>
                <w:b w:val="0"/>
                <w:bCs w:val="0"/>
                <w:color w:val="000000" w:themeColor="text1"/>
                <w:sz w:val="21"/>
                <w:szCs w:val="21"/>
                <w:highlight w:val="none"/>
              </w:rPr>
              <w:t>化料操作步骤</w:t>
            </w: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80D94A">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val="0"/>
                <w:bCs w:val="0"/>
                <w:color w:val="000000" w:themeColor="text1"/>
                <w:sz w:val="21"/>
                <w:szCs w:val="21"/>
                <w:highlight w:val="none"/>
              </w:rPr>
            </w:pPr>
          </w:p>
        </w:tc>
      </w:tr>
      <w:tr w14:paraId="2B888431">
        <w:tblPrEx>
          <w:tblCellMar>
            <w:top w:w="0" w:type="dxa"/>
            <w:left w:w="108" w:type="dxa"/>
            <w:bottom w:w="0" w:type="dxa"/>
            <w:right w:w="108" w:type="dxa"/>
          </w:tblCellMar>
        </w:tblPrEx>
        <w:trPr>
          <w:trHeight w:val="454" w:hRule="atLeast"/>
        </w:trPr>
        <w:tc>
          <w:tcPr>
            <w:tcW w:w="10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25B347">
            <w:pPr>
              <w:keepNext w:val="0"/>
              <w:keepLines w:val="0"/>
              <w:pageBreakBefore w:val="0"/>
              <w:widowControl w:val="0"/>
              <w:numPr>
                <w:ilvl w:val="0"/>
                <w:numId w:val="23"/>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b w:val="0"/>
                <w:bCs w:val="0"/>
                <w:color w:val="000000" w:themeColor="text1"/>
                <w:sz w:val="21"/>
                <w:szCs w:val="21"/>
                <w:highlight w:val="none"/>
              </w:rPr>
            </w:pPr>
          </w:p>
        </w:tc>
        <w:tc>
          <w:tcPr>
            <w:tcW w:w="63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8437E7">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val="0"/>
                <w:bCs w:val="0"/>
                <w:color w:val="000000" w:themeColor="text1"/>
                <w:sz w:val="21"/>
                <w:szCs w:val="21"/>
                <w:highlight w:val="none"/>
              </w:rPr>
            </w:pPr>
            <w:r>
              <w:rPr>
                <w:rFonts w:hint="eastAsia" w:ascii="宋体" w:hAnsi="宋体" w:eastAsia="宋体" w:cs="宋体"/>
                <w:b w:val="0"/>
                <w:bCs w:val="0"/>
                <w:color w:val="000000" w:themeColor="text1"/>
                <w:sz w:val="21"/>
                <w:szCs w:val="21"/>
                <w:highlight w:val="none"/>
              </w:rPr>
              <w:t>化学品泄漏应急作业操作步骤</w:t>
            </w: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56F2FB">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val="0"/>
                <w:bCs w:val="0"/>
                <w:color w:val="000000" w:themeColor="text1"/>
                <w:sz w:val="21"/>
                <w:szCs w:val="21"/>
                <w:highlight w:val="none"/>
              </w:rPr>
            </w:pPr>
          </w:p>
        </w:tc>
      </w:tr>
      <w:tr w14:paraId="365FF20C">
        <w:tblPrEx>
          <w:tblCellMar>
            <w:top w:w="0" w:type="dxa"/>
            <w:left w:w="108" w:type="dxa"/>
            <w:bottom w:w="0" w:type="dxa"/>
            <w:right w:w="108" w:type="dxa"/>
          </w:tblCellMar>
        </w:tblPrEx>
        <w:trPr>
          <w:trHeight w:val="454" w:hRule="atLeast"/>
        </w:trPr>
        <w:tc>
          <w:tcPr>
            <w:tcW w:w="10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E442C2">
            <w:pPr>
              <w:keepNext w:val="0"/>
              <w:keepLines w:val="0"/>
              <w:pageBreakBefore w:val="0"/>
              <w:widowControl w:val="0"/>
              <w:numPr>
                <w:ilvl w:val="0"/>
                <w:numId w:val="23"/>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b w:val="0"/>
                <w:bCs w:val="0"/>
                <w:color w:val="000000" w:themeColor="text1"/>
                <w:sz w:val="21"/>
                <w:szCs w:val="21"/>
                <w:highlight w:val="none"/>
              </w:rPr>
            </w:pPr>
          </w:p>
        </w:tc>
        <w:tc>
          <w:tcPr>
            <w:tcW w:w="63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8BA724">
            <w:pPr>
              <w:widowControl w:val="0"/>
              <w:adjustRightInd w:val="0"/>
              <w:snapToGrid w:val="0"/>
              <w:spacing w:line="240" w:lineRule="auto"/>
              <w:jc w:val="center"/>
              <w:rPr>
                <w:rFonts w:hint="eastAsia" w:ascii="宋体" w:hAnsi="宋体" w:eastAsia="宋体" w:cs="宋体"/>
                <w:b w:val="0"/>
                <w:bCs w:val="0"/>
                <w:color w:val="000000" w:themeColor="text1"/>
                <w:sz w:val="21"/>
                <w:szCs w:val="21"/>
                <w:highlight w:val="none"/>
              </w:rPr>
            </w:pPr>
            <w:r>
              <w:rPr>
                <w:rFonts w:hint="eastAsia" w:ascii="宋体" w:hAnsi="宋体" w:eastAsia="宋体" w:cs="宋体"/>
                <w:b w:val="0"/>
                <w:bCs w:val="0"/>
                <w:color w:val="000000" w:themeColor="text1"/>
                <w:sz w:val="21"/>
                <w:szCs w:val="21"/>
                <w:highlight w:val="none"/>
                <w:lang w:eastAsia="zh-CN"/>
              </w:rPr>
              <w:t>废水处理站</w:t>
            </w:r>
            <w:r>
              <w:rPr>
                <w:rFonts w:hint="eastAsia" w:ascii="宋体" w:hAnsi="宋体" w:eastAsia="宋体" w:cs="宋体"/>
                <w:b w:val="0"/>
                <w:bCs w:val="0"/>
                <w:color w:val="000000" w:themeColor="text1"/>
                <w:sz w:val="21"/>
                <w:szCs w:val="21"/>
                <w:highlight w:val="none"/>
              </w:rPr>
              <w:t>化学药剂添加SOP</w:t>
            </w: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069686">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val="0"/>
                <w:bCs w:val="0"/>
                <w:color w:val="000000" w:themeColor="text1"/>
                <w:sz w:val="21"/>
                <w:szCs w:val="21"/>
                <w:highlight w:val="none"/>
              </w:rPr>
            </w:pPr>
          </w:p>
        </w:tc>
      </w:tr>
    </w:tbl>
    <w:p w14:paraId="19184892">
      <w:pPr>
        <w:pStyle w:val="7"/>
        <w:keepNext w:val="0"/>
        <w:keepLines w:val="0"/>
        <w:pageBreakBefore w:val="0"/>
        <w:widowControl w:val="0"/>
        <w:kinsoku/>
        <w:wordWrap/>
        <w:overflowPunct/>
        <w:topLinePunct w:val="0"/>
        <w:autoSpaceDE/>
        <w:autoSpaceDN/>
        <w:bidi w:val="0"/>
        <w:adjustRightInd w:val="0"/>
        <w:snapToGrid w:val="0"/>
        <w:spacing w:beforeLines="50"/>
        <w:textAlignment w:val="auto"/>
        <w:rPr>
          <w:color w:val="000000" w:themeColor="text1"/>
          <w:highlight w:val="none"/>
        </w:rPr>
      </w:pPr>
      <w:bookmarkStart w:id="327" w:name="_Toc16612"/>
      <w:bookmarkStart w:id="328" w:name="_Toc4587"/>
      <w:bookmarkStart w:id="329" w:name="_Toc2680"/>
      <w:bookmarkStart w:id="330" w:name="_Toc11923"/>
      <w:bookmarkStart w:id="331" w:name="_Toc16596"/>
      <w:bookmarkStart w:id="332" w:name="_Toc27055"/>
      <w:r>
        <w:rPr>
          <w:rFonts w:hint="eastAsia"/>
          <w:color w:val="000000" w:themeColor="text1"/>
          <w:highlight w:val="none"/>
        </w:rPr>
        <w:t>2.</w:t>
      </w:r>
      <w:r>
        <w:rPr>
          <w:rFonts w:hint="eastAsia"/>
          <w:color w:val="000000" w:themeColor="text1"/>
          <w:highlight w:val="none"/>
          <w:lang w:val="en-US" w:eastAsia="zh-CN"/>
        </w:rPr>
        <w:t>6</w:t>
      </w:r>
      <w:r>
        <w:rPr>
          <w:rFonts w:hint="eastAsia"/>
          <w:color w:val="000000" w:themeColor="text1"/>
          <w:highlight w:val="none"/>
        </w:rPr>
        <w:t>.5 应急管理</w:t>
      </w:r>
      <w:bookmarkEnd w:id="327"/>
      <w:bookmarkEnd w:id="328"/>
      <w:bookmarkEnd w:id="329"/>
      <w:bookmarkEnd w:id="330"/>
      <w:bookmarkEnd w:id="331"/>
      <w:bookmarkEnd w:id="332"/>
    </w:p>
    <w:p w14:paraId="09C963F9">
      <w:pPr>
        <w:keepNext w:val="0"/>
        <w:keepLines w:val="0"/>
        <w:pageBreakBefore w:val="0"/>
        <w:widowControl w:val="0"/>
        <w:numPr>
          <w:ilvl w:val="0"/>
          <w:numId w:val="24"/>
        </w:numPr>
        <w:kinsoku/>
        <w:wordWrap/>
        <w:overflowPunct/>
        <w:topLinePunct w:val="0"/>
        <w:autoSpaceDE/>
        <w:autoSpaceDN/>
        <w:bidi w:val="0"/>
        <w:adjustRightInd w:val="0"/>
        <w:snapToGrid w:val="0"/>
        <w:spacing w:line="360" w:lineRule="auto"/>
        <w:ind w:left="0" w:leftChars="0" w:firstLine="560" w:firstLineChars="200"/>
        <w:textAlignment w:val="auto"/>
        <w:rPr>
          <w:rFonts w:ascii="宋体" w:hAnsi="宋体"/>
          <w:color w:val="000000" w:themeColor="text1"/>
          <w:sz w:val="28"/>
          <w:szCs w:val="28"/>
          <w:highlight w:val="none"/>
        </w:rPr>
      </w:pPr>
      <w:r>
        <w:rPr>
          <w:rFonts w:hint="eastAsia" w:ascii="宋体" w:hAnsi="宋体"/>
          <w:color w:val="000000" w:themeColor="text1"/>
          <w:sz w:val="28"/>
          <w:szCs w:val="28"/>
          <w:highlight w:val="none"/>
        </w:rPr>
        <w:t>应急预案编制</w:t>
      </w:r>
    </w:p>
    <w:p w14:paraId="66CA9D0D">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color w:val="000000" w:themeColor="text1"/>
          <w:sz w:val="28"/>
          <w:szCs w:val="28"/>
          <w:highlight w:val="none"/>
          <w:lang w:eastAsia="zh-CN"/>
        </w:rPr>
      </w:pPr>
      <w:r>
        <w:rPr>
          <w:rFonts w:hint="eastAsia"/>
          <w:color w:val="000000" w:themeColor="text1"/>
          <w:sz w:val="28"/>
          <w:szCs w:val="28"/>
          <w:highlight w:val="none"/>
        </w:rPr>
        <w:t>华美线业于2018年1月编制了</w:t>
      </w:r>
      <w:r>
        <w:rPr>
          <w:rFonts w:hint="eastAsia"/>
          <w:color w:val="000000" w:themeColor="text1"/>
          <w:sz w:val="28"/>
          <w:szCs w:val="28"/>
          <w:highlight w:val="none"/>
          <w:lang w:eastAsia="zh-CN"/>
        </w:rPr>
        <w:t>《</w:t>
      </w:r>
      <w:r>
        <w:rPr>
          <w:rFonts w:hint="eastAsia"/>
          <w:color w:val="000000" w:themeColor="text1"/>
          <w:sz w:val="28"/>
          <w:szCs w:val="28"/>
          <w:highlight w:val="none"/>
        </w:rPr>
        <w:t>华美线业有限公司生产安全事故综合应急预案</w:t>
      </w:r>
      <w:r>
        <w:rPr>
          <w:rFonts w:hint="eastAsia"/>
          <w:color w:val="000000" w:themeColor="text1"/>
          <w:sz w:val="28"/>
          <w:szCs w:val="28"/>
          <w:highlight w:val="none"/>
          <w:lang w:eastAsia="zh-CN"/>
        </w:rPr>
        <w:t>》</w:t>
      </w:r>
      <w:r>
        <w:rPr>
          <w:rFonts w:hint="eastAsia"/>
          <w:color w:val="000000" w:themeColor="text1"/>
          <w:sz w:val="28"/>
          <w:szCs w:val="28"/>
          <w:highlight w:val="none"/>
        </w:rPr>
        <w:t>，于2021年8月对公司生产安全事故应急预案进行修订</w:t>
      </w:r>
      <w:r>
        <w:rPr>
          <w:rFonts w:hint="eastAsia"/>
          <w:color w:val="000000" w:themeColor="text1"/>
          <w:sz w:val="28"/>
          <w:szCs w:val="28"/>
          <w:highlight w:val="none"/>
          <w:lang w:eastAsia="zh-CN"/>
        </w:rPr>
        <w:t>，《</w:t>
      </w:r>
      <w:r>
        <w:rPr>
          <w:rFonts w:hint="eastAsia"/>
          <w:color w:val="000000" w:themeColor="text1"/>
          <w:sz w:val="28"/>
          <w:szCs w:val="28"/>
          <w:highlight w:val="none"/>
        </w:rPr>
        <w:t>华美线业有限公司生产安全事故综合应急预案</w:t>
      </w:r>
      <w:r>
        <w:rPr>
          <w:rFonts w:hint="eastAsia"/>
          <w:color w:val="000000" w:themeColor="text1"/>
          <w:sz w:val="28"/>
          <w:szCs w:val="28"/>
          <w:highlight w:val="none"/>
          <w:lang w:eastAsia="zh-CN"/>
        </w:rPr>
        <w:t>》包含《火灾爆炸事故专项应急预案》、《特种设备事故专项应急预案》、《三防（防雷、防台、防汛）事故专项应急预案》、《危险源事故专项应急预案》（包含危险源火灾、爆炸、人员中毒、化学品泄漏、人员受伤〔灼烫〕等内容）、《化学品存放处火灾事故现场处置方案》和《触电事故现场处置方案》。</w:t>
      </w:r>
    </w:p>
    <w:p w14:paraId="7567A56F">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color w:val="000000" w:themeColor="text1"/>
          <w:sz w:val="28"/>
          <w:szCs w:val="28"/>
          <w:highlight w:val="none"/>
          <w:lang w:eastAsia="zh-CN"/>
        </w:rPr>
      </w:pPr>
      <w:r>
        <w:rPr>
          <w:rFonts w:hint="eastAsia"/>
          <w:color w:val="000000" w:themeColor="text1"/>
          <w:sz w:val="28"/>
          <w:szCs w:val="28"/>
          <w:highlight w:val="none"/>
          <w:lang w:eastAsia="zh-CN"/>
        </w:rPr>
        <w:t>于</w:t>
      </w:r>
      <w:r>
        <w:rPr>
          <w:rFonts w:hint="eastAsia"/>
          <w:color w:val="000000" w:themeColor="text1"/>
          <w:sz w:val="28"/>
          <w:szCs w:val="28"/>
          <w:highlight w:val="none"/>
          <w:lang w:val="en-US" w:eastAsia="zh-CN"/>
        </w:rPr>
        <w:t>2021年8月21日邀请专家对</w:t>
      </w:r>
      <w:r>
        <w:rPr>
          <w:rFonts w:hint="eastAsia"/>
          <w:color w:val="000000" w:themeColor="text1"/>
          <w:sz w:val="28"/>
          <w:szCs w:val="28"/>
          <w:highlight w:val="none"/>
          <w:lang w:eastAsia="zh-CN"/>
        </w:rPr>
        <w:t>《</w:t>
      </w:r>
      <w:r>
        <w:rPr>
          <w:rFonts w:hint="eastAsia"/>
          <w:color w:val="000000" w:themeColor="text1"/>
          <w:sz w:val="28"/>
          <w:szCs w:val="28"/>
          <w:highlight w:val="none"/>
        </w:rPr>
        <w:t>华美线业有限公司生产安全事故综合应急预案</w:t>
      </w:r>
      <w:r>
        <w:rPr>
          <w:rFonts w:hint="eastAsia"/>
          <w:color w:val="000000" w:themeColor="text1"/>
          <w:sz w:val="28"/>
          <w:szCs w:val="28"/>
          <w:highlight w:val="none"/>
          <w:lang w:eastAsia="zh-CN"/>
        </w:rPr>
        <w:t>》进行了评（函）审。</w:t>
      </w:r>
    </w:p>
    <w:p w14:paraId="35F48F59">
      <w:pPr>
        <w:keepNext w:val="0"/>
        <w:keepLines w:val="0"/>
        <w:pageBreakBefore w:val="0"/>
        <w:widowControl w:val="0"/>
        <w:numPr>
          <w:ilvl w:val="0"/>
          <w:numId w:val="2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lang w:eastAsia="zh-CN"/>
        </w:rPr>
      </w:pPr>
      <w:r>
        <w:rPr>
          <w:rFonts w:hint="eastAsia" w:ascii="宋体" w:hAnsi="宋体"/>
          <w:color w:val="000000" w:themeColor="text1"/>
          <w:sz w:val="28"/>
          <w:szCs w:val="28"/>
          <w:highlight w:val="none"/>
        </w:rPr>
        <w:t>应急预案</w:t>
      </w:r>
      <w:r>
        <w:rPr>
          <w:rFonts w:hint="eastAsia" w:ascii="宋体" w:hAnsi="宋体"/>
          <w:color w:val="000000" w:themeColor="text1"/>
          <w:sz w:val="28"/>
          <w:szCs w:val="28"/>
          <w:highlight w:val="none"/>
          <w:lang w:eastAsia="zh-CN"/>
        </w:rPr>
        <w:t>备案</w:t>
      </w:r>
    </w:p>
    <w:p w14:paraId="44E04520">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ascii="宋体" w:hAnsi="宋体"/>
          <w:color w:val="000000" w:themeColor="text1"/>
          <w:sz w:val="28"/>
          <w:szCs w:val="28"/>
          <w:highlight w:val="none"/>
        </w:rPr>
      </w:pPr>
      <w:r>
        <w:rPr>
          <w:rFonts w:hint="eastAsia"/>
          <w:color w:val="000000" w:themeColor="text1"/>
          <w:sz w:val="28"/>
          <w:szCs w:val="28"/>
          <w:highlight w:val="none"/>
          <w:lang w:eastAsia="zh-CN"/>
        </w:rPr>
        <w:t>《</w:t>
      </w:r>
      <w:r>
        <w:rPr>
          <w:rFonts w:hint="eastAsia"/>
          <w:color w:val="000000" w:themeColor="text1"/>
          <w:sz w:val="28"/>
          <w:szCs w:val="28"/>
          <w:highlight w:val="none"/>
        </w:rPr>
        <w:t>华美线业有限公司生产安全事故综合应急预案</w:t>
      </w:r>
      <w:r>
        <w:rPr>
          <w:rFonts w:hint="eastAsia"/>
          <w:color w:val="000000" w:themeColor="text1"/>
          <w:sz w:val="28"/>
          <w:szCs w:val="28"/>
          <w:highlight w:val="none"/>
          <w:lang w:eastAsia="zh-CN"/>
        </w:rPr>
        <w:t>》</w:t>
      </w:r>
      <w:r>
        <w:rPr>
          <w:rFonts w:hint="eastAsia"/>
          <w:color w:val="000000" w:themeColor="text1"/>
          <w:sz w:val="28"/>
          <w:szCs w:val="28"/>
          <w:highlight w:val="none"/>
        </w:rPr>
        <w:t>于</w:t>
      </w:r>
      <w:r>
        <w:rPr>
          <w:color w:val="000000" w:themeColor="text1"/>
          <w:sz w:val="28"/>
          <w:szCs w:val="28"/>
          <w:highlight w:val="none"/>
        </w:rPr>
        <w:t>20</w:t>
      </w:r>
      <w:r>
        <w:rPr>
          <w:rFonts w:hint="eastAsia"/>
          <w:color w:val="000000" w:themeColor="text1"/>
          <w:sz w:val="28"/>
          <w:szCs w:val="28"/>
          <w:highlight w:val="none"/>
          <w:lang w:val="en-US" w:eastAsia="zh-CN"/>
        </w:rPr>
        <w:t>21</w:t>
      </w:r>
      <w:r>
        <w:rPr>
          <w:rFonts w:hint="eastAsia"/>
          <w:color w:val="000000" w:themeColor="text1"/>
          <w:sz w:val="28"/>
          <w:szCs w:val="28"/>
          <w:highlight w:val="none"/>
        </w:rPr>
        <w:t>年</w:t>
      </w:r>
      <w:r>
        <w:rPr>
          <w:rFonts w:hint="eastAsia"/>
          <w:color w:val="000000" w:themeColor="text1"/>
          <w:sz w:val="28"/>
          <w:szCs w:val="28"/>
          <w:highlight w:val="none"/>
          <w:lang w:val="en-US" w:eastAsia="zh-CN"/>
        </w:rPr>
        <w:t>10</w:t>
      </w:r>
      <w:r>
        <w:rPr>
          <w:color w:val="000000" w:themeColor="text1"/>
          <w:sz w:val="28"/>
          <w:szCs w:val="28"/>
          <w:highlight w:val="none"/>
        </w:rPr>
        <w:t>月</w:t>
      </w:r>
      <w:r>
        <w:rPr>
          <w:rFonts w:hint="eastAsia"/>
          <w:color w:val="000000" w:themeColor="text1"/>
          <w:sz w:val="28"/>
          <w:szCs w:val="28"/>
          <w:highlight w:val="none"/>
          <w:lang w:val="en-US" w:eastAsia="zh-CN"/>
        </w:rPr>
        <w:t>9</w:t>
      </w:r>
      <w:r>
        <w:rPr>
          <w:rFonts w:hint="eastAsia"/>
          <w:color w:val="000000" w:themeColor="text1"/>
          <w:sz w:val="28"/>
          <w:szCs w:val="28"/>
          <w:highlight w:val="none"/>
        </w:rPr>
        <w:t>日在镇海区</w:t>
      </w:r>
      <w:r>
        <w:rPr>
          <w:rFonts w:hint="eastAsia"/>
          <w:color w:val="000000" w:themeColor="text1"/>
          <w:sz w:val="28"/>
          <w:szCs w:val="28"/>
          <w:highlight w:val="none"/>
          <w:lang w:eastAsia="zh-CN"/>
        </w:rPr>
        <w:t>应急管理局</w:t>
      </w:r>
      <w:r>
        <w:rPr>
          <w:rFonts w:hint="eastAsia"/>
          <w:color w:val="000000" w:themeColor="text1"/>
          <w:sz w:val="28"/>
          <w:szCs w:val="28"/>
          <w:highlight w:val="none"/>
        </w:rPr>
        <w:t>进行了备案登记，备案登记编号为</w:t>
      </w:r>
      <w:r>
        <w:rPr>
          <w:color w:val="000000" w:themeColor="text1"/>
          <w:sz w:val="28"/>
          <w:szCs w:val="28"/>
          <w:highlight w:val="none"/>
        </w:rPr>
        <w:t>330211000000-20</w:t>
      </w:r>
      <w:r>
        <w:rPr>
          <w:rFonts w:hint="eastAsia"/>
          <w:color w:val="000000" w:themeColor="text1"/>
          <w:sz w:val="28"/>
          <w:szCs w:val="28"/>
          <w:highlight w:val="none"/>
          <w:lang w:val="en-US" w:eastAsia="zh-CN"/>
        </w:rPr>
        <w:t>21－队0006，备案登记表见附件</w:t>
      </w:r>
      <w:r>
        <w:rPr>
          <w:rFonts w:hint="eastAsia"/>
          <w:color w:val="000000" w:themeColor="text1"/>
          <w:sz w:val="28"/>
          <w:szCs w:val="28"/>
          <w:highlight w:val="none"/>
        </w:rPr>
        <w:t>。</w:t>
      </w:r>
    </w:p>
    <w:p w14:paraId="545BDD79">
      <w:pPr>
        <w:keepNext w:val="0"/>
        <w:keepLines w:val="0"/>
        <w:pageBreakBefore w:val="0"/>
        <w:widowControl w:val="0"/>
        <w:numPr>
          <w:ilvl w:val="0"/>
          <w:numId w:val="2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应急救援物资</w:t>
      </w:r>
    </w:p>
    <w:p w14:paraId="22263F03">
      <w:pPr>
        <w:keepNext w:val="0"/>
        <w:keepLines w:val="0"/>
        <w:pageBreakBefore w:val="0"/>
        <w:widowControl w:val="0"/>
        <w:tabs>
          <w:tab w:val="left" w:pos="7140"/>
        </w:tabs>
        <w:kinsoku/>
        <w:wordWrap/>
        <w:overflowPunct/>
        <w:topLinePunct w:val="0"/>
        <w:autoSpaceDE w:val="0"/>
        <w:autoSpaceDN w:val="0"/>
        <w:bidi w:val="0"/>
        <w:adjustRightInd w:val="0"/>
        <w:snapToGrid w:val="0"/>
        <w:spacing w:line="360" w:lineRule="auto"/>
        <w:ind w:firstLine="560" w:firstLineChars="200"/>
        <w:textAlignment w:val="auto"/>
        <w:rPr>
          <w:rFonts w:ascii="宋体" w:hAnsi="宋体"/>
          <w:color w:val="000000" w:themeColor="text1"/>
          <w:kern w:val="0"/>
          <w:sz w:val="28"/>
          <w:szCs w:val="28"/>
          <w:highlight w:val="none"/>
        </w:rPr>
      </w:pPr>
      <w:r>
        <w:rPr>
          <w:rFonts w:hint="eastAsia"/>
          <w:color w:val="000000" w:themeColor="text1"/>
          <w:sz w:val="28"/>
          <w:szCs w:val="28"/>
          <w:highlight w:val="none"/>
        </w:rPr>
        <w:t>华美线业</w:t>
      </w:r>
      <w:r>
        <w:rPr>
          <w:rFonts w:hint="eastAsia" w:ascii="宋体" w:hAnsi="宋体" w:eastAsia="宋体" w:cs="宋体"/>
          <w:color w:val="000000" w:themeColor="text1"/>
          <w:sz w:val="28"/>
          <w:szCs w:val="28"/>
          <w:highlight w:val="none"/>
          <w:lang w:eastAsia="zh-CN"/>
        </w:rPr>
        <w:t>配备的</w:t>
      </w:r>
      <w:r>
        <w:rPr>
          <w:rFonts w:ascii="宋体" w:hAnsi="宋体"/>
          <w:color w:val="000000" w:themeColor="text1"/>
          <w:kern w:val="0"/>
          <w:sz w:val="28"/>
          <w:szCs w:val="28"/>
          <w:highlight w:val="none"/>
        </w:rPr>
        <w:t>应急救援物资清单见</w:t>
      </w:r>
      <w:r>
        <w:rPr>
          <w:rFonts w:hint="eastAsia" w:ascii="宋体" w:hAnsi="宋体"/>
          <w:color w:val="000000" w:themeColor="text1"/>
          <w:kern w:val="0"/>
          <w:sz w:val="28"/>
          <w:szCs w:val="28"/>
          <w:highlight w:val="none"/>
        </w:rPr>
        <w:t>下表</w:t>
      </w:r>
      <w:r>
        <w:rPr>
          <w:rFonts w:ascii="宋体" w:hAnsi="宋体"/>
          <w:color w:val="000000" w:themeColor="text1"/>
          <w:kern w:val="0"/>
          <w:sz w:val="28"/>
          <w:szCs w:val="28"/>
          <w:highlight w:val="none"/>
        </w:rPr>
        <w:t>。</w:t>
      </w:r>
    </w:p>
    <w:p w14:paraId="30C36FD4">
      <w:pPr>
        <w:keepNext w:val="0"/>
        <w:keepLines w:val="0"/>
        <w:pageBreakBefore w:val="0"/>
        <w:widowControl w:val="0"/>
        <w:kinsoku/>
        <w:wordWrap/>
        <w:topLinePunct w:val="0"/>
        <w:bidi w:val="0"/>
        <w:adjustRightInd w:val="0"/>
        <w:snapToGrid w:val="0"/>
        <w:spacing w:line="360" w:lineRule="auto"/>
        <w:jc w:val="center"/>
        <w:rPr>
          <w:rFonts w:hint="eastAsia" w:ascii="黑体" w:hAnsi="黑体" w:eastAsia="黑体" w:cs="黑体"/>
          <w:b/>
          <w:bCs/>
          <w:color w:val="000000" w:themeColor="text1"/>
          <w:sz w:val="24"/>
          <w:szCs w:val="24"/>
          <w:highlight w:val="none"/>
        </w:rPr>
      </w:pPr>
      <w:r>
        <w:rPr>
          <w:rFonts w:hint="eastAsia" w:ascii="黑体" w:hAnsi="黑体" w:eastAsia="黑体"/>
          <w:b/>
          <w:color w:val="000000" w:themeColor="text1"/>
          <w:highlight w:val="none"/>
        </w:rPr>
        <w:t>表</w:t>
      </w:r>
      <w:r>
        <w:rPr>
          <w:rFonts w:ascii="黑体" w:hAnsi="黑体" w:eastAsia="黑体"/>
          <w:b/>
          <w:color w:val="000000" w:themeColor="text1"/>
          <w:highlight w:val="none"/>
        </w:rPr>
        <w:t>2</w:t>
      </w:r>
      <w:r>
        <w:rPr>
          <w:rFonts w:hint="eastAsia" w:ascii="黑体" w:hAnsi="黑体" w:eastAsia="黑体"/>
          <w:b/>
          <w:color w:val="000000" w:themeColor="text1"/>
          <w:highlight w:val="none"/>
        </w:rPr>
        <w:t>.</w:t>
      </w:r>
      <w:r>
        <w:rPr>
          <w:rFonts w:hint="eastAsia" w:ascii="黑体" w:hAnsi="黑体" w:eastAsia="黑体"/>
          <w:b/>
          <w:color w:val="000000" w:themeColor="text1"/>
          <w:highlight w:val="none"/>
          <w:lang w:val="en-US" w:eastAsia="zh-CN"/>
        </w:rPr>
        <w:t>6</w:t>
      </w:r>
      <w:r>
        <w:rPr>
          <w:rFonts w:ascii="黑体" w:hAnsi="黑体" w:eastAsia="黑体"/>
          <w:b/>
          <w:color w:val="000000" w:themeColor="text1"/>
          <w:highlight w:val="none"/>
        </w:rPr>
        <w:t>-</w:t>
      </w:r>
      <w:r>
        <w:rPr>
          <w:rFonts w:hint="eastAsia" w:ascii="黑体" w:hAnsi="黑体" w:eastAsia="黑体"/>
          <w:b/>
          <w:color w:val="000000" w:themeColor="text1"/>
          <w:highlight w:val="none"/>
          <w:lang w:val="en-US" w:eastAsia="zh-CN"/>
        </w:rPr>
        <w:t>7</w:t>
      </w:r>
      <w:r>
        <w:rPr>
          <w:rFonts w:hint="eastAsia" w:ascii="黑体" w:hAnsi="黑体" w:eastAsia="黑体" w:cs="黑体"/>
          <w:b/>
          <w:bCs/>
          <w:color w:val="000000" w:themeColor="text1"/>
          <w:sz w:val="24"/>
          <w:szCs w:val="24"/>
          <w:highlight w:val="none"/>
        </w:rPr>
        <w:t>公司应急处置装备及物资配备清单</w:t>
      </w:r>
    </w:p>
    <w:tbl>
      <w:tblPr>
        <w:tblStyle w:val="794"/>
        <w:tblW w:w="506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756"/>
        <w:gridCol w:w="4261"/>
        <w:gridCol w:w="1450"/>
        <w:gridCol w:w="1845"/>
      </w:tblGrid>
      <w:tr w14:paraId="572767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blHeader/>
          <w:jc w:val="center"/>
        </w:trPr>
        <w:tc>
          <w:tcPr>
            <w:tcW w:w="943" w:type="pct"/>
            <w:tcBorders>
              <w:tl2br w:val="nil"/>
              <w:tr2bl w:val="nil"/>
            </w:tcBorders>
            <w:vAlign w:val="center"/>
          </w:tcPr>
          <w:p w14:paraId="761FD965">
            <w:pPr>
              <w:pStyle w:val="793"/>
              <w:widowControl w:val="0"/>
              <w:adjustRightInd w:val="0"/>
              <w:snapToGrid w:val="0"/>
              <w:spacing w:before="0" w:line="240" w:lineRule="auto"/>
              <w:ind w:left="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pacing w:val="0"/>
                <w:sz w:val="21"/>
                <w:szCs w:val="21"/>
                <w:highlight w:val="none"/>
              </w:rPr>
              <w:t>配置场所</w:t>
            </w:r>
          </w:p>
        </w:tc>
        <w:tc>
          <w:tcPr>
            <w:tcW w:w="2287" w:type="pct"/>
            <w:tcBorders>
              <w:tl2br w:val="nil"/>
              <w:tr2bl w:val="nil"/>
            </w:tcBorders>
            <w:vAlign w:val="center"/>
          </w:tcPr>
          <w:p w14:paraId="36872DE8">
            <w:pPr>
              <w:pStyle w:val="793"/>
              <w:widowControl w:val="0"/>
              <w:adjustRightInd w:val="0"/>
              <w:snapToGrid w:val="0"/>
              <w:spacing w:before="0" w:line="240" w:lineRule="auto"/>
              <w:ind w:left="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pacing w:val="0"/>
                <w:sz w:val="21"/>
                <w:szCs w:val="21"/>
                <w:highlight w:val="none"/>
              </w:rPr>
              <w:t>应急物资</w:t>
            </w:r>
          </w:p>
        </w:tc>
        <w:tc>
          <w:tcPr>
            <w:tcW w:w="778" w:type="pct"/>
            <w:tcBorders>
              <w:tl2br w:val="nil"/>
              <w:tr2bl w:val="nil"/>
            </w:tcBorders>
            <w:vAlign w:val="center"/>
          </w:tcPr>
          <w:p w14:paraId="3105AA2F">
            <w:pPr>
              <w:pStyle w:val="793"/>
              <w:widowControl w:val="0"/>
              <w:adjustRightInd w:val="0"/>
              <w:snapToGrid w:val="0"/>
              <w:spacing w:before="0" w:line="240" w:lineRule="auto"/>
              <w:ind w:left="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pacing w:val="0"/>
                <w:sz w:val="21"/>
                <w:szCs w:val="21"/>
                <w:highlight w:val="none"/>
              </w:rPr>
              <w:t>配置数量</w:t>
            </w:r>
          </w:p>
        </w:tc>
        <w:tc>
          <w:tcPr>
            <w:tcW w:w="990" w:type="pct"/>
            <w:tcBorders>
              <w:tl2br w:val="nil"/>
              <w:tr2bl w:val="nil"/>
            </w:tcBorders>
            <w:vAlign w:val="center"/>
          </w:tcPr>
          <w:p w14:paraId="23B14342">
            <w:pPr>
              <w:pStyle w:val="793"/>
              <w:widowControl w:val="0"/>
              <w:adjustRightInd w:val="0"/>
              <w:snapToGrid w:val="0"/>
              <w:spacing w:before="0" w:line="240" w:lineRule="auto"/>
              <w:ind w:left="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pacing w:val="0"/>
                <w:sz w:val="21"/>
                <w:szCs w:val="21"/>
                <w:highlight w:val="none"/>
              </w:rPr>
              <w:t>单位</w:t>
            </w:r>
          </w:p>
        </w:tc>
      </w:tr>
      <w:tr w14:paraId="456F8A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restart"/>
            <w:tcBorders>
              <w:tl2br w:val="nil"/>
              <w:tr2bl w:val="nil"/>
            </w:tcBorders>
            <w:vAlign w:val="center"/>
          </w:tcPr>
          <w:p w14:paraId="7965563A">
            <w:pPr>
              <w:pStyle w:val="793"/>
              <w:widowControl w:val="0"/>
              <w:adjustRightInd w:val="0"/>
              <w:snapToGrid w:val="0"/>
              <w:spacing w:before="0"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pacing w:val="0"/>
                <w:sz w:val="21"/>
                <w:szCs w:val="21"/>
                <w:highlight w:val="none"/>
                <w:lang w:eastAsia="zh-CN"/>
              </w:rPr>
              <w:t>漂染车间附房</w:t>
            </w:r>
          </w:p>
        </w:tc>
        <w:tc>
          <w:tcPr>
            <w:tcW w:w="2287" w:type="pct"/>
            <w:tcBorders>
              <w:tl2br w:val="nil"/>
              <w:tr2bl w:val="nil"/>
            </w:tcBorders>
            <w:vAlign w:val="center"/>
          </w:tcPr>
          <w:p w14:paraId="0A33B036">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C级防护衣</w:t>
            </w:r>
          </w:p>
        </w:tc>
        <w:tc>
          <w:tcPr>
            <w:tcW w:w="778" w:type="pct"/>
            <w:tcBorders>
              <w:tl2br w:val="nil"/>
              <w:tr2bl w:val="nil"/>
            </w:tcBorders>
            <w:vAlign w:val="center"/>
          </w:tcPr>
          <w:p w14:paraId="2142996C">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1620CFF1">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件</w:t>
            </w:r>
          </w:p>
        </w:tc>
      </w:tr>
      <w:tr w14:paraId="225843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4B78713C">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4A22680E">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防毒面罩（全面罩）</w:t>
            </w:r>
          </w:p>
        </w:tc>
        <w:tc>
          <w:tcPr>
            <w:tcW w:w="778" w:type="pct"/>
            <w:tcBorders>
              <w:tl2br w:val="nil"/>
              <w:tr2bl w:val="nil"/>
            </w:tcBorders>
            <w:vAlign w:val="center"/>
          </w:tcPr>
          <w:p w14:paraId="7BA0D17D">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4E0E1DB9">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副</w:t>
            </w:r>
          </w:p>
        </w:tc>
      </w:tr>
      <w:tr w14:paraId="4D4830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52A673D6">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3DF9D672">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滤毒盒（防酸防有机）</w:t>
            </w:r>
          </w:p>
        </w:tc>
        <w:tc>
          <w:tcPr>
            <w:tcW w:w="778" w:type="pct"/>
            <w:tcBorders>
              <w:tl2br w:val="nil"/>
              <w:tr2bl w:val="nil"/>
            </w:tcBorders>
            <w:vAlign w:val="center"/>
          </w:tcPr>
          <w:p w14:paraId="4933D9E4">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29568FAC">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副</w:t>
            </w:r>
          </w:p>
        </w:tc>
      </w:tr>
      <w:tr w14:paraId="47768F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53B51B32">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1B8C820B">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防化手套</w:t>
            </w:r>
          </w:p>
        </w:tc>
        <w:tc>
          <w:tcPr>
            <w:tcW w:w="778" w:type="pct"/>
            <w:tcBorders>
              <w:tl2br w:val="nil"/>
              <w:tr2bl w:val="nil"/>
            </w:tcBorders>
            <w:vAlign w:val="center"/>
          </w:tcPr>
          <w:p w14:paraId="57412C3A">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6B81CC58">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双</w:t>
            </w:r>
          </w:p>
        </w:tc>
      </w:tr>
      <w:tr w14:paraId="4F1E5D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17AD8945">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478FD805">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防化靴</w:t>
            </w:r>
          </w:p>
        </w:tc>
        <w:tc>
          <w:tcPr>
            <w:tcW w:w="778" w:type="pct"/>
            <w:tcBorders>
              <w:tl2br w:val="nil"/>
              <w:tr2bl w:val="nil"/>
            </w:tcBorders>
            <w:vAlign w:val="center"/>
          </w:tcPr>
          <w:p w14:paraId="569F636A">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6A2D1C87">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双</w:t>
            </w:r>
          </w:p>
        </w:tc>
      </w:tr>
      <w:tr w14:paraId="2B2E99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00A236D7">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051A5F07">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护目镜</w:t>
            </w:r>
          </w:p>
        </w:tc>
        <w:tc>
          <w:tcPr>
            <w:tcW w:w="778" w:type="pct"/>
            <w:tcBorders>
              <w:tl2br w:val="nil"/>
              <w:tr2bl w:val="nil"/>
            </w:tcBorders>
            <w:vAlign w:val="center"/>
          </w:tcPr>
          <w:p w14:paraId="7D15C002">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50EE5450">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副</w:t>
            </w:r>
          </w:p>
        </w:tc>
      </w:tr>
      <w:tr w14:paraId="1209D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2979D6F1">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2040A707">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防酸防有机口罩</w:t>
            </w:r>
          </w:p>
        </w:tc>
        <w:tc>
          <w:tcPr>
            <w:tcW w:w="778" w:type="pct"/>
            <w:tcBorders>
              <w:tl2br w:val="nil"/>
              <w:tr2bl w:val="nil"/>
            </w:tcBorders>
            <w:vAlign w:val="center"/>
          </w:tcPr>
          <w:p w14:paraId="4463AEFF">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19D59175">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个</w:t>
            </w:r>
          </w:p>
        </w:tc>
      </w:tr>
      <w:tr w14:paraId="0967E3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0326877A">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4E9C8B60">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化学吸液棉条</w:t>
            </w:r>
          </w:p>
        </w:tc>
        <w:tc>
          <w:tcPr>
            <w:tcW w:w="778" w:type="pct"/>
            <w:tcBorders>
              <w:tl2br w:val="nil"/>
              <w:tr2bl w:val="nil"/>
            </w:tcBorders>
            <w:vAlign w:val="center"/>
          </w:tcPr>
          <w:p w14:paraId="2A12239B">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990" w:type="pct"/>
            <w:tcBorders>
              <w:tl2br w:val="nil"/>
              <w:tr2bl w:val="nil"/>
            </w:tcBorders>
            <w:vAlign w:val="center"/>
          </w:tcPr>
          <w:p w14:paraId="61E328EC">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条</w:t>
            </w:r>
          </w:p>
        </w:tc>
      </w:tr>
      <w:tr w14:paraId="6E2918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4B6AFC62">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7E456D75">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化学吸液棉片</w:t>
            </w:r>
          </w:p>
        </w:tc>
        <w:tc>
          <w:tcPr>
            <w:tcW w:w="778" w:type="pct"/>
            <w:tcBorders>
              <w:tl2br w:val="nil"/>
              <w:tr2bl w:val="nil"/>
            </w:tcBorders>
            <w:vAlign w:val="center"/>
          </w:tcPr>
          <w:p w14:paraId="3AAE9015">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25</w:t>
            </w:r>
          </w:p>
        </w:tc>
        <w:tc>
          <w:tcPr>
            <w:tcW w:w="990" w:type="pct"/>
            <w:tcBorders>
              <w:tl2br w:val="nil"/>
              <w:tr2bl w:val="nil"/>
            </w:tcBorders>
            <w:vAlign w:val="center"/>
          </w:tcPr>
          <w:p w14:paraId="412A671F">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片</w:t>
            </w:r>
          </w:p>
        </w:tc>
      </w:tr>
      <w:tr w14:paraId="529B2E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03BF30D8">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45264ED7">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化学吸液棉枕</w:t>
            </w:r>
          </w:p>
        </w:tc>
        <w:tc>
          <w:tcPr>
            <w:tcW w:w="778" w:type="pct"/>
            <w:tcBorders>
              <w:tl2br w:val="nil"/>
              <w:tr2bl w:val="nil"/>
            </w:tcBorders>
            <w:vAlign w:val="center"/>
          </w:tcPr>
          <w:p w14:paraId="39BCBAFE">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w:t>
            </w:r>
          </w:p>
        </w:tc>
        <w:tc>
          <w:tcPr>
            <w:tcW w:w="990" w:type="pct"/>
            <w:tcBorders>
              <w:tl2br w:val="nil"/>
              <w:tr2bl w:val="nil"/>
            </w:tcBorders>
            <w:vAlign w:val="center"/>
          </w:tcPr>
          <w:p w14:paraId="2A90B412">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个</w:t>
            </w:r>
          </w:p>
        </w:tc>
      </w:tr>
      <w:tr w14:paraId="741794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620DCEFC">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5F48F64E">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冲身洗眼器</w:t>
            </w:r>
          </w:p>
        </w:tc>
        <w:tc>
          <w:tcPr>
            <w:tcW w:w="778" w:type="pct"/>
            <w:tcBorders>
              <w:tl2br w:val="nil"/>
              <w:tr2bl w:val="nil"/>
            </w:tcBorders>
            <w:vAlign w:val="center"/>
          </w:tcPr>
          <w:p w14:paraId="638B400A">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990" w:type="pct"/>
            <w:tcBorders>
              <w:tl2br w:val="nil"/>
              <w:tr2bl w:val="nil"/>
            </w:tcBorders>
            <w:vAlign w:val="center"/>
          </w:tcPr>
          <w:p w14:paraId="10D5543F">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台</w:t>
            </w:r>
          </w:p>
        </w:tc>
      </w:tr>
      <w:tr w14:paraId="7FF6FD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27A1663D">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5803AA8E">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lang w:val="en-US" w:eastAsia="zh-CN"/>
              </w:rPr>
              <w:t>35kg</w:t>
            </w:r>
            <w:r>
              <w:rPr>
                <w:rFonts w:hint="eastAsia" w:ascii="宋体" w:hAnsi="宋体" w:eastAsia="宋体" w:cs="宋体"/>
                <w:color w:val="000000" w:themeColor="text1"/>
                <w:spacing w:val="0"/>
                <w:sz w:val="21"/>
                <w:szCs w:val="21"/>
                <w:highlight w:val="none"/>
              </w:rPr>
              <w:t>推车式干粉灭火器</w:t>
            </w:r>
          </w:p>
        </w:tc>
        <w:tc>
          <w:tcPr>
            <w:tcW w:w="778" w:type="pct"/>
            <w:tcBorders>
              <w:tl2br w:val="nil"/>
              <w:tr2bl w:val="nil"/>
            </w:tcBorders>
            <w:vAlign w:val="center"/>
          </w:tcPr>
          <w:p w14:paraId="45EA8972">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990" w:type="pct"/>
            <w:tcBorders>
              <w:tl2br w:val="nil"/>
              <w:tr2bl w:val="nil"/>
            </w:tcBorders>
            <w:vAlign w:val="center"/>
          </w:tcPr>
          <w:p w14:paraId="49BFDC90">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只</w:t>
            </w:r>
          </w:p>
        </w:tc>
      </w:tr>
      <w:tr w14:paraId="331361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restart"/>
            <w:tcBorders>
              <w:tl2br w:val="nil"/>
              <w:tr2bl w:val="nil"/>
            </w:tcBorders>
            <w:vAlign w:val="center"/>
          </w:tcPr>
          <w:p w14:paraId="7EC65DDC">
            <w:pPr>
              <w:pStyle w:val="793"/>
              <w:widowControl w:val="0"/>
              <w:adjustRightInd w:val="0"/>
              <w:snapToGrid w:val="0"/>
              <w:spacing w:before="0"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pacing w:val="0"/>
                <w:sz w:val="21"/>
                <w:szCs w:val="21"/>
                <w:highlight w:val="none"/>
              </w:rPr>
              <w:t>保险粉储存</w:t>
            </w:r>
            <w:r>
              <w:rPr>
                <w:rFonts w:hint="eastAsia" w:ascii="宋体" w:hAnsi="宋体" w:eastAsia="宋体" w:cs="宋体"/>
                <w:color w:val="000000" w:themeColor="text1"/>
                <w:spacing w:val="0"/>
                <w:sz w:val="21"/>
                <w:szCs w:val="21"/>
                <w:highlight w:val="none"/>
                <w:lang w:eastAsia="zh-CN"/>
              </w:rPr>
              <w:t>间</w:t>
            </w:r>
          </w:p>
        </w:tc>
        <w:tc>
          <w:tcPr>
            <w:tcW w:w="2287" w:type="pct"/>
            <w:tcBorders>
              <w:tl2br w:val="nil"/>
              <w:tr2bl w:val="nil"/>
            </w:tcBorders>
            <w:vAlign w:val="center"/>
          </w:tcPr>
          <w:p w14:paraId="7D86524A">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消防沙</w:t>
            </w:r>
          </w:p>
        </w:tc>
        <w:tc>
          <w:tcPr>
            <w:tcW w:w="778" w:type="pct"/>
            <w:tcBorders>
              <w:tl2br w:val="nil"/>
              <w:tr2bl w:val="nil"/>
            </w:tcBorders>
            <w:vAlign w:val="center"/>
          </w:tcPr>
          <w:p w14:paraId="709CD651">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0.5</w:t>
            </w:r>
          </w:p>
        </w:tc>
        <w:tc>
          <w:tcPr>
            <w:tcW w:w="990" w:type="pct"/>
            <w:tcBorders>
              <w:tl2br w:val="nil"/>
              <w:tr2bl w:val="nil"/>
            </w:tcBorders>
            <w:vAlign w:val="center"/>
          </w:tcPr>
          <w:p w14:paraId="637EB9A0">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m</w:t>
            </w:r>
            <w:r>
              <w:rPr>
                <w:rFonts w:hint="eastAsia" w:ascii="宋体" w:hAnsi="宋体" w:eastAsia="宋体" w:cs="宋体"/>
                <w:color w:val="000000" w:themeColor="text1"/>
                <w:spacing w:val="0"/>
                <w:sz w:val="21"/>
                <w:szCs w:val="21"/>
                <w:highlight w:val="none"/>
                <w:vertAlign w:val="superscript"/>
              </w:rPr>
              <w:t>3</w:t>
            </w:r>
          </w:p>
        </w:tc>
      </w:tr>
      <w:tr w14:paraId="5797A2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37F13A9A">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3C19C751">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铁锹</w:t>
            </w:r>
          </w:p>
        </w:tc>
        <w:tc>
          <w:tcPr>
            <w:tcW w:w="778" w:type="pct"/>
            <w:tcBorders>
              <w:tl2br w:val="nil"/>
              <w:tr2bl w:val="nil"/>
            </w:tcBorders>
            <w:vAlign w:val="center"/>
          </w:tcPr>
          <w:p w14:paraId="5FBE3112">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990" w:type="pct"/>
            <w:tcBorders>
              <w:tl2br w:val="nil"/>
              <w:tr2bl w:val="nil"/>
            </w:tcBorders>
            <w:vAlign w:val="center"/>
          </w:tcPr>
          <w:p w14:paraId="64204E27">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把</w:t>
            </w:r>
          </w:p>
        </w:tc>
      </w:tr>
      <w:tr w14:paraId="443656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5ADFE756">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075FAA21">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lang w:val="en-US" w:eastAsia="zh-CN"/>
              </w:rPr>
              <w:t>35kg</w:t>
            </w:r>
            <w:r>
              <w:rPr>
                <w:rFonts w:hint="eastAsia" w:ascii="宋体" w:hAnsi="宋体" w:eastAsia="宋体" w:cs="宋体"/>
                <w:color w:val="000000" w:themeColor="text1"/>
                <w:spacing w:val="0"/>
                <w:sz w:val="21"/>
                <w:szCs w:val="21"/>
                <w:highlight w:val="none"/>
              </w:rPr>
              <w:t>推车式干粉灭火器</w:t>
            </w:r>
          </w:p>
        </w:tc>
        <w:tc>
          <w:tcPr>
            <w:tcW w:w="778" w:type="pct"/>
            <w:tcBorders>
              <w:tl2br w:val="nil"/>
              <w:tr2bl w:val="nil"/>
            </w:tcBorders>
            <w:vAlign w:val="center"/>
          </w:tcPr>
          <w:p w14:paraId="5CED90EA">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990" w:type="pct"/>
            <w:tcBorders>
              <w:tl2br w:val="nil"/>
              <w:tr2bl w:val="nil"/>
            </w:tcBorders>
            <w:vAlign w:val="center"/>
          </w:tcPr>
          <w:p w14:paraId="3F4E4B39">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只</w:t>
            </w:r>
          </w:p>
        </w:tc>
      </w:tr>
      <w:tr w14:paraId="2E04DB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622D3889">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7336107A">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防毒面罩（全面罩）</w:t>
            </w:r>
          </w:p>
        </w:tc>
        <w:tc>
          <w:tcPr>
            <w:tcW w:w="778" w:type="pct"/>
            <w:tcBorders>
              <w:tl2br w:val="nil"/>
              <w:tr2bl w:val="nil"/>
            </w:tcBorders>
            <w:vAlign w:val="center"/>
          </w:tcPr>
          <w:p w14:paraId="761551E5">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182566F5">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副</w:t>
            </w:r>
          </w:p>
        </w:tc>
      </w:tr>
      <w:tr w14:paraId="39C629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58C3449B">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51252A96">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滤毒盒（防酸防有机）</w:t>
            </w:r>
          </w:p>
        </w:tc>
        <w:tc>
          <w:tcPr>
            <w:tcW w:w="778" w:type="pct"/>
            <w:tcBorders>
              <w:tl2br w:val="nil"/>
              <w:tr2bl w:val="nil"/>
            </w:tcBorders>
            <w:vAlign w:val="center"/>
          </w:tcPr>
          <w:p w14:paraId="04EF6A9C">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459E6E8E">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副</w:t>
            </w:r>
          </w:p>
        </w:tc>
      </w:tr>
      <w:tr w14:paraId="409B5A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restart"/>
            <w:tcBorders>
              <w:tl2br w:val="nil"/>
              <w:tr2bl w:val="nil"/>
            </w:tcBorders>
            <w:vAlign w:val="center"/>
          </w:tcPr>
          <w:p w14:paraId="43DB9C1C">
            <w:pPr>
              <w:pStyle w:val="793"/>
              <w:widowControl w:val="0"/>
              <w:adjustRightInd w:val="0"/>
              <w:snapToGrid w:val="0"/>
              <w:spacing w:before="0"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val="en-US" w:eastAsia="zh-CN"/>
              </w:rPr>
              <w:t>氢氧化钠溶液</w:t>
            </w:r>
            <w:r>
              <w:rPr>
                <w:rFonts w:hint="eastAsia" w:ascii="宋体" w:hAnsi="宋体" w:eastAsia="宋体" w:cs="宋体"/>
                <w:color w:val="000000" w:themeColor="text1"/>
                <w:spacing w:val="0"/>
                <w:sz w:val="21"/>
                <w:szCs w:val="21"/>
                <w:highlight w:val="none"/>
              </w:rPr>
              <w:t>储罐</w:t>
            </w:r>
            <w:r>
              <w:rPr>
                <w:rFonts w:hint="eastAsia" w:ascii="宋体" w:hAnsi="宋体" w:eastAsia="宋体" w:cs="宋体"/>
                <w:color w:val="000000" w:themeColor="text1"/>
                <w:spacing w:val="0"/>
                <w:sz w:val="21"/>
                <w:szCs w:val="21"/>
                <w:highlight w:val="none"/>
                <w:lang w:eastAsia="zh-CN"/>
              </w:rPr>
              <w:t>区域</w:t>
            </w:r>
          </w:p>
        </w:tc>
        <w:tc>
          <w:tcPr>
            <w:tcW w:w="2287" w:type="pct"/>
            <w:tcBorders>
              <w:tl2br w:val="nil"/>
              <w:tr2bl w:val="nil"/>
            </w:tcBorders>
            <w:vAlign w:val="center"/>
          </w:tcPr>
          <w:p w14:paraId="58FCEC3D">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防喷溅面屏</w:t>
            </w:r>
          </w:p>
        </w:tc>
        <w:tc>
          <w:tcPr>
            <w:tcW w:w="778" w:type="pct"/>
            <w:tcBorders>
              <w:tl2br w:val="nil"/>
              <w:tr2bl w:val="nil"/>
            </w:tcBorders>
            <w:vAlign w:val="center"/>
          </w:tcPr>
          <w:p w14:paraId="26C6589E">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1343C375">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个</w:t>
            </w:r>
          </w:p>
        </w:tc>
      </w:tr>
      <w:tr w14:paraId="3BC17A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21ECF9C9">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58F987F0">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护目镜</w:t>
            </w:r>
          </w:p>
        </w:tc>
        <w:tc>
          <w:tcPr>
            <w:tcW w:w="778" w:type="pct"/>
            <w:tcBorders>
              <w:tl2br w:val="nil"/>
              <w:tr2bl w:val="nil"/>
            </w:tcBorders>
            <w:vAlign w:val="center"/>
          </w:tcPr>
          <w:p w14:paraId="1A1EDB8B">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08D04E3C">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副</w:t>
            </w:r>
          </w:p>
        </w:tc>
      </w:tr>
      <w:tr w14:paraId="67C835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300EBA54">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7E214F00">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防喷溅围裙</w:t>
            </w:r>
          </w:p>
        </w:tc>
        <w:tc>
          <w:tcPr>
            <w:tcW w:w="778" w:type="pct"/>
            <w:tcBorders>
              <w:tl2br w:val="nil"/>
              <w:tr2bl w:val="nil"/>
            </w:tcBorders>
            <w:vAlign w:val="center"/>
          </w:tcPr>
          <w:p w14:paraId="6D210866">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701C924D">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件</w:t>
            </w:r>
          </w:p>
        </w:tc>
      </w:tr>
      <w:tr w14:paraId="1A221B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515F4283">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12B5FB81">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防化手套</w:t>
            </w:r>
          </w:p>
        </w:tc>
        <w:tc>
          <w:tcPr>
            <w:tcW w:w="778" w:type="pct"/>
            <w:tcBorders>
              <w:tl2br w:val="nil"/>
              <w:tr2bl w:val="nil"/>
            </w:tcBorders>
            <w:vAlign w:val="center"/>
          </w:tcPr>
          <w:p w14:paraId="10F24D23">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473F4F55">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双</w:t>
            </w:r>
          </w:p>
        </w:tc>
      </w:tr>
      <w:tr w14:paraId="46CD4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66C6E7CE">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11B43162">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防化靴</w:t>
            </w:r>
          </w:p>
        </w:tc>
        <w:tc>
          <w:tcPr>
            <w:tcW w:w="778" w:type="pct"/>
            <w:tcBorders>
              <w:tl2br w:val="nil"/>
              <w:tr2bl w:val="nil"/>
            </w:tcBorders>
            <w:vAlign w:val="center"/>
          </w:tcPr>
          <w:p w14:paraId="2A675852">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990" w:type="pct"/>
            <w:tcBorders>
              <w:tl2br w:val="nil"/>
              <w:tr2bl w:val="nil"/>
            </w:tcBorders>
            <w:vAlign w:val="center"/>
          </w:tcPr>
          <w:p w14:paraId="593F136E">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双</w:t>
            </w:r>
          </w:p>
        </w:tc>
      </w:tr>
      <w:tr w14:paraId="3E290E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082EEF36">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771409E5">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消防沙</w:t>
            </w:r>
          </w:p>
        </w:tc>
        <w:tc>
          <w:tcPr>
            <w:tcW w:w="778" w:type="pct"/>
            <w:tcBorders>
              <w:tl2br w:val="nil"/>
              <w:tr2bl w:val="nil"/>
            </w:tcBorders>
            <w:vAlign w:val="center"/>
          </w:tcPr>
          <w:p w14:paraId="4FBF0FA2">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990" w:type="pct"/>
            <w:tcBorders>
              <w:tl2br w:val="nil"/>
              <w:tr2bl w:val="nil"/>
            </w:tcBorders>
            <w:vAlign w:val="center"/>
          </w:tcPr>
          <w:p w14:paraId="3F7188FA">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m</w:t>
            </w:r>
            <w:r>
              <w:rPr>
                <w:rFonts w:hint="eastAsia" w:ascii="宋体" w:hAnsi="宋体" w:eastAsia="宋体" w:cs="宋体"/>
                <w:color w:val="000000" w:themeColor="text1"/>
                <w:spacing w:val="0"/>
                <w:sz w:val="21"/>
                <w:szCs w:val="21"/>
                <w:highlight w:val="none"/>
                <w:vertAlign w:val="superscript"/>
              </w:rPr>
              <w:t>3</w:t>
            </w:r>
          </w:p>
        </w:tc>
      </w:tr>
      <w:tr w14:paraId="7BEF6B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0272E02E">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637C5981">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铁锹</w:t>
            </w:r>
          </w:p>
        </w:tc>
        <w:tc>
          <w:tcPr>
            <w:tcW w:w="778" w:type="pct"/>
            <w:tcBorders>
              <w:tl2br w:val="nil"/>
              <w:tr2bl w:val="nil"/>
            </w:tcBorders>
            <w:vAlign w:val="center"/>
          </w:tcPr>
          <w:p w14:paraId="4C8379F0">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990" w:type="pct"/>
            <w:tcBorders>
              <w:tl2br w:val="nil"/>
              <w:tr2bl w:val="nil"/>
            </w:tcBorders>
            <w:vAlign w:val="center"/>
          </w:tcPr>
          <w:p w14:paraId="108F8559">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把</w:t>
            </w:r>
          </w:p>
        </w:tc>
      </w:tr>
      <w:tr w14:paraId="13E28D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3A3CA3EA">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73381FE9">
            <w:pPr>
              <w:pStyle w:val="793"/>
              <w:widowControl w:val="0"/>
              <w:adjustRightInd w:val="0"/>
              <w:snapToGrid w:val="0"/>
              <w:spacing w:before="0" w:line="240" w:lineRule="auto"/>
              <w:ind w:left="0" w:leftChars="0"/>
              <w:jc w:val="center"/>
              <w:rPr>
                <w:rFonts w:hint="eastAsia" w:ascii="宋体" w:hAnsi="宋体" w:eastAsia="宋体" w:cs="宋体"/>
                <w:color w:val="000000" w:themeColor="text1"/>
                <w:sz w:val="21"/>
                <w:szCs w:val="21"/>
                <w:highlight w:val="none"/>
                <w:lang w:val="en-US" w:eastAsia="en-US" w:bidi="ar-SA"/>
              </w:rPr>
            </w:pPr>
            <w:r>
              <w:rPr>
                <w:rFonts w:hint="eastAsia" w:ascii="宋体" w:hAnsi="宋体" w:eastAsia="宋体" w:cs="宋体"/>
                <w:color w:val="000000" w:themeColor="text1"/>
                <w:spacing w:val="0"/>
                <w:sz w:val="21"/>
                <w:szCs w:val="21"/>
                <w:highlight w:val="none"/>
              </w:rPr>
              <w:t>化学吸液棉</w:t>
            </w:r>
          </w:p>
        </w:tc>
        <w:tc>
          <w:tcPr>
            <w:tcW w:w="778" w:type="pct"/>
            <w:tcBorders>
              <w:tl2br w:val="nil"/>
              <w:tr2bl w:val="nil"/>
            </w:tcBorders>
            <w:vAlign w:val="center"/>
          </w:tcPr>
          <w:p w14:paraId="4691CFE0">
            <w:pPr>
              <w:pStyle w:val="793"/>
              <w:widowControl w:val="0"/>
              <w:adjustRightInd w:val="0"/>
              <w:snapToGrid w:val="0"/>
              <w:spacing w:before="0" w:line="240" w:lineRule="auto"/>
              <w:ind w:left="0" w:leftChars="0"/>
              <w:jc w:val="center"/>
              <w:rPr>
                <w:rFonts w:hint="eastAsia" w:ascii="宋体" w:hAnsi="宋体" w:eastAsia="宋体" w:cs="宋体"/>
                <w:color w:val="000000" w:themeColor="text1"/>
                <w:sz w:val="21"/>
                <w:szCs w:val="21"/>
                <w:highlight w:val="none"/>
                <w:lang w:val="en-US" w:eastAsia="en-US" w:bidi="ar-SA"/>
              </w:rPr>
            </w:pPr>
            <w:r>
              <w:rPr>
                <w:rFonts w:hint="eastAsia" w:ascii="宋体" w:hAnsi="宋体" w:eastAsia="宋体" w:cs="宋体"/>
                <w:color w:val="000000" w:themeColor="text1"/>
                <w:sz w:val="21"/>
                <w:szCs w:val="21"/>
                <w:highlight w:val="none"/>
              </w:rPr>
              <w:t>5</w:t>
            </w:r>
          </w:p>
        </w:tc>
        <w:tc>
          <w:tcPr>
            <w:tcW w:w="990" w:type="pct"/>
            <w:tcBorders>
              <w:tl2br w:val="nil"/>
              <w:tr2bl w:val="nil"/>
            </w:tcBorders>
            <w:vAlign w:val="center"/>
          </w:tcPr>
          <w:p w14:paraId="6962E33F">
            <w:pPr>
              <w:pStyle w:val="793"/>
              <w:widowControl w:val="0"/>
              <w:adjustRightInd w:val="0"/>
              <w:snapToGrid w:val="0"/>
              <w:spacing w:before="0" w:line="240" w:lineRule="auto"/>
              <w:ind w:left="0" w:leftChars="0"/>
              <w:jc w:val="center"/>
              <w:rPr>
                <w:rFonts w:hint="eastAsia" w:ascii="宋体" w:hAnsi="宋体" w:eastAsia="宋体" w:cs="宋体"/>
                <w:color w:val="000000" w:themeColor="text1"/>
                <w:sz w:val="21"/>
                <w:szCs w:val="21"/>
                <w:highlight w:val="none"/>
                <w:lang w:val="en-US" w:eastAsia="en-US" w:bidi="ar-SA"/>
              </w:rPr>
            </w:pPr>
            <w:r>
              <w:rPr>
                <w:rFonts w:hint="eastAsia" w:ascii="宋体" w:hAnsi="宋体" w:eastAsia="宋体" w:cs="宋体"/>
                <w:color w:val="000000" w:themeColor="text1"/>
                <w:sz w:val="21"/>
                <w:szCs w:val="21"/>
                <w:highlight w:val="none"/>
              </w:rPr>
              <w:t>条</w:t>
            </w:r>
          </w:p>
        </w:tc>
      </w:tr>
      <w:tr w14:paraId="7E6F0C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restart"/>
            <w:tcBorders>
              <w:tl2br w:val="nil"/>
              <w:tr2bl w:val="nil"/>
            </w:tcBorders>
            <w:vAlign w:val="center"/>
          </w:tcPr>
          <w:p w14:paraId="537B1C31">
            <w:pPr>
              <w:pStyle w:val="793"/>
              <w:widowControl w:val="0"/>
              <w:adjustRightInd w:val="0"/>
              <w:snapToGrid w:val="0"/>
              <w:spacing w:before="0"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lang w:eastAsia="zh-CN"/>
              </w:rPr>
              <w:t>乙酸</w:t>
            </w:r>
            <w:r>
              <w:rPr>
                <w:rFonts w:hint="eastAsia" w:ascii="宋体" w:hAnsi="宋体" w:eastAsia="宋体" w:cs="宋体"/>
                <w:color w:val="000000" w:themeColor="text1"/>
                <w:spacing w:val="0"/>
                <w:sz w:val="21"/>
                <w:szCs w:val="21"/>
                <w:highlight w:val="none"/>
              </w:rPr>
              <w:t>分装区</w:t>
            </w:r>
          </w:p>
        </w:tc>
        <w:tc>
          <w:tcPr>
            <w:tcW w:w="2287" w:type="pct"/>
            <w:tcBorders>
              <w:tl2br w:val="nil"/>
              <w:tr2bl w:val="nil"/>
            </w:tcBorders>
            <w:vAlign w:val="center"/>
          </w:tcPr>
          <w:p w14:paraId="4851F97F">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C级防护衣</w:t>
            </w:r>
          </w:p>
        </w:tc>
        <w:tc>
          <w:tcPr>
            <w:tcW w:w="778" w:type="pct"/>
            <w:tcBorders>
              <w:tl2br w:val="nil"/>
              <w:tr2bl w:val="nil"/>
            </w:tcBorders>
            <w:vAlign w:val="center"/>
          </w:tcPr>
          <w:p w14:paraId="544CC996">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53AE9338">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件</w:t>
            </w:r>
          </w:p>
        </w:tc>
      </w:tr>
      <w:tr w14:paraId="56A70C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0E11DE83">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5D4F7597">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防毒面罩（全面罩）</w:t>
            </w:r>
          </w:p>
        </w:tc>
        <w:tc>
          <w:tcPr>
            <w:tcW w:w="778" w:type="pct"/>
            <w:tcBorders>
              <w:tl2br w:val="nil"/>
              <w:tr2bl w:val="nil"/>
            </w:tcBorders>
            <w:vAlign w:val="center"/>
          </w:tcPr>
          <w:p w14:paraId="54B61EAF">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48C3A256">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副</w:t>
            </w:r>
          </w:p>
        </w:tc>
      </w:tr>
      <w:tr w14:paraId="2421D8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0907C8F0">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6D075722">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滤毒盒（防酸防有机）</w:t>
            </w:r>
          </w:p>
        </w:tc>
        <w:tc>
          <w:tcPr>
            <w:tcW w:w="778" w:type="pct"/>
            <w:tcBorders>
              <w:tl2br w:val="nil"/>
              <w:tr2bl w:val="nil"/>
            </w:tcBorders>
            <w:vAlign w:val="center"/>
          </w:tcPr>
          <w:p w14:paraId="53AA2A01">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67BB4E48">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副</w:t>
            </w:r>
          </w:p>
        </w:tc>
      </w:tr>
      <w:tr w14:paraId="0020FD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16EAB523">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456C4061">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防化手套</w:t>
            </w:r>
          </w:p>
        </w:tc>
        <w:tc>
          <w:tcPr>
            <w:tcW w:w="778" w:type="pct"/>
            <w:tcBorders>
              <w:tl2br w:val="nil"/>
              <w:tr2bl w:val="nil"/>
            </w:tcBorders>
            <w:vAlign w:val="center"/>
          </w:tcPr>
          <w:p w14:paraId="692FE838">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41E0968B">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双</w:t>
            </w:r>
          </w:p>
        </w:tc>
      </w:tr>
      <w:tr w14:paraId="7C1B26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7818885C">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45915358">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防化靴</w:t>
            </w:r>
          </w:p>
        </w:tc>
        <w:tc>
          <w:tcPr>
            <w:tcW w:w="778" w:type="pct"/>
            <w:tcBorders>
              <w:tl2br w:val="nil"/>
              <w:tr2bl w:val="nil"/>
            </w:tcBorders>
            <w:vAlign w:val="center"/>
          </w:tcPr>
          <w:p w14:paraId="355E281B">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990" w:type="pct"/>
            <w:tcBorders>
              <w:tl2br w:val="nil"/>
              <w:tr2bl w:val="nil"/>
            </w:tcBorders>
            <w:vAlign w:val="center"/>
          </w:tcPr>
          <w:p w14:paraId="014D4635">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双</w:t>
            </w:r>
          </w:p>
        </w:tc>
      </w:tr>
      <w:tr w14:paraId="510864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604FCD01">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35E4B28D">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护目镜</w:t>
            </w:r>
          </w:p>
        </w:tc>
        <w:tc>
          <w:tcPr>
            <w:tcW w:w="778" w:type="pct"/>
            <w:tcBorders>
              <w:tl2br w:val="nil"/>
              <w:tr2bl w:val="nil"/>
            </w:tcBorders>
            <w:vAlign w:val="center"/>
          </w:tcPr>
          <w:p w14:paraId="67248636">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1B4C18BB">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副</w:t>
            </w:r>
          </w:p>
        </w:tc>
      </w:tr>
      <w:tr w14:paraId="1B7017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355F402E">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23E29645">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防酸防有机口罩</w:t>
            </w:r>
          </w:p>
        </w:tc>
        <w:tc>
          <w:tcPr>
            <w:tcW w:w="778" w:type="pct"/>
            <w:tcBorders>
              <w:tl2br w:val="nil"/>
              <w:tr2bl w:val="nil"/>
            </w:tcBorders>
            <w:vAlign w:val="center"/>
          </w:tcPr>
          <w:p w14:paraId="6621FF4E">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4FDCB3D5">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个</w:t>
            </w:r>
          </w:p>
        </w:tc>
      </w:tr>
      <w:tr w14:paraId="261291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4E66FA75">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4C14D4D0">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化学吸液棉条</w:t>
            </w:r>
          </w:p>
        </w:tc>
        <w:tc>
          <w:tcPr>
            <w:tcW w:w="778" w:type="pct"/>
            <w:tcBorders>
              <w:tl2br w:val="nil"/>
              <w:tr2bl w:val="nil"/>
            </w:tcBorders>
            <w:vAlign w:val="center"/>
          </w:tcPr>
          <w:p w14:paraId="046E0501">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990" w:type="pct"/>
            <w:tcBorders>
              <w:tl2br w:val="nil"/>
              <w:tr2bl w:val="nil"/>
            </w:tcBorders>
            <w:vAlign w:val="center"/>
          </w:tcPr>
          <w:p w14:paraId="5AF1A35C">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条</w:t>
            </w:r>
          </w:p>
        </w:tc>
      </w:tr>
      <w:tr w14:paraId="0661A4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713154CE">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63963668">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化学吸液面片</w:t>
            </w:r>
          </w:p>
        </w:tc>
        <w:tc>
          <w:tcPr>
            <w:tcW w:w="778" w:type="pct"/>
            <w:tcBorders>
              <w:tl2br w:val="nil"/>
              <w:tr2bl w:val="nil"/>
            </w:tcBorders>
            <w:vAlign w:val="center"/>
          </w:tcPr>
          <w:p w14:paraId="5B7250F1">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25</w:t>
            </w:r>
          </w:p>
        </w:tc>
        <w:tc>
          <w:tcPr>
            <w:tcW w:w="990" w:type="pct"/>
            <w:tcBorders>
              <w:tl2br w:val="nil"/>
              <w:tr2bl w:val="nil"/>
            </w:tcBorders>
            <w:vAlign w:val="center"/>
          </w:tcPr>
          <w:p w14:paraId="15EB529B">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片</w:t>
            </w:r>
          </w:p>
        </w:tc>
      </w:tr>
      <w:tr w14:paraId="2B7D73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1B1EBB1E">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42746905">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化学吸液棉枕</w:t>
            </w:r>
          </w:p>
        </w:tc>
        <w:tc>
          <w:tcPr>
            <w:tcW w:w="778" w:type="pct"/>
            <w:tcBorders>
              <w:tl2br w:val="nil"/>
              <w:tr2bl w:val="nil"/>
            </w:tcBorders>
            <w:vAlign w:val="center"/>
          </w:tcPr>
          <w:p w14:paraId="22AA5F34">
            <w:pPr>
              <w:pStyle w:val="793"/>
              <w:widowControl w:val="0"/>
              <w:adjustRightInd w:val="0"/>
              <w:snapToGrid w:val="0"/>
              <w:spacing w:before="0" w:line="240" w:lineRule="auto"/>
              <w:ind w:left="0" w:leftChars="0"/>
              <w:jc w:val="center"/>
              <w:rPr>
                <w:rFonts w:hint="eastAsia" w:ascii="宋体" w:hAnsi="宋体" w:eastAsia="宋体" w:cs="宋体"/>
                <w:color w:val="000000" w:themeColor="text1"/>
                <w:sz w:val="21"/>
                <w:szCs w:val="21"/>
                <w:highlight w:val="none"/>
                <w:lang w:val="en-US" w:eastAsia="en-US" w:bidi="ar-SA"/>
              </w:rPr>
            </w:pPr>
            <w:r>
              <w:rPr>
                <w:rFonts w:hint="eastAsia" w:ascii="宋体" w:hAnsi="宋体" w:eastAsia="宋体" w:cs="宋体"/>
                <w:color w:val="000000" w:themeColor="text1"/>
                <w:sz w:val="21"/>
                <w:szCs w:val="21"/>
                <w:highlight w:val="none"/>
              </w:rPr>
              <w:t>4</w:t>
            </w:r>
          </w:p>
        </w:tc>
        <w:tc>
          <w:tcPr>
            <w:tcW w:w="990" w:type="pct"/>
            <w:tcBorders>
              <w:tl2br w:val="nil"/>
              <w:tr2bl w:val="nil"/>
            </w:tcBorders>
            <w:vAlign w:val="center"/>
          </w:tcPr>
          <w:p w14:paraId="118A091B">
            <w:pPr>
              <w:pStyle w:val="793"/>
              <w:widowControl w:val="0"/>
              <w:adjustRightInd w:val="0"/>
              <w:snapToGrid w:val="0"/>
              <w:spacing w:before="0" w:line="240" w:lineRule="auto"/>
              <w:ind w:left="0" w:leftChars="0"/>
              <w:jc w:val="center"/>
              <w:rPr>
                <w:rFonts w:hint="eastAsia" w:ascii="宋体" w:hAnsi="宋体" w:eastAsia="宋体" w:cs="宋体"/>
                <w:color w:val="000000" w:themeColor="text1"/>
                <w:sz w:val="21"/>
                <w:szCs w:val="21"/>
                <w:highlight w:val="none"/>
                <w:lang w:val="en-US" w:eastAsia="en-US" w:bidi="ar-SA"/>
              </w:rPr>
            </w:pPr>
            <w:r>
              <w:rPr>
                <w:rFonts w:hint="eastAsia" w:ascii="宋体" w:hAnsi="宋体" w:eastAsia="宋体" w:cs="宋体"/>
                <w:color w:val="000000" w:themeColor="text1"/>
                <w:sz w:val="21"/>
                <w:szCs w:val="21"/>
                <w:highlight w:val="none"/>
              </w:rPr>
              <w:t>个</w:t>
            </w:r>
          </w:p>
        </w:tc>
      </w:tr>
      <w:tr w14:paraId="70C02D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restart"/>
            <w:tcBorders>
              <w:tl2br w:val="nil"/>
              <w:tr2bl w:val="nil"/>
            </w:tcBorders>
            <w:vAlign w:val="center"/>
          </w:tcPr>
          <w:p w14:paraId="4EB1E5F9">
            <w:pPr>
              <w:pStyle w:val="793"/>
              <w:widowControl w:val="0"/>
              <w:adjustRightInd w:val="0"/>
              <w:snapToGrid w:val="0"/>
              <w:spacing w:before="0"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highlight w:val="none"/>
              </w:rPr>
              <w:t>废水处理站</w:t>
            </w:r>
            <w:r>
              <w:rPr>
                <w:rFonts w:hint="eastAsia" w:ascii="宋体" w:hAnsi="宋体" w:eastAsia="宋体" w:cs="宋体"/>
                <w:color w:val="000000" w:themeColor="text1"/>
                <w:spacing w:val="0"/>
                <w:sz w:val="21"/>
                <w:szCs w:val="21"/>
                <w:highlight w:val="none"/>
              </w:rPr>
              <w:t>药剂房</w:t>
            </w:r>
          </w:p>
        </w:tc>
        <w:tc>
          <w:tcPr>
            <w:tcW w:w="2287" w:type="pct"/>
            <w:tcBorders>
              <w:tl2br w:val="nil"/>
              <w:tr2bl w:val="nil"/>
            </w:tcBorders>
            <w:vAlign w:val="center"/>
          </w:tcPr>
          <w:p w14:paraId="15391141">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C级防护衣</w:t>
            </w:r>
          </w:p>
        </w:tc>
        <w:tc>
          <w:tcPr>
            <w:tcW w:w="778" w:type="pct"/>
            <w:tcBorders>
              <w:tl2br w:val="nil"/>
              <w:tr2bl w:val="nil"/>
            </w:tcBorders>
            <w:vAlign w:val="center"/>
          </w:tcPr>
          <w:p w14:paraId="399534AA">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5219D286">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件</w:t>
            </w:r>
          </w:p>
        </w:tc>
      </w:tr>
      <w:tr w14:paraId="20C345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5F6AC027">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33594A0F">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防毒面罩（全面罩）</w:t>
            </w:r>
          </w:p>
        </w:tc>
        <w:tc>
          <w:tcPr>
            <w:tcW w:w="778" w:type="pct"/>
            <w:tcBorders>
              <w:tl2br w:val="nil"/>
              <w:tr2bl w:val="nil"/>
            </w:tcBorders>
            <w:vAlign w:val="center"/>
          </w:tcPr>
          <w:p w14:paraId="79A934CF">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36359119">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副</w:t>
            </w:r>
          </w:p>
        </w:tc>
      </w:tr>
      <w:tr w14:paraId="14A53B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753BB33D">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6906C63F">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滤毒盒（防酸防有机）</w:t>
            </w:r>
          </w:p>
        </w:tc>
        <w:tc>
          <w:tcPr>
            <w:tcW w:w="778" w:type="pct"/>
            <w:tcBorders>
              <w:tl2br w:val="nil"/>
              <w:tr2bl w:val="nil"/>
            </w:tcBorders>
            <w:vAlign w:val="center"/>
          </w:tcPr>
          <w:p w14:paraId="22A3DE73">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3F448D9E">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副</w:t>
            </w:r>
          </w:p>
        </w:tc>
      </w:tr>
      <w:tr w14:paraId="5F1E56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38057D73">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71D9C4AC">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防尘滤棉</w:t>
            </w:r>
          </w:p>
        </w:tc>
        <w:tc>
          <w:tcPr>
            <w:tcW w:w="778" w:type="pct"/>
            <w:tcBorders>
              <w:tl2br w:val="nil"/>
              <w:tr2bl w:val="nil"/>
            </w:tcBorders>
            <w:vAlign w:val="center"/>
          </w:tcPr>
          <w:p w14:paraId="09B032F8">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2B1B96A6">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副</w:t>
            </w:r>
          </w:p>
        </w:tc>
      </w:tr>
      <w:tr w14:paraId="176260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3CC8C85B">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3A6FBA95">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防化手套</w:t>
            </w:r>
          </w:p>
        </w:tc>
        <w:tc>
          <w:tcPr>
            <w:tcW w:w="778" w:type="pct"/>
            <w:tcBorders>
              <w:tl2br w:val="nil"/>
              <w:tr2bl w:val="nil"/>
            </w:tcBorders>
            <w:vAlign w:val="center"/>
          </w:tcPr>
          <w:p w14:paraId="052D28C3">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1A8C6876">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双</w:t>
            </w:r>
          </w:p>
        </w:tc>
      </w:tr>
      <w:tr w14:paraId="0FEBC8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20D17185">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2881FF8D">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防化靴</w:t>
            </w:r>
          </w:p>
        </w:tc>
        <w:tc>
          <w:tcPr>
            <w:tcW w:w="778" w:type="pct"/>
            <w:tcBorders>
              <w:tl2br w:val="nil"/>
              <w:tr2bl w:val="nil"/>
            </w:tcBorders>
            <w:vAlign w:val="center"/>
          </w:tcPr>
          <w:p w14:paraId="5562E5B9">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613E1BB0">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双</w:t>
            </w:r>
          </w:p>
        </w:tc>
      </w:tr>
      <w:tr w14:paraId="553B08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26738F03">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693BAAC7">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护目镜</w:t>
            </w:r>
          </w:p>
        </w:tc>
        <w:tc>
          <w:tcPr>
            <w:tcW w:w="778" w:type="pct"/>
            <w:tcBorders>
              <w:tl2br w:val="nil"/>
              <w:tr2bl w:val="nil"/>
            </w:tcBorders>
            <w:vAlign w:val="center"/>
          </w:tcPr>
          <w:p w14:paraId="13A3EC67">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1B0E49B6">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副</w:t>
            </w:r>
          </w:p>
        </w:tc>
      </w:tr>
      <w:tr w14:paraId="551EE9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47B2E953">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01931C68">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防酸防有机口罩</w:t>
            </w:r>
          </w:p>
        </w:tc>
        <w:tc>
          <w:tcPr>
            <w:tcW w:w="778" w:type="pct"/>
            <w:tcBorders>
              <w:tl2br w:val="nil"/>
              <w:tr2bl w:val="nil"/>
            </w:tcBorders>
            <w:vAlign w:val="center"/>
          </w:tcPr>
          <w:p w14:paraId="76FFF56D">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990" w:type="pct"/>
            <w:tcBorders>
              <w:tl2br w:val="nil"/>
              <w:tr2bl w:val="nil"/>
            </w:tcBorders>
            <w:vAlign w:val="center"/>
          </w:tcPr>
          <w:p w14:paraId="5B866F43">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个</w:t>
            </w:r>
          </w:p>
        </w:tc>
      </w:tr>
      <w:tr w14:paraId="51558D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45FCACA3">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797E485C">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化学吸液棉条</w:t>
            </w:r>
          </w:p>
        </w:tc>
        <w:tc>
          <w:tcPr>
            <w:tcW w:w="778" w:type="pct"/>
            <w:tcBorders>
              <w:tl2br w:val="nil"/>
              <w:tr2bl w:val="nil"/>
            </w:tcBorders>
            <w:vAlign w:val="center"/>
          </w:tcPr>
          <w:p w14:paraId="34F567CE">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w:t>
            </w:r>
          </w:p>
        </w:tc>
        <w:tc>
          <w:tcPr>
            <w:tcW w:w="990" w:type="pct"/>
            <w:tcBorders>
              <w:tl2br w:val="nil"/>
              <w:tr2bl w:val="nil"/>
            </w:tcBorders>
            <w:vAlign w:val="center"/>
          </w:tcPr>
          <w:p w14:paraId="118EAB4B">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条</w:t>
            </w:r>
          </w:p>
        </w:tc>
      </w:tr>
      <w:tr w14:paraId="5F75D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3D1FC20D">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2395A68A">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化学吸液面片</w:t>
            </w:r>
          </w:p>
        </w:tc>
        <w:tc>
          <w:tcPr>
            <w:tcW w:w="778" w:type="pct"/>
            <w:tcBorders>
              <w:tl2br w:val="nil"/>
              <w:tr2bl w:val="nil"/>
            </w:tcBorders>
            <w:vAlign w:val="center"/>
          </w:tcPr>
          <w:p w14:paraId="15590696">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25</w:t>
            </w:r>
          </w:p>
        </w:tc>
        <w:tc>
          <w:tcPr>
            <w:tcW w:w="990" w:type="pct"/>
            <w:tcBorders>
              <w:tl2br w:val="nil"/>
              <w:tr2bl w:val="nil"/>
            </w:tcBorders>
            <w:vAlign w:val="center"/>
          </w:tcPr>
          <w:p w14:paraId="1173DD39">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片</w:t>
            </w:r>
          </w:p>
        </w:tc>
      </w:tr>
      <w:tr w14:paraId="5D824E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485A7AC6">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456B5F8E">
            <w:pPr>
              <w:pStyle w:val="793"/>
              <w:widowControl w:val="0"/>
              <w:adjustRightInd w:val="0"/>
              <w:snapToGrid w:val="0"/>
              <w:spacing w:before="0" w:line="240" w:lineRule="auto"/>
              <w:ind w:left="0" w:leftChars="0"/>
              <w:jc w:val="center"/>
              <w:rPr>
                <w:rFonts w:hint="eastAsia" w:ascii="宋体" w:hAnsi="宋体" w:eastAsia="宋体" w:cs="宋体"/>
                <w:color w:val="000000" w:themeColor="text1"/>
                <w:sz w:val="21"/>
                <w:szCs w:val="21"/>
                <w:highlight w:val="none"/>
                <w:lang w:val="en-US" w:eastAsia="en-US" w:bidi="ar-SA"/>
              </w:rPr>
            </w:pPr>
            <w:r>
              <w:rPr>
                <w:rFonts w:hint="eastAsia" w:ascii="宋体" w:hAnsi="宋体" w:eastAsia="宋体" w:cs="宋体"/>
                <w:color w:val="000000" w:themeColor="text1"/>
                <w:spacing w:val="0"/>
                <w:sz w:val="21"/>
                <w:szCs w:val="21"/>
                <w:highlight w:val="none"/>
              </w:rPr>
              <w:t>化学吸液棉枕</w:t>
            </w:r>
          </w:p>
        </w:tc>
        <w:tc>
          <w:tcPr>
            <w:tcW w:w="778" w:type="pct"/>
            <w:tcBorders>
              <w:tl2br w:val="nil"/>
              <w:tr2bl w:val="nil"/>
            </w:tcBorders>
            <w:vAlign w:val="center"/>
          </w:tcPr>
          <w:p w14:paraId="498B5073">
            <w:pPr>
              <w:pStyle w:val="793"/>
              <w:widowControl w:val="0"/>
              <w:adjustRightInd w:val="0"/>
              <w:snapToGrid w:val="0"/>
              <w:spacing w:before="0" w:line="240" w:lineRule="auto"/>
              <w:ind w:left="0" w:leftChars="0"/>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4</w:t>
            </w:r>
          </w:p>
        </w:tc>
        <w:tc>
          <w:tcPr>
            <w:tcW w:w="990" w:type="pct"/>
            <w:tcBorders>
              <w:tl2br w:val="nil"/>
              <w:tr2bl w:val="nil"/>
            </w:tcBorders>
            <w:vAlign w:val="center"/>
          </w:tcPr>
          <w:p w14:paraId="183CD638">
            <w:pPr>
              <w:pStyle w:val="793"/>
              <w:widowControl w:val="0"/>
              <w:adjustRightInd w:val="0"/>
              <w:snapToGrid w:val="0"/>
              <w:spacing w:before="0" w:line="240" w:lineRule="auto"/>
              <w:ind w:left="0" w:leftChars="0"/>
              <w:jc w:val="center"/>
              <w:rPr>
                <w:rFonts w:hint="eastAsia" w:ascii="宋体" w:hAnsi="宋体" w:eastAsia="宋体" w:cs="宋体"/>
                <w:color w:val="000000" w:themeColor="text1"/>
                <w:sz w:val="21"/>
                <w:szCs w:val="21"/>
                <w:highlight w:val="none"/>
                <w:lang w:val="en-US" w:eastAsia="en-US" w:bidi="ar-SA"/>
              </w:rPr>
            </w:pPr>
            <w:r>
              <w:rPr>
                <w:rFonts w:hint="eastAsia" w:ascii="宋体" w:hAnsi="宋体" w:eastAsia="宋体" w:cs="宋体"/>
                <w:color w:val="000000" w:themeColor="text1"/>
                <w:sz w:val="21"/>
                <w:szCs w:val="21"/>
                <w:highlight w:val="none"/>
              </w:rPr>
              <w:t>个</w:t>
            </w:r>
          </w:p>
        </w:tc>
      </w:tr>
      <w:tr w14:paraId="1C263E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tcBorders>
              <w:tl2br w:val="nil"/>
              <w:tr2bl w:val="nil"/>
            </w:tcBorders>
            <w:vAlign w:val="center"/>
          </w:tcPr>
          <w:p w14:paraId="70A53AA3">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EHS</w:t>
            </w:r>
          </w:p>
        </w:tc>
        <w:tc>
          <w:tcPr>
            <w:tcW w:w="2287" w:type="pct"/>
            <w:tcBorders>
              <w:tl2br w:val="nil"/>
              <w:tr2bl w:val="nil"/>
            </w:tcBorders>
            <w:vAlign w:val="center"/>
          </w:tcPr>
          <w:p w14:paraId="2BDA539A">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便携式四合一气体检测仪</w:t>
            </w:r>
          </w:p>
        </w:tc>
        <w:tc>
          <w:tcPr>
            <w:tcW w:w="778" w:type="pct"/>
            <w:tcBorders>
              <w:tl2br w:val="nil"/>
              <w:tr2bl w:val="nil"/>
            </w:tcBorders>
            <w:vAlign w:val="center"/>
          </w:tcPr>
          <w:p w14:paraId="27A04BDD">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990" w:type="pct"/>
            <w:tcBorders>
              <w:tl2br w:val="nil"/>
              <w:tr2bl w:val="nil"/>
            </w:tcBorders>
            <w:vAlign w:val="center"/>
          </w:tcPr>
          <w:p w14:paraId="0DEB4126">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台</w:t>
            </w:r>
          </w:p>
        </w:tc>
      </w:tr>
      <w:tr w14:paraId="0E5B71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tcBorders>
              <w:tl2br w:val="nil"/>
              <w:tr2bl w:val="nil"/>
            </w:tcBorders>
            <w:vAlign w:val="center"/>
          </w:tcPr>
          <w:p w14:paraId="5E37EC2E">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人事行政部</w:t>
            </w:r>
          </w:p>
        </w:tc>
        <w:tc>
          <w:tcPr>
            <w:tcW w:w="2287" w:type="pct"/>
            <w:tcBorders>
              <w:tl2br w:val="nil"/>
              <w:tr2bl w:val="nil"/>
            </w:tcBorders>
            <w:vAlign w:val="center"/>
          </w:tcPr>
          <w:p w14:paraId="48E9A40D">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对讲机</w:t>
            </w:r>
          </w:p>
        </w:tc>
        <w:tc>
          <w:tcPr>
            <w:tcW w:w="778" w:type="pct"/>
            <w:tcBorders>
              <w:tl2br w:val="nil"/>
              <w:tr2bl w:val="nil"/>
            </w:tcBorders>
            <w:vAlign w:val="center"/>
          </w:tcPr>
          <w:p w14:paraId="5A8F8D8B">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11</w:t>
            </w:r>
          </w:p>
        </w:tc>
        <w:tc>
          <w:tcPr>
            <w:tcW w:w="990" w:type="pct"/>
            <w:tcBorders>
              <w:tl2br w:val="nil"/>
              <w:tr2bl w:val="nil"/>
            </w:tcBorders>
            <w:vAlign w:val="center"/>
          </w:tcPr>
          <w:p w14:paraId="51A5321D">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只</w:t>
            </w:r>
          </w:p>
        </w:tc>
      </w:tr>
      <w:tr w14:paraId="0F9939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restart"/>
            <w:tcBorders>
              <w:tl2br w:val="nil"/>
              <w:tr2bl w:val="nil"/>
            </w:tcBorders>
            <w:vAlign w:val="center"/>
          </w:tcPr>
          <w:p w14:paraId="7F54845A">
            <w:pPr>
              <w:pStyle w:val="793"/>
              <w:widowControl w:val="0"/>
              <w:adjustRightInd w:val="0"/>
              <w:snapToGrid w:val="0"/>
              <w:spacing w:before="0"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各车间</w:t>
            </w:r>
          </w:p>
        </w:tc>
        <w:tc>
          <w:tcPr>
            <w:tcW w:w="2287" w:type="pct"/>
            <w:tcBorders>
              <w:tl2br w:val="nil"/>
              <w:tr2bl w:val="nil"/>
            </w:tcBorders>
            <w:vAlign w:val="center"/>
          </w:tcPr>
          <w:p w14:paraId="3E04DA63">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安全帽</w:t>
            </w:r>
          </w:p>
        </w:tc>
        <w:tc>
          <w:tcPr>
            <w:tcW w:w="778" w:type="pct"/>
            <w:tcBorders>
              <w:tl2br w:val="nil"/>
              <w:tr2bl w:val="nil"/>
            </w:tcBorders>
            <w:vAlign w:val="center"/>
          </w:tcPr>
          <w:p w14:paraId="41678DEE">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64</w:t>
            </w:r>
          </w:p>
        </w:tc>
        <w:tc>
          <w:tcPr>
            <w:tcW w:w="990" w:type="pct"/>
            <w:tcBorders>
              <w:tl2br w:val="nil"/>
              <w:tr2bl w:val="nil"/>
            </w:tcBorders>
            <w:vAlign w:val="center"/>
          </w:tcPr>
          <w:p w14:paraId="6BAC92CB">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只</w:t>
            </w:r>
          </w:p>
        </w:tc>
      </w:tr>
      <w:tr w14:paraId="603A2A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3F2D034E">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074BDE62">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手持应急照明</w:t>
            </w:r>
          </w:p>
        </w:tc>
        <w:tc>
          <w:tcPr>
            <w:tcW w:w="778" w:type="pct"/>
            <w:tcBorders>
              <w:tl2br w:val="nil"/>
              <w:tr2bl w:val="nil"/>
            </w:tcBorders>
            <w:vAlign w:val="center"/>
          </w:tcPr>
          <w:p w14:paraId="4B6C4E35">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42</w:t>
            </w:r>
          </w:p>
        </w:tc>
        <w:tc>
          <w:tcPr>
            <w:tcW w:w="990" w:type="pct"/>
            <w:tcBorders>
              <w:tl2br w:val="nil"/>
              <w:tr2bl w:val="nil"/>
            </w:tcBorders>
            <w:vAlign w:val="center"/>
          </w:tcPr>
          <w:p w14:paraId="0069C659">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只</w:t>
            </w:r>
          </w:p>
        </w:tc>
      </w:tr>
      <w:tr w14:paraId="2B2C67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6EB58E96">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6670EDE4">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急救药箱</w:t>
            </w:r>
          </w:p>
        </w:tc>
        <w:tc>
          <w:tcPr>
            <w:tcW w:w="778" w:type="pct"/>
            <w:tcBorders>
              <w:tl2br w:val="nil"/>
              <w:tr2bl w:val="nil"/>
            </w:tcBorders>
            <w:vAlign w:val="center"/>
          </w:tcPr>
          <w:p w14:paraId="6E086249">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16</w:t>
            </w:r>
          </w:p>
        </w:tc>
        <w:tc>
          <w:tcPr>
            <w:tcW w:w="990" w:type="pct"/>
            <w:tcBorders>
              <w:tl2br w:val="nil"/>
              <w:tr2bl w:val="nil"/>
            </w:tcBorders>
            <w:vAlign w:val="center"/>
          </w:tcPr>
          <w:p w14:paraId="241108C1">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只</w:t>
            </w:r>
          </w:p>
        </w:tc>
      </w:tr>
      <w:tr w14:paraId="0C2089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restart"/>
            <w:tcBorders>
              <w:tl2br w:val="nil"/>
              <w:tr2bl w:val="nil"/>
            </w:tcBorders>
            <w:vAlign w:val="center"/>
          </w:tcPr>
          <w:p w14:paraId="35867B96">
            <w:pPr>
              <w:pStyle w:val="793"/>
              <w:widowControl w:val="0"/>
              <w:adjustRightInd w:val="0"/>
              <w:snapToGrid w:val="0"/>
              <w:spacing w:before="0"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厂区</w:t>
            </w:r>
          </w:p>
        </w:tc>
        <w:tc>
          <w:tcPr>
            <w:tcW w:w="2287" w:type="pct"/>
            <w:tcBorders>
              <w:tl2br w:val="nil"/>
              <w:tr2bl w:val="nil"/>
            </w:tcBorders>
            <w:vAlign w:val="center"/>
          </w:tcPr>
          <w:p w14:paraId="0C19CEAA">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二氧化碳灭火器</w:t>
            </w:r>
          </w:p>
        </w:tc>
        <w:tc>
          <w:tcPr>
            <w:tcW w:w="778" w:type="pct"/>
            <w:tcBorders>
              <w:tl2br w:val="nil"/>
              <w:tr2bl w:val="nil"/>
            </w:tcBorders>
            <w:vAlign w:val="center"/>
          </w:tcPr>
          <w:p w14:paraId="2BF13387">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89</w:t>
            </w:r>
          </w:p>
        </w:tc>
        <w:tc>
          <w:tcPr>
            <w:tcW w:w="990" w:type="pct"/>
            <w:tcBorders>
              <w:tl2br w:val="nil"/>
              <w:tr2bl w:val="nil"/>
            </w:tcBorders>
            <w:vAlign w:val="center"/>
          </w:tcPr>
          <w:p w14:paraId="27480497">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只</w:t>
            </w:r>
          </w:p>
        </w:tc>
      </w:tr>
      <w:tr w14:paraId="269DBE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765E323D">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00E93647">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干粉灭火机</w:t>
            </w:r>
          </w:p>
        </w:tc>
        <w:tc>
          <w:tcPr>
            <w:tcW w:w="778" w:type="pct"/>
            <w:tcBorders>
              <w:tl2br w:val="nil"/>
              <w:tr2bl w:val="nil"/>
            </w:tcBorders>
            <w:vAlign w:val="center"/>
          </w:tcPr>
          <w:p w14:paraId="4F636E7B">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731</w:t>
            </w:r>
          </w:p>
        </w:tc>
        <w:tc>
          <w:tcPr>
            <w:tcW w:w="990" w:type="pct"/>
            <w:tcBorders>
              <w:tl2br w:val="nil"/>
              <w:tr2bl w:val="nil"/>
            </w:tcBorders>
            <w:vAlign w:val="center"/>
          </w:tcPr>
          <w:p w14:paraId="7FEB1AE8">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只</w:t>
            </w:r>
          </w:p>
        </w:tc>
      </w:tr>
      <w:tr w14:paraId="7D90DF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7F9F8E3C">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2C849131">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lang w:val="en-US" w:eastAsia="zh-CN"/>
              </w:rPr>
              <w:t>35kg</w:t>
            </w:r>
            <w:r>
              <w:rPr>
                <w:rFonts w:hint="eastAsia" w:ascii="宋体" w:hAnsi="宋体" w:eastAsia="宋体" w:cs="宋体"/>
                <w:color w:val="000000" w:themeColor="text1"/>
                <w:sz w:val="21"/>
                <w:szCs w:val="21"/>
                <w:highlight w:val="none"/>
              </w:rPr>
              <w:t>手推式</w:t>
            </w:r>
            <w:r>
              <w:rPr>
                <w:rFonts w:hint="eastAsia" w:ascii="宋体" w:hAnsi="宋体" w:eastAsia="宋体" w:cs="宋体"/>
                <w:color w:val="000000" w:themeColor="text1"/>
                <w:sz w:val="21"/>
                <w:szCs w:val="21"/>
                <w:highlight w:val="none"/>
                <w:lang w:val="en-US" w:eastAsia="zh-CN"/>
              </w:rPr>
              <w:t>干粉</w:t>
            </w:r>
            <w:r>
              <w:rPr>
                <w:rFonts w:hint="eastAsia" w:ascii="宋体" w:hAnsi="宋体" w:eastAsia="宋体" w:cs="宋体"/>
                <w:color w:val="000000" w:themeColor="text1"/>
                <w:sz w:val="21"/>
                <w:szCs w:val="21"/>
                <w:highlight w:val="none"/>
              </w:rPr>
              <w:t>灭火器</w:t>
            </w:r>
          </w:p>
        </w:tc>
        <w:tc>
          <w:tcPr>
            <w:tcW w:w="778" w:type="pct"/>
            <w:tcBorders>
              <w:tl2br w:val="nil"/>
              <w:tr2bl w:val="nil"/>
            </w:tcBorders>
            <w:vAlign w:val="center"/>
          </w:tcPr>
          <w:p w14:paraId="550D57F1">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8</w:t>
            </w:r>
          </w:p>
        </w:tc>
        <w:tc>
          <w:tcPr>
            <w:tcW w:w="990" w:type="pct"/>
            <w:tcBorders>
              <w:tl2br w:val="nil"/>
              <w:tr2bl w:val="nil"/>
            </w:tcBorders>
            <w:vAlign w:val="center"/>
          </w:tcPr>
          <w:p w14:paraId="385783CB">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只</w:t>
            </w:r>
          </w:p>
        </w:tc>
      </w:tr>
      <w:tr w14:paraId="012D1C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2E1634EC">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44060204">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消防水带</w:t>
            </w:r>
          </w:p>
        </w:tc>
        <w:tc>
          <w:tcPr>
            <w:tcW w:w="778" w:type="pct"/>
            <w:tcBorders>
              <w:tl2br w:val="nil"/>
              <w:tr2bl w:val="nil"/>
            </w:tcBorders>
            <w:vAlign w:val="center"/>
          </w:tcPr>
          <w:p w14:paraId="4117F922">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149</w:t>
            </w:r>
          </w:p>
        </w:tc>
        <w:tc>
          <w:tcPr>
            <w:tcW w:w="990" w:type="pct"/>
            <w:tcBorders>
              <w:tl2br w:val="nil"/>
              <w:tr2bl w:val="nil"/>
            </w:tcBorders>
            <w:vAlign w:val="center"/>
          </w:tcPr>
          <w:p w14:paraId="651B2535">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只</w:t>
            </w:r>
          </w:p>
        </w:tc>
      </w:tr>
      <w:tr w14:paraId="044E1C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3D1509A1">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5546FE41">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室外消防栓</w:t>
            </w:r>
          </w:p>
        </w:tc>
        <w:tc>
          <w:tcPr>
            <w:tcW w:w="778" w:type="pct"/>
            <w:tcBorders>
              <w:tl2br w:val="nil"/>
              <w:tr2bl w:val="nil"/>
            </w:tcBorders>
            <w:vAlign w:val="center"/>
          </w:tcPr>
          <w:p w14:paraId="4DE1C5E8">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31</w:t>
            </w:r>
          </w:p>
        </w:tc>
        <w:tc>
          <w:tcPr>
            <w:tcW w:w="990" w:type="pct"/>
            <w:tcBorders>
              <w:tl2br w:val="nil"/>
              <w:tr2bl w:val="nil"/>
            </w:tcBorders>
            <w:vAlign w:val="center"/>
          </w:tcPr>
          <w:p w14:paraId="7F3D845F">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只</w:t>
            </w:r>
          </w:p>
        </w:tc>
      </w:tr>
      <w:tr w14:paraId="3EE6BF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43" w:type="pct"/>
            <w:vMerge w:val="continue"/>
            <w:tcBorders>
              <w:tl2br w:val="nil"/>
              <w:tr2bl w:val="nil"/>
            </w:tcBorders>
            <w:vAlign w:val="center"/>
          </w:tcPr>
          <w:p w14:paraId="6DB1A22B">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p>
        </w:tc>
        <w:tc>
          <w:tcPr>
            <w:tcW w:w="2287" w:type="pct"/>
            <w:tcBorders>
              <w:tl2br w:val="nil"/>
              <w:tr2bl w:val="nil"/>
            </w:tcBorders>
            <w:vAlign w:val="center"/>
          </w:tcPr>
          <w:p w14:paraId="1CDBC1A0">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pacing w:val="0"/>
                <w:sz w:val="21"/>
                <w:szCs w:val="21"/>
                <w:highlight w:val="none"/>
              </w:rPr>
              <w:t>电泵</w:t>
            </w:r>
          </w:p>
        </w:tc>
        <w:tc>
          <w:tcPr>
            <w:tcW w:w="778" w:type="pct"/>
            <w:tcBorders>
              <w:tl2br w:val="nil"/>
              <w:tr2bl w:val="nil"/>
            </w:tcBorders>
            <w:vAlign w:val="center"/>
          </w:tcPr>
          <w:p w14:paraId="6108B436">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990" w:type="pct"/>
            <w:tcBorders>
              <w:tl2br w:val="nil"/>
              <w:tr2bl w:val="nil"/>
            </w:tcBorders>
            <w:vAlign w:val="center"/>
          </w:tcPr>
          <w:p w14:paraId="05248647">
            <w:pPr>
              <w:pStyle w:val="793"/>
              <w:widowControl w:val="0"/>
              <w:adjustRightInd w:val="0"/>
              <w:snapToGrid w:val="0"/>
              <w:spacing w:before="0" w:line="240" w:lineRule="auto"/>
              <w:ind w:left="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台</w:t>
            </w:r>
          </w:p>
        </w:tc>
      </w:tr>
    </w:tbl>
    <w:p w14:paraId="44B1B677">
      <w:pPr>
        <w:keepNext w:val="0"/>
        <w:keepLines w:val="0"/>
        <w:pageBreakBefore w:val="0"/>
        <w:widowControl w:val="0"/>
        <w:numPr>
          <w:ilvl w:val="0"/>
          <w:numId w:val="24"/>
        </w:numPr>
        <w:kinsoku/>
        <w:wordWrap/>
        <w:overflowPunct/>
        <w:topLinePunct w:val="0"/>
        <w:autoSpaceDE/>
        <w:autoSpaceDN/>
        <w:bidi w:val="0"/>
        <w:adjustRightInd w:val="0"/>
        <w:snapToGrid w:val="0"/>
        <w:spacing w:before="164" w:beforeLines="50" w:line="360" w:lineRule="auto"/>
        <w:ind w:left="0" w:leftChars="0" w:firstLine="560" w:firstLineChars="200"/>
        <w:textAlignment w:val="auto"/>
        <w:rPr>
          <w:rFonts w:ascii="宋体" w:hAnsi="宋体"/>
          <w:color w:val="000000" w:themeColor="text1"/>
          <w:sz w:val="28"/>
          <w:szCs w:val="28"/>
          <w:highlight w:val="none"/>
        </w:rPr>
      </w:pPr>
      <w:r>
        <w:rPr>
          <w:rFonts w:hint="eastAsia" w:ascii="宋体" w:hAnsi="宋体"/>
          <w:color w:val="000000" w:themeColor="text1"/>
          <w:sz w:val="28"/>
          <w:szCs w:val="28"/>
          <w:highlight w:val="none"/>
        </w:rPr>
        <w:t>应急预案演练</w:t>
      </w:r>
    </w:p>
    <w:p w14:paraId="0FCB59B6">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left"/>
        <w:textAlignment w:val="auto"/>
        <w:rPr>
          <w:rFonts w:hint="eastAsia" w:ascii="宋体" w:hAnsi="宋体" w:cs="宋体"/>
          <w:color w:val="000000" w:themeColor="text1"/>
          <w:kern w:val="0"/>
          <w:sz w:val="28"/>
          <w:szCs w:val="28"/>
          <w:highlight w:val="none"/>
        </w:rPr>
      </w:pPr>
      <w:r>
        <w:rPr>
          <w:rFonts w:hint="eastAsia" w:ascii="宋体" w:hAnsi="宋体" w:cs="宋体"/>
          <w:color w:val="000000" w:themeColor="text1"/>
          <w:kern w:val="0"/>
          <w:sz w:val="28"/>
          <w:szCs w:val="28"/>
          <w:highlight w:val="none"/>
          <w:lang w:eastAsia="zh-CN"/>
        </w:rPr>
        <w:t>危险化学品</w:t>
      </w:r>
      <w:r>
        <w:rPr>
          <w:rFonts w:hint="eastAsia" w:ascii="宋体" w:hAnsi="宋体" w:cs="宋体"/>
          <w:color w:val="000000" w:themeColor="text1"/>
          <w:kern w:val="0"/>
          <w:sz w:val="28"/>
          <w:szCs w:val="28"/>
          <w:highlight w:val="none"/>
        </w:rPr>
        <w:t>应急预案</w:t>
      </w:r>
      <w:r>
        <w:rPr>
          <w:rFonts w:hint="eastAsia" w:ascii="宋体" w:hAnsi="宋体" w:cs="宋体"/>
          <w:color w:val="000000" w:themeColor="text1"/>
          <w:kern w:val="0"/>
          <w:sz w:val="28"/>
          <w:szCs w:val="28"/>
          <w:highlight w:val="none"/>
          <w:lang w:eastAsia="zh-CN"/>
        </w:rPr>
        <w:t>每半年</w:t>
      </w:r>
      <w:r>
        <w:rPr>
          <w:rFonts w:hint="eastAsia" w:ascii="宋体" w:hAnsi="宋体" w:cs="宋体"/>
          <w:color w:val="000000" w:themeColor="text1"/>
          <w:kern w:val="0"/>
          <w:sz w:val="28"/>
          <w:szCs w:val="28"/>
          <w:highlight w:val="none"/>
        </w:rPr>
        <w:t>演练</w:t>
      </w:r>
      <w:r>
        <w:rPr>
          <w:rFonts w:hint="eastAsia" w:ascii="宋体" w:hAnsi="宋体" w:cs="宋体"/>
          <w:color w:val="000000" w:themeColor="text1"/>
          <w:kern w:val="0"/>
          <w:sz w:val="28"/>
          <w:szCs w:val="28"/>
          <w:highlight w:val="none"/>
          <w:lang w:val="en-US" w:eastAsia="zh-CN"/>
        </w:rPr>
        <w:t>1次</w:t>
      </w:r>
      <w:r>
        <w:rPr>
          <w:rFonts w:hint="eastAsia" w:ascii="宋体" w:hAnsi="宋体" w:cs="宋体"/>
          <w:color w:val="000000" w:themeColor="text1"/>
          <w:kern w:val="0"/>
          <w:sz w:val="28"/>
          <w:szCs w:val="28"/>
          <w:highlight w:val="none"/>
        </w:rPr>
        <w:t>，</w:t>
      </w:r>
      <w:r>
        <w:rPr>
          <w:rFonts w:hint="eastAsia" w:ascii="宋体" w:hAnsi="宋体" w:cs="宋体"/>
          <w:color w:val="000000" w:themeColor="text1"/>
          <w:kern w:val="0"/>
          <w:sz w:val="28"/>
          <w:szCs w:val="28"/>
          <w:highlight w:val="none"/>
          <w:lang w:val="en-US" w:eastAsia="zh-CN"/>
        </w:rPr>
        <w:t>2023年演练台账见下表。</w:t>
      </w:r>
      <w:r>
        <w:rPr>
          <w:rFonts w:hint="eastAsia" w:ascii="宋体" w:hAnsi="宋体" w:cs="宋体"/>
          <w:color w:val="000000" w:themeColor="text1"/>
          <w:kern w:val="0"/>
          <w:sz w:val="28"/>
          <w:szCs w:val="28"/>
          <w:highlight w:val="none"/>
        </w:rPr>
        <w:t>演练记录</w:t>
      </w:r>
      <w:r>
        <w:rPr>
          <w:rFonts w:hint="eastAsia" w:ascii="宋体" w:hAnsi="宋体" w:cs="宋体"/>
          <w:color w:val="000000" w:themeColor="text1"/>
          <w:kern w:val="0"/>
          <w:sz w:val="28"/>
          <w:szCs w:val="28"/>
          <w:highlight w:val="none"/>
          <w:lang w:eastAsia="zh-CN"/>
        </w:rPr>
        <w:t>（样张）</w:t>
      </w:r>
      <w:r>
        <w:rPr>
          <w:rFonts w:hint="eastAsia" w:ascii="宋体" w:hAnsi="宋体" w:cs="宋体"/>
          <w:color w:val="000000" w:themeColor="text1"/>
          <w:kern w:val="0"/>
          <w:sz w:val="28"/>
          <w:szCs w:val="28"/>
          <w:highlight w:val="none"/>
        </w:rPr>
        <w:t>见附件。</w:t>
      </w:r>
    </w:p>
    <w:p w14:paraId="70572554">
      <w:pPr>
        <w:widowControl w:val="0"/>
        <w:adjustRightInd w:val="0"/>
        <w:snapToGrid w:val="0"/>
        <w:spacing w:line="360" w:lineRule="auto"/>
        <w:jc w:val="center"/>
        <w:rPr>
          <w:rFonts w:hint="eastAsia" w:ascii="黑体" w:hAnsi="黑体" w:eastAsia="黑体" w:cs="黑体"/>
          <w:b/>
          <w:bCs/>
          <w:color w:val="000000" w:themeColor="text1"/>
          <w:sz w:val="24"/>
          <w:szCs w:val="24"/>
          <w:highlight w:val="none"/>
          <w:lang w:val="en-US" w:eastAsia="zh-CN"/>
        </w:rPr>
      </w:pPr>
      <w:r>
        <w:rPr>
          <w:rFonts w:hint="eastAsia" w:ascii="黑体" w:hAnsi="黑体" w:eastAsia="黑体" w:cs="黑体"/>
          <w:b/>
          <w:bCs/>
          <w:color w:val="000000" w:themeColor="text1"/>
          <w:sz w:val="24"/>
          <w:szCs w:val="24"/>
          <w:highlight w:val="none"/>
          <w:lang w:val="en-US" w:eastAsia="zh-CN"/>
        </w:rPr>
        <w:t>表2.6-8 2023年演练台账</w:t>
      </w:r>
    </w:p>
    <w:tbl>
      <w:tblPr>
        <w:tblStyle w:val="6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6"/>
        <w:gridCol w:w="4305"/>
        <w:gridCol w:w="1875"/>
        <w:gridCol w:w="2337"/>
      </w:tblGrid>
      <w:tr w14:paraId="49518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Align w:val="center"/>
          </w:tcPr>
          <w:p w14:paraId="5BBA3C0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Theme="minorEastAsia"/>
                <w:b/>
                <w:bCs/>
                <w:color w:val="000000" w:themeColor="text1"/>
                <w:sz w:val="21"/>
                <w:szCs w:val="21"/>
                <w:highlight w:val="none"/>
                <w:vertAlign w:val="baseline"/>
                <w:lang w:eastAsia="zh-CN"/>
              </w:rPr>
            </w:pPr>
            <w:r>
              <w:rPr>
                <w:rFonts w:hint="eastAsia"/>
                <w:b/>
                <w:bCs/>
                <w:color w:val="000000" w:themeColor="text1"/>
                <w:sz w:val="21"/>
                <w:szCs w:val="21"/>
                <w:highlight w:val="none"/>
                <w:vertAlign w:val="baseline"/>
                <w:lang w:eastAsia="zh-CN"/>
              </w:rPr>
              <w:t>序号</w:t>
            </w:r>
          </w:p>
        </w:tc>
        <w:tc>
          <w:tcPr>
            <w:tcW w:w="2291" w:type="pct"/>
            <w:vAlign w:val="center"/>
          </w:tcPr>
          <w:p w14:paraId="474CC53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Theme="minorEastAsia"/>
                <w:b/>
                <w:bCs/>
                <w:color w:val="000000" w:themeColor="text1"/>
                <w:sz w:val="21"/>
                <w:szCs w:val="21"/>
                <w:highlight w:val="none"/>
                <w:vertAlign w:val="baseline"/>
                <w:lang w:eastAsia="zh-CN"/>
              </w:rPr>
            </w:pPr>
            <w:r>
              <w:rPr>
                <w:rFonts w:hint="eastAsia"/>
                <w:b/>
                <w:bCs/>
                <w:color w:val="000000" w:themeColor="text1"/>
                <w:sz w:val="21"/>
                <w:szCs w:val="21"/>
                <w:highlight w:val="none"/>
                <w:vertAlign w:val="baseline"/>
                <w:lang w:eastAsia="zh-CN"/>
              </w:rPr>
              <w:t>危化品应急预案</w:t>
            </w:r>
          </w:p>
        </w:tc>
        <w:tc>
          <w:tcPr>
            <w:tcW w:w="998" w:type="pct"/>
            <w:vAlign w:val="center"/>
          </w:tcPr>
          <w:p w14:paraId="207B280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Theme="minorEastAsia"/>
                <w:b/>
                <w:bCs/>
                <w:color w:val="000000" w:themeColor="text1"/>
                <w:sz w:val="21"/>
                <w:szCs w:val="21"/>
                <w:highlight w:val="none"/>
                <w:vertAlign w:val="baseline"/>
                <w:lang w:eastAsia="zh-CN"/>
              </w:rPr>
            </w:pPr>
            <w:r>
              <w:rPr>
                <w:rFonts w:hint="eastAsia"/>
                <w:b/>
                <w:bCs/>
                <w:color w:val="000000" w:themeColor="text1"/>
                <w:sz w:val="21"/>
                <w:szCs w:val="21"/>
                <w:highlight w:val="none"/>
                <w:vertAlign w:val="baseline"/>
                <w:lang w:eastAsia="zh-CN"/>
              </w:rPr>
              <w:t>演练时间</w:t>
            </w:r>
          </w:p>
        </w:tc>
        <w:tc>
          <w:tcPr>
            <w:tcW w:w="1244" w:type="pct"/>
            <w:vAlign w:val="center"/>
          </w:tcPr>
          <w:p w14:paraId="30FF083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Theme="minorEastAsia"/>
                <w:b/>
                <w:bCs/>
                <w:color w:val="000000" w:themeColor="text1"/>
                <w:sz w:val="21"/>
                <w:szCs w:val="21"/>
                <w:highlight w:val="none"/>
                <w:vertAlign w:val="baseline"/>
                <w:lang w:eastAsia="zh-CN"/>
              </w:rPr>
            </w:pPr>
            <w:r>
              <w:rPr>
                <w:rFonts w:hint="eastAsia"/>
                <w:b/>
                <w:bCs/>
                <w:color w:val="000000" w:themeColor="text1"/>
                <w:sz w:val="21"/>
                <w:szCs w:val="21"/>
                <w:highlight w:val="none"/>
                <w:vertAlign w:val="baseline"/>
                <w:lang w:eastAsia="zh-CN"/>
              </w:rPr>
              <w:t>备注</w:t>
            </w:r>
          </w:p>
        </w:tc>
      </w:tr>
      <w:tr w14:paraId="665B1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restart"/>
            <w:vAlign w:val="center"/>
          </w:tcPr>
          <w:p w14:paraId="118349AB">
            <w:pPr>
              <w:keepNext w:val="0"/>
              <w:keepLines w:val="0"/>
              <w:pageBreakBefore w:val="0"/>
              <w:widowControl w:val="0"/>
              <w:numPr>
                <w:ilvl w:val="0"/>
                <w:numId w:val="25"/>
              </w:numPr>
              <w:kinsoku/>
              <w:wordWrap/>
              <w:overflowPunct/>
              <w:topLinePunct w:val="0"/>
              <w:autoSpaceDE/>
              <w:autoSpaceDN/>
              <w:bidi w:val="0"/>
              <w:adjustRightInd w:val="0"/>
              <w:snapToGrid w:val="0"/>
              <w:spacing w:line="240" w:lineRule="auto"/>
              <w:ind w:left="0" w:leftChars="0" w:firstLine="0" w:firstLineChars="0"/>
              <w:jc w:val="center"/>
              <w:textAlignment w:val="auto"/>
              <w:rPr>
                <w:color w:val="000000" w:themeColor="text1"/>
                <w:sz w:val="21"/>
                <w:szCs w:val="21"/>
                <w:highlight w:val="none"/>
                <w:vertAlign w:val="baseline"/>
              </w:rPr>
            </w:pPr>
          </w:p>
        </w:tc>
        <w:tc>
          <w:tcPr>
            <w:tcW w:w="2291" w:type="pct"/>
            <w:vMerge w:val="restart"/>
            <w:vAlign w:val="center"/>
          </w:tcPr>
          <w:p w14:paraId="7863560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000000" w:themeColor="text1"/>
                <w:sz w:val="21"/>
                <w:szCs w:val="21"/>
                <w:highlight w:val="none"/>
                <w:vertAlign w:val="baseline"/>
              </w:rPr>
            </w:pPr>
            <w:r>
              <w:rPr>
                <w:rFonts w:hint="eastAsia"/>
                <w:color w:val="000000" w:themeColor="text1"/>
                <w:sz w:val="21"/>
                <w:szCs w:val="21"/>
                <w:highlight w:val="none"/>
                <w:lang w:eastAsia="zh-CN"/>
              </w:rPr>
              <w:t>《危险源事故专项应急预案》</w:t>
            </w:r>
          </w:p>
        </w:tc>
        <w:tc>
          <w:tcPr>
            <w:tcW w:w="998" w:type="pct"/>
            <w:vAlign w:val="center"/>
          </w:tcPr>
          <w:p w14:paraId="337E2E1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sz w:val="21"/>
                <w:szCs w:val="21"/>
                <w:highlight w:val="none"/>
                <w:vertAlign w:val="baseline"/>
              </w:rPr>
            </w:pPr>
            <w:r>
              <w:rPr>
                <w:rFonts w:hint="eastAsia" w:cs="宋体"/>
                <w:b w:val="0"/>
                <w:bCs w:val="0"/>
                <w:color w:val="000000" w:themeColor="text1"/>
                <w:sz w:val="21"/>
                <w:szCs w:val="21"/>
                <w:highlight w:val="none"/>
                <w:vertAlign w:val="baseline"/>
                <w:lang w:val="en-US" w:eastAsia="zh-CN"/>
              </w:rPr>
              <w:t>2023/2/17</w:t>
            </w:r>
          </w:p>
        </w:tc>
        <w:tc>
          <w:tcPr>
            <w:tcW w:w="1244" w:type="pct"/>
            <w:vAlign w:val="center"/>
          </w:tcPr>
          <w:p w14:paraId="1E8BF02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000000" w:themeColor="text1"/>
                <w:sz w:val="21"/>
                <w:szCs w:val="21"/>
                <w:highlight w:val="none"/>
                <w:vertAlign w:val="baseline"/>
              </w:rPr>
            </w:pPr>
          </w:p>
        </w:tc>
      </w:tr>
      <w:tr w14:paraId="45F81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14:paraId="40CCEB7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jc w:val="center"/>
              <w:textAlignment w:val="auto"/>
              <w:rPr>
                <w:color w:val="000000" w:themeColor="text1"/>
                <w:sz w:val="21"/>
                <w:szCs w:val="21"/>
                <w:highlight w:val="none"/>
                <w:vertAlign w:val="baseline"/>
              </w:rPr>
            </w:pPr>
          </w:p>
        </w:tc>
        <w:tc>
          <w:tcPr>
            <w:tcW w:w="2291" w:type="pct"/>
            <w:vMerge w:val="continue"/>
            <w:vAlign w:val="center"/>
          </w:tcPr>
          <w:p w14:paraId="06C4AB7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000000" w:themeColor="text1"/>
                <w:sz w:val="21"/>
                <w:szCs w:val="21"/>
                <w:highlight w:val="none"/>
                <w:lang w:eastAsia="zh-CN"/>
              </w:rPr>
            </w:pPr>
          </w:p>
        </w:tc>
        <w:tc>
          <w:tcPr>
            <w:tcW w:w="998" w:type="pct"/>
            <w:vAlign w:val="center"/>
          </w:tcPr>
          <w:p w14:paraId="33E5DA0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sz w:val="21"/>
                <w:szCs w:val="21"/>
                <w:highlight w:val="none"/>
                <w:vertAlign w:val="baseline"/>
              </w:rPr>
            </w:pPr>
            <w:r>
              <w:rPr>
                <w:rFonts w:hint="eastAsia" w:cs="宋体"/>
                <w:b w:val="0"/>
                <w:bCs w:val="0"/>
                <w:color w:val="000000" w:themeColor="text1"/>
                <w:sz w:val="21"/>
                <w:szCs w:val="21"/>
                <w:highlight w:val="none"/>
                <w:vertAlign w:val="baseline"/>
                <w:lang w:val="en-US" w:eastAsia="zh-CN"/>
              </w:rPr>
              <w:t>2023/12/27</w:t>
            </w:r>
          </w:p>
        </w:tc>
        <w:tc>
          <w:tcPr>
            <w:tcW w:w="1244" w:type="pct"/>
            <w:vAlign w:val="center"/>
          </w:tcPr>
          <w:p w14:paraId="6FE1583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000000" w:themeColor="text1"/>
                <w:sz w:val="21"/>
                <w:szCs w:val="21"/>
                <w:highlight w:val="none"/>
                <w:vertAlign w:val="baseline"/>
              </w:rPr>
            </w:pPr>
          </w:p>
        </w:tc>
      </w:tr>
      <w:tr w14:paraId="21F32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restart"/>
            <w:vAlign w:val="center"/>
          </w:tcPr>
          <w:p w14:paraId="3223874E">
            <w:pPr>
              <w:keepNext w:val="0"/>
              <w:keepLines w:val="0"/>
              <w:pageBreakBefore w:val="0"/>
              <w:widowControl w:val="0"/>
              <w:numPr>
                <w:ilvl w:val="0"/>
                <w:numId w:val="25"/>
              </w:numPr>
              <w:kinsoku/>
              <w:wordWrap/>
              <w:overflowPunct/>
              <w:topLinePunct w:val="0"/>
              <w:autoSpaceDE/>
              <w:autoSpaceDN/>
              <w:bidi w:val="0"/>
              <w:adjustRightInd w:val="0"/>
              <w:snapToGrid w:val="0"/>
              <w:spacing w:line="240" w:lineRule="auto"/>
              <w:ind w:left="0" w:leftChars="0" w:firstLine="0" w:firstLineChars="0"/>
              <w:jc w:val="center"/>
              <w:textAlignment w:val="auto"/>
              <w:rPr>
                <w:color w:val="000000" w:themeColor="text1"/>
                <w:sz w:val="21"/>
                <w:szCs w:val="21"/>
                <w:highlight w:val="none"/>
                <w:vertAlign w:val="baseline"/>
              </w:rPr>
            </w:pPr>
          </w:p>
        </w:tc>
        <w:tc>
          <w:tcPr>
            <w:tcW w:w="2291" w:type="pct"/>
            <w:vMerge w:val="restart"/>
            <w:vAlign w:val="center"/>
          </w:tcPr>
          <w:p w14:paraId="00BFBE02">
            <w:pPr>
              <w:widowControl w:val="0"/>
              <w:adjustRightInd w:val="0"/>
              <w:snapToGrid w:val="0"/>
              <w:spacing w:before="219" w:beforeLines="50" w:line="240" w:lineRule="auto"/>
              <w:jc w:val="center"/>
              <w:rPr>
                <w:color w:val="000000" w:themeColor="text1"/>
                <w:sz w:val="21"/>
                <w:szCs w:val="21"/>
                <w:highlight w:val="none"/>
                <w:vertAlign w:val="baseline"/>
              </w:rPr>
            </w:pPr>
            <w:r>
              <w:rPr>
                <w:rFonts w:hint="eastAsia"/>
                <w:color w:val="000000" w:themeColor="text1"/>
                <w:sz w:val="21"/>
                <w:szCs w:val="21"/>
                <w:highlight w:val="none"/>
                <w:lang w:eastAsia="zh-CN"/>
              </w:rPr>
              <w:t>《化学品存放处火灾事故现场处置方案》</w:t>
            </w:r>
          </w:p>
        </w:tc>
        <w:tc>
          <w:tcPr>
            <w:tcW w:w="998" w:type="pct"/>
            <w:vAlign w:val="center"/>
          </w:tcPr>
          <w:p w14:paraId="3B890D1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sz w:val="21"/>
                <w:szCs w:val="21"/>
                <w:highlight w:val="none"/>
                <w:vertAlign w:val="baseline"/>
              </w:rPr>
            </w:pPr>
            <w:r>
              <w:rPr>
                <w:rFonts w:hint="eastAsia" w:cs="宋体"/>
                <w:b w:val="0"/>
                <w:bCs w:val="0"/>
                <w:color w:val="000000" w:themeColor="text1"/>
                <w:sz w:val="21"/>
                <w:szCs w:val="21"/>
                <w:highlight w:val="none"/>
                <w:vertAlign w:val="baseline"/>
                <w:lang w:val="en-US" w:eastAsia="zh-CN"/>
              </w:rPr>
              <w:t>2023/3/10</w:t>
            </w:r>
          </w:p>
        </w:tc>
        <w:tc>
          <w:tcPr>
            <w:tcW w:w="1244" w:type="pct"/>
            <w:vAlign w:val="center"/>
          </w:tcPr>
          <w:p w14:paraId="2ED3B0B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000000" w:themeColor="text1"/>
                <w:sz w:val="21"/>
                <w:szCs w:val="21"/>
                <w:highlight w:val="none"/>
                <w:vertAlign w:val="baseline"/>
              </w:rPr>
            </w:pPr>
          </w:p>
        </w:tc>
      </w:tr>
      <w:tr w14:paraId="5B5FA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14:paraId="3E8B229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jc w:val="center"/>
              <w:textAlignment w:val="auto"/>
              <w:rPr>
                <w:color w:val="000000" w:themeColor="text1"/>
                <w:sz w:val="21"/>
                <w:szCs w:val="21"/>
                <w:highlight w:val="none"/>
                <w:vertAlign w:val="baseline"/>
              </w:rPr>
            </w:pPr>
          </w:p>
        </w:tc>
        <w:tc>
          <w:tcPr>
            <w:tcW w:w="2291" w:type="pct"/>
            <w:vMerge w:val="continue"/>
            <w:vAlign w:val="center"/>
          </w:tcPr>
          <w:p w14:paraId="3DE6E436">
            <w:pPr>
              <w:widowControl w:val="0"/>
              <w:adjustRightInd w:val="0"/>
              <w:snapToGrid w:val="0"/>
              <w:spacing w:before="219" w:beforeLines="50" w:line="240" w:lineRule="auto"/>
              <w:jc w:val="center"/>
              <w:rPr>
                <w:rFonts w:hint="eastAsia"/>
                <w:color w:val="000000" w:themeColor="text1"/>
                <w:sz w:val="21"/>
                <w:szCs w:val="21"/>
                <w:highlight w:val="none"/>
                <w:lang w:eastAsia="zh-CN"/>
              </w:rPr>
            </w:pPr>
          </w:p>
        </w:tc>
        <w:tc>
          <w:tcPr>
            <w:tcW w:w="998" w:type="pct"/>
            <w:vAlign w:val="center"/>
          </w:tcPr>
          <w:p w14:paraId="51E3C8C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000000" w:themeColor="text1"/>
                <w:sz w:val="21"/>
                <w:szCs w:val="21"/>
                <w:highlight w:val="none"/>
                <w:vertAlign w:val="baseline"/>
              </w:rPr>
            </w:pPr>
            <w:r>
              <w:rPr>
                <w:rFonts w:hint="eastAsia" w:cs="宋体"/>
                <w:b w:val="0"/>
                <w:bCs w:val="0"/>
                <w:color w:val="000000" w:themeColor="text1"/>
                <w:sz w:val="21"/>
                <w:szCs w:val="21"/>
                <w:highlight w:val="none"/>
                <w:vertAlign w:val="baseline"/>
                <w:lang w:val="en-US" w:eastAsia="zh-CN"/>
              </w:rPr>
              <w:t>2023/10/20</w:t>
            </w:r>
          </w:p>
        </w:tc>
        <w:tc>
          <w:tcPr>
            <w:tcW w:w="1244" w:type="pct"/>
            <w:vAlign w:val="center"/>
          </w:tcPr>
          <w:p w14:paraId="0564E2F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000000" w:themeColor="text1"/>
                <w:sz w:val="21"/>
                <w:szCs w:val="21"/>
                <w:highlight w:val="none"/>
                <w:vertAlign w:val="baseline"/>
              </w:rPr>
            </w:pPr>
          </w:p>
        </w:tc>
      </w:tr>
    </w:tbl>
    <w:p w14:paraId="0ED616EB">
      <w:pPr>
        <w:pStyle w:val="6"/>
        <w:keepNext w:val="0"/>
        <w:keepLines w:val="0"/>
        <w:pageBreakBefore w:val="0"/>
        <w:widowControl w:val="0"/>
        <w:kinsoku/>
        <w:wordWrap/>
        <w:overflowPunct/>
        <w:topLinePunct w:val="0"/>
        <w:autoSpaceDE/>
        <w:autoSpaceDN/>
        <w:bidi w:val="0"/>
        <w:adjustRightInd w:val="0"/>
        <w:snapToGrid w:val="0"/>
        <w:spacing w:before="164" w:beforeLines="50"/>
        <w:textAlignment w:val="auto"/>
        <w:rPr>
          <w:rFonts w:hAnsi="黑体"/>
          <w:color w:val="000000" w:themeColor="text1"/>
          <w:szCs w:val="28"/>
          <w:highlight w:val="none"/>
        </w:rPr>
      </w:pPr>
      <w:bookmarkStart w:id="333" w:name="_Toc12068"/>
      <w:bookmarkStart w:id="334" w:name="_Toc10961"/>
      <w:bookmarkStart w:id="335" w:name="_Toc5822"/>
      <w:bookmarkStart w:id="336" w:name="_Toc31472"/>
      <w:bookmarkStart w:id="337" w:name="_Toc24340"/>
      <w:bookmarkStart w:id="338" w:name="_Toc21547"/>
      <w:r>
        <w:rPr>
          <w:rFonts w:hAnsi="黑体"/>
          <w:color w:val="000000" w:themeColor="text1"/>
          <w:szCs w:val="28"/>
          <w:highlight w:val="none"/>
        </w:rPr>
        <w:t>2.</w:t>
      </w:r>
      <w:r>
        <w:rPr>
          <w:rFonts w:hint="eastAsia" w:hAnsi="黑体"/>
          <w:color w:val="000000" w:themeColor="text1"/>
          <w:szCs w:val="28"/>
          <w:highlight w:val="none"/>
          <w:lang w:val="en-US" w:eastAsia="zh-CN"/>
        </w:rPr>
        <w:t>7</w:t>
      </w:r>
      <w:r>
        <w:rPr>
          <w:rFonts w:hAnsi="黑体"/>
          <w:color w:val="000000" w:themeColor="text1"/>
          <w:szCs w:val="28"/>
          <w:highlight w:val="none"/>
        </w:rPr>
        <w:t xml:space="preserve"> 公用工程及辅助设施</w:t>
      </w:r>
      <w:bookmarkEnd w:id="333"/>
      <w:bookmarkEnd w:id="334"/>
      <w:bookmarkEnd w:id="335"/>
      <w:bookmarkEnd w:id="336"/>
      <w:bookmarkEnd w:id="337"/>
      <w:bookmarkEnd w:id="338"/>
    </w:p>
    <w:p w14:paraId="7C42016D">
      <w:pPr>
        <w:pStyle w:val="7"/>
        <w:keepNext w:val="0"/>
        <w:keepLines w:val="0"/>
        <w:pageBreakBefore w:val="0"/>
        <w:widowControl w:val="0"/>
        <w:kinsoku/>
        <w:wordWrap/>
        <w:overflowPunct/>
        <w:topLinePunct w:val="0"/>
        <w:autoSpaceDE/>
        <w:autoSpaceDN/>
        <w:bidi w:val="0"/>
        <w:adjustRightInd w:val="0"/>
        <w:snapToGrid w:val="0"/>
        <w:textAlignment w:val="auto"/>
        <w:rPr>
          <w:rFonts w:hAnsi="黑体"/>
          <w:b w:val="0"/>
          <w:bCs w:val="0"/>
          <w:color w:val="000000" w:themeColor="text1"/>
          <w:highlight w:val="none"/>
        </w:rPr>
      </w:pPr>
      <w:bookmarkStart w:id="339" w:name="_Toc19198"/>
      <w:bookmarkStart w:id="340" w:name="_Toc18120"/>
      <w:bookmarkStart w:id="341" w:name="_Toc30843"/>
      <w:bookmarkStart w:id="342" w:name="_Toc17236"/>
      <w:bookmarkStart w:id="343" w:name="_Toc13550"/>
      <w:bookmarkStart w:id="344" w:name="_Toc1347"/>
      <w:r>
        <w:rPr>
          <w:rFonts w:hAnsi="黑体"/>
          <w:color w:val="000000" w:themeColor="text1"/>
          <w:highlight w:val="none"/>
        </w:rPr>
        <w:t>2.</w:t>
      </w:r>
      <w:r>
        <w:rPr>
          <w:rFonts w:hint="eastAsia" w:hAnsi="黑体"/>
          <w:color w:val="000000" w:themeColor="text1"/>
          <w:highlight w:val="none"/>
          <w:lang w:val="en-US" w:eastAsia="zh-CN"/>
        </w:rPr>
        <w:t>7</w:t>
      </w:r>
      <w:r>
        <w:rPr>
          <w:rFonts w:hAnsi="黑体"/>
          <w:color w:val="000000" w:themeColor="text1"/>
          <w:highlight w:val="none"/>
        </w:rPr>
        <w:t>.1 给排水</w:t>
      </w:r>
      <w:bookmarkEnd w:id="339"/>
      <w:bookmarkEnd w:id="340"/>
      <w:bookmarkEnd w:id="341"/>
      <w:bookmarkEnd w:id="342"/>
      <w:bookmarkEnd w:id="343"/>
      <w:bookmarkEnd w:id="344"/>
      <w:r>
        <w:rPr>
          <w:rFonts w:hAnsi="黑体"/>
          <w:color w:val="000000" w:themeColor="text1"/>
          <w:highlight w:val="none"/>
        </w:rPr>
        <w:t xml:space="preserve"> </w:t>
      </w:r>
    </w:p>
    <w:p w14:paraId="0B59A045">
      <w:pPr>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firstLine="560" w:firstLineChars="200"/>
        <w:textAlignment w:val="auto"/>
        <w:rPr>
          <w:rFonts w:hint="eastAsia"/>
          <w:bCs/>
          <w:snapToGrid w:val="0"/>
          <w:color w:val="000000" w:themeColor="text1"/>
          <w:sz w:val="28"/>
          <w:szCs w:val="32"/>
          <w:highlight w:val="none"/>
        </w:rPr>
      </w:pPr>
      <w:r>
        <w:rPr>
          <w:rFonts w:hint="eastAsia"/>
          <w:bCs/>
          <w:snapToGrid w:val="0"/>
          <w:color w:val="000000" w:themeColor="text1"/>
          <w:sz w:val="28"/>
          <w:szCs w:val="32"/>
          <w:highlight w:val="none"/>
        </w:rPr>
        <w:t>给水</w:t>
      </w:r>
    </w:p>
    <w:p w14:paraId="56724472">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bCs/>
          <w:snapToGrid w:val="0"/>
          <w:color w:val="000000" w:themeColor="text1"/>
          <w:sz w:val="28"/>
          <w:szCs w:val="32"/>
          <w:highlight w:val="none"/>
        </w:rPr>
      </w:pPr>
      <w:r>
        <w:rPr>
          <w:rFonts w:hint="eastAsia"/>
          <w:bCs/>
          <w:snapToGrid w:val="0"/>
          <w:color w:val="000000" w:themeColor="text1"/>
          <w:sz w:val="28"/>
          <w:szCs w:val="32"/>
          <w:highlight w:val="none"/>
        </w:rPr>
        <w:t>华美线业现在厂区内生产、生活、消防用水由宁波自来水公司在宁镇线中开口供给，进厂给水总管直径为100</w:t>
      </w:r>
      <w:r>
        <w:rPr>
          <w:bCs/>
          <w:snapToGrid w:val="0"/>
          <w:color w:val="000000" w:themeColor="text1"/>
          <w:sz w:val="28"/>
          <w:szCs w:val="32"/>
          <w:highlight w:val="none"/>
        </w:rPr>
        <w:t>mm，自来水日耗量</w:t>
      </w:r>
      <w:r>
        <w:rPr>
          <w:rFonts w:hint="eastAsia"/>
          <w:bCs/>
          <w:snapToGrid w:val="0"/>
          <w:color w:val="000000" w:themeColor="text1"/>
          <w:sz w:val="28"/>
          <w:szCs w:val="32"/>
          <w:highlight w:val="none"/>
        </w:rPr>
        <w:t>1500</w:t>
      </w:r>
      <w:r>
        <w:rPr>
          <w:bCs/>
          <w:snapToGrid w:val="0"/>
          <w:color w:val="000000" w:themeColor="text1"/>
          <w:sz w:val="28"/>
          <w:szCs w:val="32"/>
          <w:highlight w:val="none"/>
        </w:rPr>
        <w:t xml:space="preserve">吨左右。 </w:t>
      </w:r>
    </w:p>
    <w:p w14:paraId="59C67E7C">
      <w:pPr>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firstLine="560" w:firstLineChars="200"/>
        <w:textAlignment w:val="auto"/>
        <w:rPr>
          <w:rFonts w:hint="eastAsia"/>
          <w:bCs/>
          <w:snapToGrid w:val="0"/>
          <w:color w:val="000000" w:themeColor="text1"/>
          <w:sz w:val="28"/>
          <w:szCs w:val="32"/>
          <w:highlight w:val="none"/>
        </w:rPr>
      </w:pPr>
      <w:r>
        <w:rPr>
          <w:rFonts w:hint="eastAsia"/>
          <w:bCs/>
          <w:snapToGrid w:val="0"/>
          <w:color w:val="000000" w:themeColor="text1"/>
          <w:sz w:val="28"/>
          <w:szCs w:val="32"/>
          <w:highlight w:val="none"/>
        </w:rPr>
        <w:t>排水</w:t>
      </w:r>
    </w:p>
    <w:p w14:paraId="06522DDC">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bCs/>
          <w:snapToGrid w:val="0"/>
          <w:color w:val="000000" w:themeColor="text1"/>
          <w:sz w:val="28"/>
          <w:szCs w:val="32"/>
          <w:highlight w:val="none"/>
        </w:rPr>
      </w:pPr>
      <w:r>
        <w:rPr>
          <w:rFonts w:hint="eastAsia"/>
          <w:bCs/>
          <w:snapToGrid w:val="0"/>
          <w:color w:val="000000" w:themeColor="text1"/>
          <w:sz w:val="28"/>
          <w:szCs w:val="32"/>
          <w:highlight w:val="none"/>
        </w:rPr>
        <w:t>华美线业排水采取清污分流，雨水直接排入厂区附近内河，生产、生活废水经企业自建污水处理系统处理达标后，用污水管道排入甬江，出水口已在</w:t>
      </w:r>
      <w:r>
        <w:rPr>
          <w:bCs/>
          <w:snapToGrid w:val="0"/>
          <w:color w:val="000000" w:themeColor="text1"/>
          <w:sz w:val="28"/>
          <w:szCs w:val="32"/>
          <w:highlight w:val="none"/>
        </w:rPr>
        <w:t xml:space="preserve"> 2002 </w:t>
      </w:r>
      <w:r>
        <w:rPr>
          <w:rFonts w:hint="eastAsia"/>
          <w:bCs/>
          <w:snapToGrid w:val="0"/>
          <w:color w:val="000000" w:themeColor="text1"/>
          <w:sz w:val="28"/>
          <w:szCs w:val="32"/>
          <w:highlight w:val="none"/>
        </w:rPr>
        <w:t>年安装了在线监测。</w:t>
      </w:r>
      <w:r>
        <w:rPr>
          <w:bCs/>
          <w:snapToGrid w:val="0"/>
          <w:color w:val="000000" w:themeColor="text1"/>
          <w:sz w:val="28"/>
          <w:szCs w:val="32"/>
          <w:highlight w:val="none"/>
        </w:rPr>
        <w:t xml:space="preserve"> </w:t>
      </w:r>
    </w:p>
    <w:p w14:paraId="313E4DA6">
      <w:pPr>
        <w:pStyle w:val="7"/>
        <w:keepNext w:val="0"/>
        <w:keepLines w:val="0"/>
        <w:pageBreakBefore w:val="0"/>
        <w:widowControl w:val="0"/>
        <w:kinsoku/>
        <w:wordWrap/>
        <w:overflowPunct/>
        <w:topLinePunct w:val="0"/>
        <w:autoSpaceDE/>
        <w:autoSpaceDN/>
        <w:bidi w:val="0"/>
        <w:adjustRightInd w:val="0"/>
        <w:snapToGrid w:val="0"/>
        <w:textAlignment w:val="auto"/>
        <w:rPr>
          <w:rFonts w:hAnsi="黑体"/>
          <w:b w:val="0"/>
          <w:bCs w:val="0"/>
          <w:color w:val="000000" w:themeColor="text1"/>
          <w:highlight w:val="none"/>
        </w:rPr>
      </w:pPr>
      <w:bookmarkStart w:id="345" w:name="_Toc19080"/>
      <w:bookmarkStart w:id="346" w:name="_Toc29680"/>
      <w:bookmarkStart w:id="347" w:name="_Toc23254"/>
      <w:bookmarkStart w:id="348" w:name="_Toc30907"/>
      <w:bookmarkStart w:id="349" w:name="_Toc7953"/>
      <w:bookmarkStart w:id="350" w:name="_Toc12549"/>
      <w:r>
        <w:rPr>
          <w:rFonts w:hAnsi="黑体"/>
          <w:color w:val="000000" w:themeColor="text1"/>
          <w:highlight w:val="none"/>
        </w:rPr>
        <w:t>2.</w:t>
      </w:r>
      <w:r>
        <w:rPr>
          <w:rFonts w:hint="eastAsia" w:hAnsi="黑体"/>
          <w:color w:val="000000" w:themeColor="text1"/>
          <w:highlight w:val="none"/>
          <w:lang w:val="en-US" w:eastAsia="zh-CN"/>
        </w:rPr>
        <w:t>7</w:t>
      </w:r>
      <w:r>
        <w:rPr>
          <w:rFonts w:hAnsi="黑体"/>
          <w:color w:val="000000" w:themeColor="text1"/>
          <w:highlight w:val="none"/>
        </w:rPr>
        <w:t>.2 供电</w:t>
      </w:r>
      <w:bookmarkEnd w:id="345"/>
      <w:bookmarkEnd w:id="346"/>
      <w:bookmarkEnd w:id="347"/>
      <w:bookmarkEnd w:id="348"/>
      <w:bookmarkEnd w:id="349"/>
      <w:bookmarkEnd w:id="350"/>
      <w:r>
        <w:rPr>
          <w:rFonts w:hAnsi="黑体"/>
          <w:color w:val="000000" w:themeColor="text1"/>
          <w:highlight w:val="none"/>
        </w:rPr>
        <w:t xml:space="preserve"> </w:t>
      </w:r>
    </w:p>
    <w:p w14:paraId="2222482E">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bCs/>
          <w:snapToGrid w:val="0"/>
          <w:color w:val="000000" w:themeColor="text1"/>
          <w:sz w:val="28"/>
          <w:szCs w:val="32"/>
          <w:highlight w:val="none"/>
        </w:rPr>
      </w:pPr>
      <w:r>
        <w:rPr>
          <w:rFonts w:hint="eastAsia"/>
          <w:bCs/>
          <w:snapToGrid w:val="0"/>
          <w:color w:val="000000" w:themeColor="text1"/>
          <w:sz w:val="28"/>
          <w:szCs w:val="32"/>
          <w:highlight w:val="none"/>
        </w:rPr>
        <w:t>华美线业总变压器装机容量为</w:t>
      </w:r>
      <w:r>
        <w:rPr>
          <w:bCs/>
          <w:snapToGrid w:val="0"/>
          <w:color w:val="000000" w:themeColor="text1"/>
          <w:sz w:val="28"/>
          <w:szCs w:val="32"/>
          <w:highlight w:val="none"/>
        </w:rPr>
        <w:t>6245KW</w:t>
      </w:r>
      <w:r>
        <w:rPr>
          <w:rFonts w:hint="eastAsia"/>
          <w:bCs/>
          <w:snapToGrid w:val="0"/>
          <w:color w:val="000000" w:themeColor="text1"/>
          <w:sz w:val="28"/>
          <w:szCs w:val="32"/>
          <w:highlight w:val="none"/>
          <w:lang w:eastAsia="zh-CN"/>
        </w:rPr>
        <w:t>，</w:t>
      </w:r>
      <w:r>
        <w:rPr>
          <w:bCs/>
          <w:snapToGrid w:val="0"/>
          <w:color w:val="000000" w:themeColor="text1"/>
          <w:sz w:val="28"/>
          <w:szCs w:val="32"/>
          <w:highlight w:val="none"/>
        </w:rPr>
        <w:t>实际用量为3600KW。10KV进线通过高</w:t>
      </w:r>
      <w:r>
        <w:rPr>
          <w:rFonts w:hint="eastAsia"/>
          <w:bCs/>
          <w:snapToGrid w:val="0"/>
          <w:color w:val="000000" w:themeColor="text1"/>
          <w:sz w:val="28"/>
          <w:szCs w:val="32"/>
          <w:highlight w:val="none"/>
        </w:rPr>
        <w:t>配，将</w:t>
      </w:r>
      <w:r>
        <w:rPr>
          <w:bCs/>
          <w:snapToGrid w:val="0"/>
          <w:color w:val="000000" w:themeColor="text1"/>
          <w:sz w:val="28"/>
          <w:szCs w:val="32"/>
          <w:highlight w:val="none"/>
        </w:rPr>
        <w:t>10KV高压送至各车间变压器，变压为380V主低压电，通过低压配电室</w:t>
      </w:r>
      <w:r>
        <w:rPr>
          <w:rFonts w:hint="eastAsia"/>
          <w:bCs/>
          <w:snapToGrid w:val="0"/>
          <w:color w:val="000000" w:themeColor="text1"/>
          <w:sz w:val="28"/>
          <w:szCs w:val="32"/>
          <w:highlight w:val="none"/>
        </w:rPr>
        <w:t>变送至各用电设备，采用集中加就地补偿结合的功率因数补偿方式，确保功率因数在</w:t>
      </w:r>
      <w:r>
        <w:rPr>
          <w:bCs/>
          <w:snapToGrid w:val="0"/>
          <w:color w:val="000000" w:themeColor="text1"/>
          <w:sz w:val="28"/>
          <w:szCs w:val="32"/>
          <w:highlight w:val="none"/>
        </w:rPr>
        <w:t xml:space="preserve">0.92以上。年用电总量为2860万KWH左右。 </w:t>
      </w:r>
    </w:p>
    <w:p w14:paraId="7CA832AA">
      <w:pPr>
        <w:pStyle w:val="7"/>
        <w:keepNext w:val="0"/>
        <w:keepLines w:val="0"/>
        <w:pageBreakBefore w:val="0"/>
        <w:widowControl w:val="0"/>
        <w:kinsoku/>
        <w:wordWrap/>
        <w:overflowPunct/>
        <w:topLinePunct w:val="0"/>
        <w:autoSpaceDE/>
        <w:autoSpaceDN/>
        <w:bidi w:val="0"/>
        <w:adjustRightInd w:val="0"/>
        <w:snapToGrid w:val="0"/>
        <w:textAlignment w:val="auto"/>
        <w:rPr>
          <w:rFonts w:ascii="黑体" w:hAnsi="黑体" w:eastAsia="黑体"/>
          <w:b/>
          <w:bCs w:val="0"/>
          <w:color w:val="000000" w:themeColor="text1"/>
          <w:sz w:val="28"/>
          <w:highlight w:val="none"/>
          <w:lang w:val="en-GB"/>
        </w:rPr>
      </w:pPr>
      <w:bookmarkStart w:id="351" w:name="_Toc3148"/>
      <w:bookmarkStart w:id="352" w:name="_Toc18193"/>
      <w:bookmarkStart w:id="353" w:name="_Toc31021"/>
      <w:bookmarkStart w:id="354" w:name="_Toc19513"/>
      <w:bookmarkStart w:id="355" w:name="_Toc2525"/>
      <w:bookmarkStart w:id="356" w:name="_Toc12982"/>
      <w:bookmarkStart w:id="357" w:name="_Toc4525"/>
      <w:bookmarkStart w:id="358" w:name="_Toc22811"/>
      <w:bookmarkStart w:id="359" w:name="_Toc25504"/>
      <w:bookmarkStart w:id="360" w:name="_Toc10174"/>
      <w:bookmarkStart w:id="361" w:name="_Toc29318"/>
      <w:bookmarkStart w:id="362" w:name="_Toc32400"/>
      <w:r>
        <w:rPr>
          <w:rFonts w:hint="eastAsia" w:ascii="黑体" w:hAnsi="黑体" w:eastAsia="黑体"/>
          <w:b/>
          <w:bCs w:val="0"/>
          <w:color w:val="000000" w:themeColor="text1"/>
          <w:sz w:val="28"/>
          <w:highlight w:val="none"/>
          <w:lang w:val="en-GB"/>
        </w:rPr>
        <w:t>2.</w:t>
      </w:r>
      <w:r>
        <w:rPr>
          <w:rFonts w:hint="eastAsia" w:hAnsi="黑体"/>
          <w:b/>
          <w:bCs w:val="0"/>
          <w:color w:val="000000" w:themeColor="text1"/>
          <w:sz w:val="28"/>
          <w:highlight w:val="none"/>
          <w:lang w:val="en-US" w:eastAsia="zh-CN"/>
        </w:rPr>
        <w:t>7</w:t>
      </w:r>
      <w:r>
        <w:rPr>
          <w:rFonts w:hint="eastAsia" w:ascii="黑体" w:hAnsi="黑体" w:eastAsia="黑体"/>
          <w:b/>
          <w:bCs w:val="0"/>
          <w:color w:val="000000" w:themeColor="text1"/>
          <w:sz w:val="28"/>
          <w:highlight w:val="none"/>
          <w:lang w:val="en-GB"/>
        </w:rPr>
        <w:t>.</w:t>
      </w:r>
      <w:r>
        <w:rPr>
          <w:rFonts w:hint="eastAsia" w:hAnsi="黑体"/>
          <w:b/>
          <w:bCs w:val="0"/>
          <w:color w:val="000000" w:themeColor="text1"/>
          <w:sz w:val="28"/>
          <w:highlight w:val="none"/>
          <w:lang w:val="en-US" w:eastAsia="zh-CN"/>
        </w:rPr>
        <w:t xml:space="preserve">4 </w:t>
      </w:r>
      <w:r>
        <w:rPr>
          <w:rFonts w:hint="eastAsia" w:ascii="黑体" w:hAnsi="黑体" w:eastAsia="黑体"/>
          <w:b/>
          <w:bCs w:val="0"/>
          <w:color w:val="000000" w:themeColor="text1"/>
          <w:sz w:val="28"/>
          <w:highlight w:val="none"/>
          <w:lang w:val="en-GB"/>
        </w:rPr>
        <w:t>消防</w:t>
      </w:r>
      <w:bookmarkEnd w:id="351"/>
      <w:bookmarkEnd w:id="352"/>
      <w:bookmarkEnd w:id="353"/>
      <w:bookmarkEnd w:id="354"/>
      <w:bookmarkEnd w:id="355"/>
      <w:bookmarkEnd w:id="356"/>
      <w:bookmarkEnd w:id="357"/>
      <w:bookmarkEnd w:id="358"/>
      <w:bookmarkEnd w:id="359"/>
      <w:bookmarkEnd w:id="360"/>
      <w:bookmarkEnd w:id="361"/>
      <w:bookmarkEnd w:id="362"/>
    </w:p>
    <w:p w14:paraId="4212EEE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cs="宋体"/>
          <w:color w:val="000000" w:themeColor="text1"/>
          <w:kern w:val="0"/>
          <w:sz w:val="28"/>
          <w:szCs w:val="28"/>
          <w:highlight w:val="none"/>
        </w:rPr>
      </w:pPr>
      <w:r>
        <w:rPr>
          <w:rFonts w:hint="eastAsia"/>
          <w:bCs/>
          <w:snapToGrid w:val="0"/>
          <w:color w:val="000000" w:themeColor="text1"/>
          <w:sz w:val="28"/>
          <w:szCs w:val="28"/>
          <w:highlight w:val="none"/>
        </w:rPr>
        <w:t>华美线业</w:t>
      </w:r>
      <w:r>
        <w:rPr>
          <w:rFonts w:hint="eastAsia" w:cs="宋体"/>
          <w:color w:val="000000" w:themeColor="text1"/>
          <w:kern w:val="0"/>
          <w:sz w:val="28"/>
          <w:szCs w:val="28"/>
          <w:highlight w:val="none"/>
        </w:rPr>
        <w:t>设有干粉灭火器、室外消火栓，消防水由市政水供应。涉及危化品场所消防设施具体设置情况见下表。</w:t>
      </w:r>
    </w:p>
    <w:p w14:paraId="7190B967">
      <w:pPr>
        <w:widowControl w:val="0"/>
        <w:adjustRightInd w:val="0"/>
        <w:snapToGrid w:val="0"/>
        <w:spacing w:line="360" w:lineRule="auto"/>
        <w:jc w:val="center"/>
        <w:rPr>
          <w:rFonts w:hint="eastAsia" w:ascii="黑体" w:hAnsi="黑体" w:eastAsia="黑体" w:cs="黑体"/>
          <w:b/>
          <w:bCs/>
          <w:color w:val="000000" w:themeColor="text1"/>
          <w:kern w:val="0"/>
          <w:sz w:val="24"/>
          <w:szCs w:val="24"/>
          <w:highlight w:val="none"/>
          <w:lang w:eastAsia="zh-CN"/>
        </w:rPr>
      </w:pPr>
      <w:r>
        <w:rPr>
          <w:rFonts w:hint="eastAsia" w:ascii="黑体" w:hAnsi="黑体" w:eastAsia="黑体" w:cs="黑体"/>
          <w:b/>
          <w:bCs/>
          <w:color w:val="000000" w:themeColor="text1"/>
          <w:kern w:val="0"/>
          <w:sz w:val="24"/>
          <w:szCs w:val="24"/>
          <w:highlight w:val="none"/>
        </w:rPr>
        <w:t>表2.</w:t>
      </w:r>
      <w:r>
        <w:rPr>
          <w:rFonts w:hint="eastAsia" w:ascii="黑体" w:hAnsi="黑体" w:eastAsia="黑体" w:cs="黑体"/>
          <w:b/>
          <w:bCs/>
          <w:color w:val="000000" w:themeColor="text1"/>
          <w:kern w:val="0"/>
          <w:sz w:val="24"/>
          <w:szCs w:val="24"/>
          <w:highlight w:val="none"/>
          <w:lang w:val="en-US" w:eastAsia="zh-CN"/>
        </w:rPr>
        <w:t>7</w:t>
      </w:r>
      <w:r>
        <w:rPr>
          <w:rFonts w:hint="eastAsia" w:ascii="黑体" w:hAnsi="黑体" w:eastAsia="黑体" w:cs="黑体"/>
          <w:b/>
          <w:bCs/>
          <w:color w:val="000000" w:themeColor="text1"/>
          <w:kern w:val="0"/>
          <w:sz w:val="24"/>
          <w:szCs w:val="24"/>
          <w:highlight w:val="none"/>
        </w:rPr>
        <w:t xml:space="preserve">-1  </w:t>
      </w:r>
      <w:r>
        <w:rPr>
          <w:rFonts w:hint="eastAsia" w:ascii="黑体" w:hAnsi="黑体" w:eastAsia="黑体" w:cs="黑体"/>
          <w:b/>
          <w:bCs/>
          <w:color w:val="000000" w:themeColor="text1"/>
          <w:kern w:val="0"/>
          <w:sz w:val="24"/>
          <w:szCs w:val="24"/>
          <w:highlight w:val="none"/>
          <w:lang w:eastAsia="zh-CN"/>
        </w:rPr>
        <w:t>室外消火栓台账</w:t>
      </w:r>
    </w:p>
    <w:tbl>
      <w:tblPr>
        <w:tblStyle w:val="62"/>
        <w:tblW w:w="94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794"/>
        <w:gridCol w:w="3131"/>
        <w:gridCol w:w="2865"/>
        <w:gridCol w:w="2611"/>
      </w:tblGrid>
      <w:tr w14:paraId="5EA7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54" w:hRule="atLeast"/>
          <w:tblHeader/>
          <w:jc w:val="center"/>
        </w:trPr>
        <w:tc>
          <w:tcPr>
            <w:tcW w:w="794" w:type="dxa"/>
            <w:shd w:val="clear" w:color="auto" w:fill="auto"/>
            <w:vAlign w:val="center"/>
          </w:tcPr>
          <w:p w14:paraId="5C9E97A6">
            <w:pPr>
              <w:widowControl w:val="0"/>
              <w:adjustRightInd w:val="0"/>
              <w:snapToGrid w:val="0"/>
              <w:jc w:val="center"/>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序号</w:t>
            </w:r>
          </w:p>
        </w:tc>
        <w:tc>
          <w:tcPr>
            <w:tcW w:w="3131" w:type="dxa"/>
            <w:shd w:val="clear" w:color="auto" w:fill="auto"/>
            <w:vAlign w:val="center"/>
          </w:tcPr>
          <w:p w14:paraId="5E7AA949">
            <w:pPr>
              <w:widowControl w:val="0"/>
              <w:adjustRightInd w:val="0"/>
              <w:snapToGrid w:val="0"/>
              <w:jc w:val="center"/>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名称</w:t>
            </w:r>
          </w:p>
        </w:tc>
        <w:tc>
          <w:tcPr>
            <w:tcW w:w="2865" w:type="dxa"/>
            <w:shd w:val="clear" w:color="auto" w:fill="auto"/>
            <w:vAlign w:val="center"/>
          </w:tcPr>
          <w:p w14:paraId="1041E056">
            <w:pPr>
              <w:widowControl w:val="0"/>
              <w:adjustRightInd w:val="0"/>
              <w:snapToGrid w:val="0"/>
              <w:jc w:val="center"/>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位置</w:t>
            </w:r>
          </w:p>
        </w:tc>
        <w:tc>
          <w:tcPr>
            <w:tcW w:w="2611" w:type="dxa"/>
            <w:shd w:val="clear" w:color="auto" w:fill="auto"/>
            <w:vAlign w:val="center"/>
          </w:tcPr>
          <w:p w14:paraId="6E020403">
            <w:pPr>
              <w:widowControl w:val="0"/>
              <w:adjustRightInd w:val="0"/>
              <w:snapToGrid w:val="0"/>
              <w:jc w:val="center"/>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备注</w:t>
            </w:r>
          </w:p>
        </w:tc>
      </w:tr>
      <w:tr w14:paraId="57169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0C9E0D51">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1539D725">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13738648">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 染色东</w:t>
            </w:r>
          </w:p>
        </w:tc>
        <w:tc>
          <w:tcPr>
            <w:tcW w:w="2611" w:type="dxa"/>
            <w:shd w:val="clear" w:color="auto" w:fill="FFFFFF" w:themeFill="background1"/>
            <w:vAlign w:val="center"/>
          </w:tcPr>
          <w:p w14:paraId="472D2662">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水带二根</w:t>
            </w:r>
          </w:p>
        </w:tc>
      </w:tr>
      <w:tr w14:paraId="5765F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552DFBAA">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77E74FC1">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30C21E28">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 染色东</w:t>
            </w:r>
          </w:p>
        </w:tc>
        <w:tc>
          <w:tcPr>
            <w:tcW w:w="2611" w:type="dxa"/>
            <w:shd w:val="clear" w:color="auto" w:fill="FFFFFF" w:themeFill="background1"/>
            <w:vAlign w:val="center"/>
          </w:tcPr>
          <w:p w14:paraId="76D1F8BA">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48F99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1986B779">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10E91851">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37E82A40">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 染色东</w:t>
            </w:r>
          </w:p>
        </w:tc>
        <w:tc>
          <w:tcPr>
            <w:tcW w:w="2611" w:type="dxa"/>
            <w:shd w:val="clear" w:color="auto" w:fill="FFFFFF" w:themeFill="background1"/>
            <w:vAlign w:val="center"/>
          </w:tcPr>
          <w:p w14:paraId="3B93C483">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21C3A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26787BDC">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479D028E">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504AC2EC">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 染色南</w:t>
            </w:r>
          </w:p>
        </w:tc>
        <w:tc>
          <w:tcPr>
            <w:tcW w:w="2611" w:type="dxa"/>
            <w:shd w:val="clear" w:color="auto" w:fill="FFFFFF" w:themeFill="background1"/>
            <w:vAlign w:val="center"/>
          </w:tcPr>
          <w:p w14:paraId="60348BE6">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65364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1230AAE5">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0E7454CC">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7CDF8CF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 染色西</w:t>
            </w:r>
          </w:p>
        </w:tc>
        <w:tc>
          <w:tcPr>
            <w:tcW w:w="2611" w:type="dxa"/>
            <w:shd w:val="clear" w:color="auto" w:fill="FFFFFF" w:themeFill="background1"/>
            <w:vAlign w:val="center"/>
          </w:tcPr>
          <w:p w14:paraId="79920DE1">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3611A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1BDB7C4E">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027CD148">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120F2E08">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6# 长丝北</w:t>
            </w:r>
          </w:p>
        </w:tc>
        <w:tc>
          <w:tcPr>
            <w:tcW w:w="2611" w:type="dxa"/>
            <w:shd w:val="clear" w:color="auto" w:fill="FFFFFF" w:themeFill="background1"/>
            <w:vAlign w:val="center"/>
          </w:tcPr>
          <w:p w14:paraId="5A39B1E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03935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36C461E9">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54AC91C8">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477B066C">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7# 长丝南</w:t>
            </w:r>
          </w:p>
        </w:tc>
        <w:tc>
          <w:tcPr>
            <w:tcW w:w="2611" w:type="dxa"/>
            <w:shd w:val="clear" w:color="auto" w:fill="FFFFFF" w:themeFill="background1"/>
            <w:vAlign w:val="center"/>
          </w:tcPr>
          <w:p w14:paraId="66E05450">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3A4FD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6DE5AC47">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24AF0D59">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3A87D876">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8# 染色南</w:t>
            </w:r>
          </w:p>
        </w:tc>
        <w:tc>
          <w:tcPr>
            <w:tcW w:w="2611" w:type="dxa"/>
            <w:shd w:val="clear" w:color="auto" w:fill="FFFFFF" w:themeFill="background1"/>
            <w:vAlign w:val="center"/>
          </w:tcPr>
          <w:p w14:paraId="4E97D663">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水带二根</w:t>
            </w:r>
          </w:p>
        </w:tc>
      </w:tr>
      <w:tr w14:paraId="0D54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42FA3222">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703313F0">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69B8429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9# 三号仓西</w:t>
            </w:r>
          </w:p>
        </w:tc>
        <w:tc>
          <w:tcPr>
            <w:tcW w:w="2611" w:type="dxa"/>
            <w:shd w:val="clear" w:color="auto" w:fill="FFFFFF" w:themeFill="background1"/>
            <w:vAlign w:val="center"/>
          </w:tcPr>
          <w:p w14:paraId="27C67EC3">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66EB2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7C6DEC3C">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209C750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3D41CD4A">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10# 三号仓东</w:t>
            </w:r>
          </w:p>
        </w:tc>
        <w:tc>
          <w:tcPr>
            <w:tcW w:w="2611" w:type="dxa"/>
            <w:shd w:val="clear" w:color="auto" w:fill="FFFFFF" w:themeFill="background1"/>
            <w:vAlign w:val="center"/>
          </w:tcPr>
          <w:p w14:paraId="5CD367E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3AEE1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24834DAC">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32002E0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5584524B">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11# 三号仓西</w:t>
            </w:r>
          </w:p>
        </w:tc>
        <w:tc>
          <w:tcPr>
            <w:tcW w:w="2611" w:type="dxa"/>
            <w:shd w:val="clear" w:color="auto" w:fill="FFFFFF" w:themeFill="background1"/>
            <w:vAlign w:val="center"/>
          </w:tcPr>
          <w:p w14:paraId="304EF752">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5AE8B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4807973E">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05E529E7">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4FC60F3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12# 二号仓东</w:t>
            </w:r>
          </w:p>
        </w:tc>
        <w:tc>
          <w:tcPr>
            <w:tcW w:w="2611" w:type="dxa"/>
            <w:shd w:val="clear" w:color="auto" w:fill="FFFFFF" w:themeFill="background1"/>
            <w:vAlign w:val="center"/>
          </w:tcPr>
          <w:p w14:paraId="3607C1C2">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水带二根</w:t>
            </w:r>
          </w:p>
        </w:tc>
      </w:tr>
      <w:tr w14:paraId="0E482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4BE1F378">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754706A6">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367BD17A">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13# 二号仓东</w:t>
            </w:r>
          </w:p>
        </w:tc>
        <w:tc>
          <w:tcPr>
            <w:tcW w:w="2611" w:type="dxa"/>
            <w:shd w:val="clear" w:color="auto" w:fill="FFFFFF" w:themeFill="background1"/>
            <w:vAlign w:val="center"/>
          </w:tcPr>
          <w:p w14:paraId="71EF2ED3">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水带二根</w:t>
            </w:r>
          </w:p>
        </w:tc>
      </w:tr>
      <w:tr w14:paraId="5DD97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1C0169B4">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02D65D55">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6D004BBC">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14# 二号仓东</w:t>
            </w:r>
          </w:p>
        </w:tc>
        <w:tc>
          <w:tcPr>
            <w:tcW w:w="2611" w:type="dxa"/>
            <w:shd w:val="clear" w:color="auto" w:fill="FFFFFF" w:themeFill="background1"/>
            <w:vAlign w:val="center"/>
          </w:tcPr>
          <w:p w14:paraId="01FFC100">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水带二根</w:t>
            </w:r>
          </w:p>
        </w:tc>
      </w:tr>
      <w:tr w14:paraId="5FE36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578353B1">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5657297F">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6D926556">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15# 纺纱北</w:t>
            </w:r>
          </w:p>
        </w:tc>
        <w:tc>
          <w:tcPr>
            <w:tcW w:w="2611" w:type="dxa"/>
            <w:shd w:val="clear" w:color="auto" w:fill="FFFFFF" w:themeFill="background1"/>
            <w:vAlign w:val="center"/>
          </w:tcPr>
          <w:p w14:paraId="13303D5C">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175CA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1A845E46">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13E849D5">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6178C847">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16# 纺纱东</w:t>
            </w:r>
          </w:p>
        </w:tc>
        <w:tc>
          <w:tcPr>
            <w:tcW w:w="2611" w:type="dxa"/>
            <w:shd w:val="clear" w:color="auto" w:fill="FFFFFF" w:themeFill="background1"/>
            <w:vAlign w:val="center"/>
          </w:tcPr>
          <w:p w14:paraId="4257AF39">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7B4EA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26A4CB58">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5A49F3B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3F9A2FFB">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17# 纺纱东</w:t>
            </w:r>
          </w:p>
        </w:tc>
        <w:tc>
          <w:tcPr>
            <w:tcW w:w="2611" w:type="dxa"/>
            <w:shd w:val="clear" w:color="auto" w:fill="FFFFFF" w:themeFill="background1"/>
            <w:vAlign w:val="center"/>
          </w:tcPr>
          <w:p w14:paraId="3AA699AB">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0170F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07561923">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05745A0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51283B4C">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18# 纺纱南</w:t>
            </w:r>
          </w:p>
        </w:tc>
        <w:tc>
          <w:tcPr>
            <w:tcW w:w="2611" w:type="dxa"/>
            <w:shd w:val="clear" w:color="auto" w:fill="FFFFFF" w:themeFill="background1"/>
            <w:vAlign w:val="center"/>
          </w:tcPr>
          <w:p w14:paraId="2A41CF94">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水带二根</w:t>
            </w:r>
          </w:p>
        </w:tc>
      </w:tr>
      <w:tr w14:paraId="3F635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7EDBD7A2">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78C31CD6">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0DCFB4F0">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19# 染色北</w:t>
            </w:r>
          </w:p>
        </w:tc>
        <w:tc>
          <w:tcPr>
            <w:tcW w:w="2611" w:type="dxa"/>
            <w:shd w:val="clear" w:color="auto" w:fill="FFFFFF" w:themeFill="background1"/>
            <w:vAlign w:val="center"/>
          </w:tcPr>
          <w:p w14:paraId="0F5434C7">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33138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40771060">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0E46AA07">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2A3D42B4">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20# 1号仓东</w:t>
            </w:r>
          </w:p>
        </w:tc>
        <w:tc>
          <w:tcPr>
            <w:tcW w:w="2611" w:type="dxa"/>
            <w:shd w:val="clear" w:color="auto" w:fill="FFFFFF" w:themeFill="background1"/>
            <w:vAlign w:val="center"/>
          </w:tcPr>
          <w:p w14:paraId="2221744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605F6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7CAC6400">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50DC9568">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5C17C594">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21# 倍捻西</w:t>
            </w:r>
          </w:p>
        </w:tc>
        <w:tc>
          <w:tcPr>
            <w:tcW w:w="2611" w:type="dxa"/>
            <w:shd w:val="clear" w:color="auto" w:fill="FFFFFF" w:themeFill="background1"/>
            <w:vAlign w:val="center"/>
          </w:tcPr>
          <w:p w14:paraId="08DD79D3">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水带二根</w:t>
            </w:r>
          </w:p>
        </w:tc>
      </w:tr>
      <w:tr w14:paraId="0C4F2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1EE2E337">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5422FB35">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2F686500">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22# 倍捻西</w:t>
            </w:r>
          </w:p>
        </w:tc>
        <w:tc>
          <w:tcPr>
            <w:tcW w:w="2611" w:type="dxa"/>
            <w:shd w:val="clear" w:color="auto" w:fill="FFFFFF" w:themeFill="background1"/>
            <w:vAlign w:val="center"/>
          </w:tcPr>
          <w:p w14:paraId="6321343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797BB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561788E7">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13D72B3B">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43CE6BB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23# 倍捻北</w:t>
            </w:r>
          </w:p>
        </w:tc>
        <w:tc>
          <w:tcPr>
            <w:tcW w:w="2611" w:type="dxa"/>
            <w:shd w:val="clear" w:color="auto" w:fill="FFFFFF" w:themeFill="background1"/>
            <w:vAlign w:val="center"/>
          </w:tcPr>
          <w:p w14:paraId="10C69E9A">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0712F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5BB7908E">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4FB2D6E7">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3E82DDC3">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24# 倍捻南</w:t>
            </w:r>
          </w:p>
        </w:tc>
        <w:tc>
          <w:tcPr>
            <w:tcW w:w="2611" w:type="dxa"/>
            <w:shd w:val="clear" w:color="auto" w:fill="FFFFFF" w:themeFill="background1"/>
            <w:vAlign w:val="center"/>
          </w:tcPr>
          <w:p w14:paraId="342D513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4B5BD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5E534EB2">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1A2B4710">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0982590B">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23# 1号仓东</w:t>
            </w:r>
          </w:p>
        </w:tc>
        <w:tc>
          <w:tcPr>
            <w:tcW w:w="2611" w:type="dxa"/>
            <w:shd w:val="clear" w:color="auto" w:fill="FFFFFF" w:themeFill="background1"/>
            <w:vAlign w:val="center"/>
          </w:tcPr>
          <w:p w14:paraId="371DD9AC">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水带一根</w:t>
            </w:r>
          </w:p>
        </w:tc>
      </w:tr>
      <w:tr w14:paraId="6FCBE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078D3E90">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30B58142">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51CEC470">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24# 倍捻西</w:t>
            </w:r>
          </w:p>
        </w:tc>
        <w:tc>
          <w:tcPr>
            <w:tcW w:w="2611" w:type="dxa"/>
            <w:shd w:val="clear" w:color="auto" w:fill="FFFFFF" w:themeFill="background1"/>
            <w:vAlign w:val="center"/>
          </w:tcPr>
          <w:p w14:paraId="37864A92">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水带二根</w:t>
            </w:r>
          </w:p>
        </w:tc>
      </w:tr>
      <w:tr w14:paraId="4ACB3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25228896">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790BCA40">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室外消防栓</w:t>
            </w:r>
          </w:p>
        </w:tc>
        <w:tc>
          <w:tcPr>
            <w:tcW w:w="2865" w:type="dxa"/>
            <w:shd w:val="clear" w:color="auto" w:fill="FFFFFF" w:themeFill="background1"/>
            <w:vAlign w:val="center"/>
          </w:tcPr>
          <w:p w14:paraId="57C47BEC">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25# 一号仓东</w:t>
            </w:r>
          </w:p>
        </w:tc>
        <w:tc>
          <w:tcPr>
            <w:tcW w:w="2611" w:type="dxa"/>
            <w:shd w:val="clear" w:color="auto" w:fill="FFFFFF" w:themeFill="background1"/>
            <w:vAlign w:val="center"/>
          </w:tcPr>
          <w:p w14:paraId="4F2C11A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水带二根</w:t>
            </w:r>
          </w:p>
        </w:tc>
      </w:tr>
      <w:tr w14:paraId="145FE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7E6EB4B5">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6465848C">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r>
              <w:rPr>
                <w:rFonts w:hint="eastAsia" w:ascii="宋体" w:hAnsi="宋体" w:eastAsia="宋体" w:cs="宋体"/>
                <w:color w:val="000000" w:themeColor="text1"/>
                <w:sz w:val="21"/>
                <w:szCs w:val="21"/>
                <w:highlight w:val="none"/>
                <w:lang w:val="en-US" w:eastAsia="zh-CN"/>
              </w:rPr>
              <w:t xml:space="preserve"> </w:t>
            </w:r>
            <w:r>
              <w:rPr>
                <w:rFonts w:hint="eastAsia" w:ascii="宋体" w:hAnsi="宋体" w:eastAsia="宋体" w:cs="宋体"/>
                <w:color w:val="000000" w:themeColor="text1"/>
                <w:sz w:val="21"/>
                <w:szCs w:val="21"/>
                <w:highlight w:val="none"/>
              </w:rPr>
              <w:t>接合器</w:t>
            </w:r>
          </w:p>
        </w:tc>
        <w:tc>
          <w:tcPr>
            <w:tcW w:w="2865" w:type="dxa"/>
            <w:shd w:val="clear" w:color="auto" w:fill="FFFFFF" w:themeFill="background1"/>
            <w:vAlign w:val="center"/>
          </w:tcPr>
          <w:p w14:paraId="41D6C7EF">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公司办公楼北</w:t>
            </w:r>
          </w:p>
        </w:tc>
        <w:tc>
          <w:tcPr>
            <w:tcW w:w="2611" w:type="dxa"/>
            <w:shd w:val="clear" w:color="auto" w:fill="FFFFFF" w:themeFill="background1"/>
            <w:vAlign w:val="center"/>
          </w:tcPr>
          <w:p w14:paraId="3C5E13D5">
            <w:pPr>
              <w:widowControl w:val="0"/>
              <w:adjustRightInd w:val="0"/>
              <w:snapToGrid w:val="0"/>
              <w:jc w:val="center"/>
              <w:rPr>
                <w:rFonts w:hint="eastAsia" w:ascii="宋体" w:hAnsi="宋体" w:eastAsia="宋体" w:cs="宋体"/>
                <w:color w:val="000000" w:themeColor="text1"/>
                <w:sz w:val="21"/>
                <w:szCs w:val="21"/>
                <w:highlight w:val="none"/>
              </w:rPr>
            </w:pPr>
          </w:p>
        </w:tc>
      </w:tr>
      <w:tr w14:paraId="26978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16D3BAAA">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21D83A8F">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 接合器</w:t>
            </w:r>
          </w:p>
        </w:tc>
        <w:tc>
          <w:tcPr>
            <w:tcW w:w="2865" w:type="dxa"/>
            <w:shd w:val="clear" w:color="auto" w:fill="FFFFFF" w:themeFill="background1"/>
            <w:vAlign w:val="center"/>
          </w:tcPr>
          <w:p w14:paraId="1D08A518">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公司办公楼南</w:t>
            </w:r>
          </w:p>
        </w:tc>
        <w:tc>
          <w:tcPr>
            <w:tcW w:w="2611" w:type="dxa"/>
            <w:shd w:val="clear" w:color="auto" w:fill="FFFFFF" w:themeFill="background1"/>
            <w:vAlign w:val="center"/>
          </w:tcPr>
          <w:p w14:paraId="66FC3647">
            <w:pPr>
              <w:widowControl w:val="0"/>
              <w:adjustRightInd w:val="0"/>
              <w:snapToGrid w:val="0"/>
              <w:jc w:val="center"/>
              <w:rPr>
                <w:rFonts w:hint="eastAsia" w:ascii="宋体" w:hAnsi="宋体" w:eastAsia="宋体" w:cs="宋体"/>
                <w:color w:val="000000" w:themeColor="text1"/>
                <w:sz w:val="21"/>
                <w:szCs w:val="21"/>
                <w:highlight w:val="none"/>
              </w:rPr>
            </w:pPr>
          </w:p>
        </w:tc>
      </w:tr>
      <w:tr w14:paraId="3974F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7A37D7EA">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36833CF6">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 接合器</w:t>
            </w:r>
          </w:p>
        </w:tc>
        <w:tc>
          <w:tcPr>
            <w:tcW w:w="2865" w:type="dxa"/>
            <w:shd w:val="clear" w:color="auto" w:fill="FFFFFF" w:themeFill="background1"/>
            <w:vAlign w:val="center"/>
          </w:tcPr>
          <w:p w14:paraId="5F6861AA">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打线车间北</w:t>
            </w:r>
          </w:p>
        </w:tc>
        <w:tc>
          <w:tcPr>
            <w:tcW w:w="2611" w:type="dxa"/>
            <w:shd w:val="clear" w:color="auto" w:fill="FFFFFF" w:themeFill="background1"/>
            <w:vAlign w:val="center"/>
          </w:tcPr>
          <w:p w14:paraId="45D17BCB">
            <w:pPr>
              <w:widowControl w:val="0"/>
              <w:adjustRightInd w:val="0"/>
              <w:snapToGrid w:val="0"/>
              <w:jc w:val="center"/>
              <w:rPr>
                <w:rFonts w:hint="eastAsia" w:ascii="宋体" w:hAnsi="宋体" w:eastAsia="宋体" w:cs="宋体"/>
                <w:color w:val="000000" w:themeColor="text1"/>
                <w:sz w:val="21"/>
                <w:szCs w:val="21"/>
                <w:highlight w:val="none"/>
              </w:rPr>
            </w:pPr>
          </w:p>
        </w:tc>
      </w:tr>
      <w:tr w14:paraId="348DF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shd w:val="clear" w:color="auto" w:fill="FFFFFF" w:themeFill="background1"/>
            <w:vAlign w:val="center"/>
          </w:tcPr>
          <w:p w14:paraId="34C12BA1">
            <w:pPr>
              <w:widowControl w:val="0"/>
              <w:numPr>
                <w:ilvl w:val="0"/>
                <w:numId w:val="27"/>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3131" w:type="dxa"/>
            <w:shd w:val="clear" w:color="auto" w:fill="FFFFFF" w:themeFill="background1"/>
            <w:vAlign w:val="center"/>
          </w:tcPr>
          <w:p w14:paraId="13F622F1">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 接合器</w:t>
            </w:r>
          </w:p>
        </w:tc>
        <w:tc>
          <w:tcPr>
            <w:tcW w:w="2865" w:type="dxa"/>
            <w:shd w:val="clear" w:color="auto" w:fill="FFFFFF" w:themeFill="background1"/>
            <w:vAlign w:val="center"/>
          </w:tcPr>
          <w:p w14:paraId="42AC8218">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号</w:t>
            </w:r>
            <w:r>
              <w:rPr>
                <w:rFonts w:hint="eastAsia" w:ascii="宋体" w:hAnsi="宋体" w:eastAsia="宋体" w:cs="宋体"/>
                <w:color w:val="000000" w:themeColor="text1"/>
                <w:sz w:val="21"/>
                <w:szCs w:val="21"/>
                <w:highlight w:val="none"/>
                <w:lang w:eastAsia="zh-CN"/>
              </w:rPr>
              <w:t>仓库北</w:t>
            </w:r>
          </w:p>
        </w:tc>
        <w:tc>
          <w:tcPr>
            <w:tcW w:w="2611" w:type="dxa"/>
            <w:shd w:val="clear" w:color="auto" w:fill="FFFFFF" w:themeFill="background1"/>
            <w:vAlign w:val="center"/>
          </w:tcPr>
          <w:p w14:paraId="288BF842">
            <w:pPr>
              <w:widowControl w:val="0"/>
              <w:adjustRightInd w:val="0"/>
              <w:snapToGrid w:val="0"/>
              <w:jc w:val="center"/>
              <w:rPr>
                <w:rFonts w:hint="eastAsia" w:ascii="宋体" w:hAnsi="宋体" w:eastAsia="宋体" w:cs="宋体"/>
                <w:color w:val="000000" w:themeColor="text1"/>
                <w:sz w:val="21"/>
                <w:szCs w:val="21"/>
                <w:highlight w:val="none"/>
              </w:rPr>
            </w:pPr>
          </w:p>
        </w:tc>
      </w:tr>
    </w:tbl>
    <w:p w14:paraId="571CF4DC">
      <w:pPr>
        <w:keepNext w:val="0"/>
        <w:keepLines w:val="0"/>
        <w:pageBreakBefore w:val="0"/>
        <w:widowControl w:val="0"/>
        <w:kinsoku/>
        <w:wordWrap/>
        <w:overflowPunct/>
        <w:topLinePunct w:val="0"/>
        <w:autoSpaceDE/>
        <w:autoSpaceDN/>
        <w:bidi w:val="0"/>
        <w:adjustRightInd w:val="0"/>
        <w:snapToGrid w:val="0"/>
        <w:spacing w:before="164" w:beforeLines="50" w:line="360" w:lineRule="auto"/>
        <w:jc w:val="center"/>
        <w:textAlignment w:val="auto"/>
        <w:rPr>
          <w:rFonts w:hint="eastAsia" w:ascii="黑体" w:hAnsi="黑体" w:eastAsia="黑体" w:cs="黑体"/>
          <w:b/>
          <w:bCs/>
          <w:color w:val="000000" w:themeColor="text1"/>
          <w:kern w:val="0"/>
          <w:sz w:val="24"/>
          <w:szCs w:val="24"/>
          <w:highlight w:val="none"/>
          <w:lang w:eastAsia="zh-CN"/>
        </w:rPr>
      </w:pPr>
      <w:r>
        <w:rPr>
          <w:rFonts w:hint="eastAsia" w:ascii="黑体" w:hAnsi="黑体" w:eastAsia="黑体" w:cs="黑体"/>
          <w:b/>
          <w:bCs/>
          <w:color w:val="000000" w:themeColor="text1"/>
          <w:kern w:val="0"/>
          <w:sz w:val="24"/>
          <w:szCs w:val="24"/>
          <w:highlight w:val="none"/>
        </w:rPr>
        <w:t>表2.</w:t>
      </w:r>
      <w:r>
        <w:rPr>
          <w:rFonts w:hint="eastAsia" w:ascii="黑体" w:hAnsi="黑体" w:eastAsia="黑体" w:cs="黑体"/>
          <w:b/>
          <w:bCs/>
          <w:color w:val="000000" w:themeColor="text1"/>
          <w:kern w:val="0"/>
          <w:sz w:val="24"/>
          <w:szCs w:val="24"/>
          <w:highlight w:val="none"/>
          <w:lang w:val="en-US" w:eastAsia="zh-CN"/>
        </w:rPr>
        <w:t>7</w:t>
      </w:r>
      <w:r>
        <w:rPr>
          <w:rFonts w:hint="eastAsia" w:ascii="黑体" w:hAnsi="黑体" w:eastAsia="黑体" w:cs="黑体"/>
          <w:b/>
          <w:bCs/>
          <w:color w:val="000000" w:themeColor="text1"/>
          <w:kern w:val="0"/>
          <w:sz w:val="24"/>
          <w:szCs w:val="24"/>
          <w:highlight w:val="none"/>
        </w:rPr>
        <w:t>-</w:t>
      </w:r>
      <w:r>
        <w:rPr>
          <w:rFonts w:hint="eastAsia" w:ascii="黑体" w:hAnsi="黑体" w:eastAsia="黑体" w:cs="黑体"/>
          <w:b/>
          <w:bCs/>
          <w:color w:val="000000" w:themeColor="text1"/>
          <w:kern w:val="0"/>
          <w:sz w:val="24"/>
          <w:szCs w:val="24"/>
          <w:highlight w:val="none"/>
          <w:lang w:val="en-US" w:eastAsia="zh-CN"/>
        </w:rPr>
        <w:t>2</w:t>
      </w:r>
      <w:r>
        <w:rPr>
          <w:rFonts w:hint="eastAsia" w:ascii="黑体" w:hAnsi="黑体" w:eastAsia="黑体" w:cs="黑体"/>
          <w:b/>
          <w:bCs/>
          <w:color w:val="000000" w:themeColor="text1"/>
          <w:kern w:val="0"/>
          <w:sz w:val="24"/>
          <w:szCs w:val="24"/>
          <w:highlight w:val="none"/>
        </w:rPr>
        <w:t xml:space="preserve">  </w:t>
      </w:r>
      <w:r>
        <w:rPr>
          <w:rFonts w:hint="eastAsia" w:ascii="黑体" w:hAnsi="黑体" w:eastAsia="黑体" w:cs="黑体"/>
          <w:b/>
          <w:bCs/>
          <w:color w:val="000000" w:themeColor="text1"/>
          <w:kern w:val="0"/>
          <w:sz w:val="24"/>
          <w:szCs w:val="24"/>
          <w:highlight w:val="none"/>
          <w:lang w:eastAsia="zh-CN"/>
        </w:rPr>
        <w:t>涉及危化品</w:t>
      </w:r>
      <w:r>
        <w:rPr>
          <w:rFonts w:hint="eastAsia" w:ascii="黑体" w:hAnsi="黑体" w:eastAsia="黑体" w:cs="黑体"/>
          <w:b/>
          <w:bCs/>
          <w:color w:val="000000" w:themeColor="text1"/>
          <w:highlight w:val="none"/>
        </w:rPr>
        <w:t>区域</w:t>
      </w:r>
      <w:r>
        <w:rPr>
          <w:rFonts w:hint="eastAsia" w:ascii="黑体" w:hAnsi="黑体" w:eastAsia="黑体" w:cs="黑体"/>
          <w:b/>
          <w:bCs/>
          <w:color w:val="000000" w:themeColor="text1"/>
          <w:kern w:val="0"/>
          <w:sz w:val="24"/>
          <w:szCs w:val="24"/>
          <w:highlight w:val="none"/>
          <w:lang w:eastAsia="zh-CN"/>
        </w:rPr>
        <w:t>消防器材台账</w:t>
      </w:r>
    </w:p>
    <w:tbl>
      <w:tblPr>
        <w:tblStyle w:val="62"/>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795"/>
        <w:gridCol w:w="3129"/>
        <w:gridCol w:w="2881"/>
        <w:gridCol w:w="2588"/>
      </w:tblGrid>
      <w:tr w14:paraId="465D1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54" w:hRule="atLeast"/>
          <w:tblHeader/>
        </w:trPr>
        <w:tc>
          <w:tcPr>
            <w:tcW w:w="423" w:type="pct"/>
            <w:shd w:val="clear" w:color="auto" w:fill="auto"/>
            <w:vAlign w:val="center"/>
          </w:tcPr>
          <w:p w14:paraId="62A2FD2A">
            <w:pPr>
              <w:widowControl w:val="0"/>
              <w:adjustRightInd w:val="0"/>
              <w:snapToGrid w:val="0"/>
              <w:jc w:val="center"/>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序号</w:t>
            </w:r>
          </w:p>
        </w:tc>
        <w:tc>
          <w:tcPr>
            <w:tcW w:w="1665" w:type="pct"/>
            <w:shd w:val="clear" w:color="auto" w:fill="auto"/>
            <w:vAlign w:val="center"/>
          </w:tcPr>
          <w:p w14:paraId="01B17E4A">
            <w:pPr>
              <w:widowControl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消防器材</w:t>
            </w:r>
          </w:p>
        </w:tc>
        <w:tc>
          <w:tcPr>
            <w:tcW w:w="1533" w:type="pct"/>
            <w:shd w:val="clear" w:color="auto" w:fill="auto"/>
            <w:vAlign w:val="center"/>
          </w:tcPr>
          <w:p w14:paraId="425248CF">
            <w:pPr>
              <w:widowControl w:val="0"/>
              <w:adjustRightInd w:val="0"/>
              <w:snapToGrid w:val="0"/>
              <w:jc w:val="center"/>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位置</w:t>
            </w:r>
          </w:p>
        </w:tc>
        <w:tc>
          <w:tcPr>
            <w:tcW w:w="1377" w:type="pct"/>
            <w:shd w:val="clear" w:color="auto" w:fill="auto"/>
            <w:vAlign w:val="center"/>
          </w:tcPr>
          <w:p w14:paraId="4283579E">
            <w:pPr>
              <w:widowControl w:val="0"/>
              <w:adjustRightInd w:val="0"/>
              <w:snapToGrid w:val="0"/>
              <w:jc w:val="center"/>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数量</w:t>
            </w:r>
          </w:p>
        </w:tc>
      </w:tr>
      <w:tr w14:paraId="6C8F7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3" w:type="pct"/>
            <w:shd w:val="clear" w:color="auto" w:fill="FFFFFF" w:themeFill="background1"/>
            <w:vAlign w:val="center"/>
          </w:tcPr>
          <w:p w14:paraId="540F882C">
            <w:pPr>
              <w:widowControl w:val="0"/>
              <w:numPr>
                <w:ilvl w:val="0"/>
                <w:numId w:val="28"/>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1665" w:type="pct"/>
            <w:shd w:val="clear" w:color="auto" w:fill="FFFFFF" w:themeFill="background1"/>
            <w:vAlign w:val="center"/>
          </w:tcPr>
          <w:p w14:paraId="2785A30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干粉灭火器</w:t>
            </w:r>
          </w:p>
        </w:tc>
        <w:tc>
          <w:tcPr>
            <w:tcW w:w="1533" w:type="pct"/>
            <w:shd w:val="clear" w:color="auto" w:fill="FFFFFF" w:themeFill="background1"/>
            <w:vAlign w:val="center"/>
          </w:tcPr>
          <w:p w14:paraId="44FC5FC0">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液碱储罐区</w:t>
            </w:r>
          </w:p>
        </w:tc>
        <w:tc>
          <w:tcPr>
            <w:tcW w:w="1377" w:type="pct"/>
            <w:shd w:val="clear" w:color="auto" w:fill="FFFFFF" w:themeFill="background1"/>
            <w:vAlign w:val="center"/>
          </w:tcPr>
          <w:p w14:paraId="792B9789">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4支</w:t>
            </w:r>
          </w:p>
        </w:tc>
      </w:tr>
      <w:tr w14:paraId="41034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3" w:type="pct"/>
            <w:shd w:val="clear" w:color="auto" w:fill="FFFFFF" w:themeFill="background1"/>
            <w:vAlign w:val="center"/>
          </w:tcPr>
          <w:p w14:paraId="48E1FF3A">
            <w:pPr>
              <w:widowControl w:val="0"/>
              <w:numPr>
                <w:ilvl w:val="0"/>
                <w:numId w:val="28"/>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1665" w:type="pct"/>
            <w:shd w:val="clear" w:color="auto" w:fill="FFFFFF" w:themeFill="background1"/>
            <w:vAlign w:val="center"/>
          </w:tcPr>
          <w:p w14:paraId="3ACE3869">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消防沙</w:t>
            </w:r>
          </w:p>
        </w:tc>
        <w:tc>
          <w:tcPr>
            <w:tcW w:w="1533" w:type="pct"/>
            <w:shd w:val="clear" w:color="auto" w:fill="FFFFFF" w:themeFill="background1"/>
            <w:vAlign w:val="center"/>
          </w:tcPr>
          <w:p w14:paraId="0E5D109E">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液碱储罐区</w:t>
            </w:r>
          </w:p>
        </w:tc>
        <w:tc>
          <w:tcPr>
            <w:tcW w:w="1377" w:type="pct"/>
            <w:shd w:val="clear" w:color="auto" w:fill="FFFFFF" w:themeFill="background1"/>
            <w:vAlign w:val="center"/>
          </w:tcPr>
          <w:p w14:paraId="3D6BED28">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一箱</w:t>
            </w:r>
          </w:p>
        </w:tc>
      </w:tr>
      <w:tr w14:paraId="3E3B5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3" w:type="pct"/>
            <w:shd w:val="clear" w:color="auto" w:fill="FFFFFF" w:themeFill="background1"/>
            <w:vAlign w:val="center"/>
          </w:tcPr>
          <w:p w14:paraId="42D82CBE">
            <w:pPr>
              <w:widowControl w:val="0"/>
              <w:numPr>
                <w:ilvl w:val="0"/>
                <w:numId w:val="28"/>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1665" w:type="pct"/>
            <w:shd w:val="clear" w:color="auto" w:fill="FFFFFF" w:themeFill="background1"/>
            <w:vAlign w:val="center"/>
          </w:tcPr>
          <w:p w14:paraId="32D878D2">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干粉灭火器</w:t>
            </w:r>
          </w:p>
        </w:tc>
        <w:tc>
          <w:tcPr>
            <w:tcW w:w="1533" w:type="pct"/>
            <w:shd w:val="clear" w:color="auto" w:fill="FFFFFF" w:themeFill="background1"/>
            <w:vAlign w:val="center"/>
          </w:tcPr>
          <w:p w14:paraId="3A69F98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危化品备货库房</w:t>
            </w:r>
          </w:p>
        </w:tc>
        <w:tc>
          <w:tcPr>
            <w:tcW w:w="1377" w:type="pct"/>
            <w:shd w:val="clear" w:color="auto" w:fill="FFFFFF" w:themeFill="background1"/>
            <w:vAlign w:val="center"/>
          </w:tcPr>
          <w:p w14:paraId="7ADA5672">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2支</w:t>
            </w:r>
          </w:p>
        </w:tc>
      </w:tr>
      <w:tr w14:paraId="2DF6F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3" w:type="pct"/>
            <w:shd w:val="clear" w:color="auto" w:fill="FFFFFF" w:themeFill="background1"/>
            <w:vAlign w:val="center"/>
          </w:tcPr>
          <w:p w14:paraId="18C2F5D5">
            <w:pPr>
              <w:widowControl w:val="0"/>
              <w:numPr>
                <w:ilvl w:val="0"/>
                <w:numId w:val="28"/>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1665" w:type="pct"/>
            <w:shd w:val="clear" w:color="auto" w:fill="FFFFFF" w:themeFill="background1"/>
            <w:vAlign w:val="center"/>
          </w:tcPr>
          <w:p w14:paraId="4B86D4B8">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消防沙</w:t>
            </w:r>
          </w:p>
        </w:tc>
        <w:tc>
          <w:tcPr>
            <w:tcW w:w="1533" w:type="pct"/>
            <w:shd w:val="clear" w:color="auto" w:fill="FFFFFF" w:themeFill="background1"/>
            <w:vAlign w:val="center"/>
          </w:tcPr>
          <w:p w14:paraId="22D292D1">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危化品备货库房</w:t>
            </w:r>
          </w:p>
        </w:tc>
        <w:tc>
          <w:tcPr>
            <w:tcW w:w="1377" w:type="pct"/>
            <w:shd w:val="clear" w:color="auto" w:fill="FFFFFF" w:themeFill="background1"/>
            <w:vAlign w:val="center"/>
          </w:tcPr>
          <w:p w14:paraId="2820984B">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一箱</w:t>
            </w:r>
          </w:p>
        </w:tc>
      </w:tr>
      <w:tr w14:paraId="725A4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3" w:type="pct"/>
            <w:shd w:val="clear" w:color="auto" w:fill="FFFFFF" w:themeFill="background1"/>
            <w:vAlign w:val="center"/>
          </w:tcPr>
          <w:p w14:paraId="09CF95EB">
            <w:pPr>
              <w:widowControl w:val="0"/>
              <w:numPr>
                <w:ilvl w:val="0"/>
                <w:numId w:val="28"/>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1665" w:type="pct"/>
            <w:shd w:val="clear" w:color="auto" w:fill="FFFFFF" w:themeFill="background1"/>
            <w:vAlign w:val="center"/>
          </w:tcPr>
          <w:p w14:paraId="307A0D25">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干粉灭火器</w:t>
            </w:r>
          </w:p>
        </w:tc>
        <w:tc>
          <w:tcPr>
            <w:tcW w:w="1533" w:type="pct"/>
            <w:shd w:val="clear" w:color="auto" w:fill="FFFFFF" w:themeFill="background1"/>
            <w:vAlign w:val="center"/>
          </w:tcPr>
          <w:p w14:paraId="45F3EB12">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color w:val="000000" w:themeColor="text1"/>
                <w:sz w:val="21"/>
                <w:szCs w:val="21"/>
                <w:highlight w:val="none"/>
              </w:rPr>
              <w:t>废水处理站</w:t>
            </w:r>
            <w:r>
              <w:rPr>
                <w:rFonts w:hint="eastAsia" w:ascii="宋体" w:hAnsi="宋体" w:eastAsia="宋体" w:cs="宋体"/>
                <w:color w:val="000000" w:themeColor="text1"/>
                <w:sz w:val="21"/>
                <w:szCs w:val="21"/>
                <w:highlight w:val="none"/>
              </w:rPr>
              <w:t>药剂房</w:t>
            </w:r>
          </w:p>
        </w:tc>
        <w:tc>
          <w:tcPr>
            <w:tcW w:w="1377" w:type="pct"/>
            <w:shd w:val="clear" w:color="auto" w:fill="FFFFFF" w:themeFill="background1"/>
            <w:vAlign w:val="center"/>
          </w:tcPr>
          <w:p w14:paraId="0E7D3CA5">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4支</w:t>
            </w:r>
          </w:p>
        </w:tc>
      </w:tr>
      <w:tr w14:paraId="51089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3" w:type="pct"/>
            <w:shd w:val="clear" w:color="auto" w:fill="FFFFFF" w:themeFill="background1"/>
            <w:vAlign w:val="center"/>
          </w:tcPr>
          <w:p w14:paraId="472E2281">
            <w:pPr>
              <w:widowControl w:val="0"/>
              <w:numPr>
                <w:ilvl w:val="0"/>
                <w:numId w:val="28"/>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1665" w:type="pct"/>
            <w:shd w:val="clear" w:color="auto" w:fill="FFFFFF" w:themeFill="background1"/>
            <w:vAlign w:val="center"/>
          </w:tcPr>
          <w:p w14:paraId="698A87F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干粉灭火器</w:t>
            </w:r>
          </w:p>
        </w:tc>
        <w:tc>
          <w:tcPr>
            <w:tcW w:w="1533" w:type="pct"/>
            <w:shd w:val="clear" w:color="auto" w:fill="FFFFFF" w:themeFill="background1"/>
            <w:vAlign w:val="center"/>
          </w:tcPr>
          <w:p w14:paraId="5D6A288F">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MBR次钠使用区域</w:t>
            </w:r>
          </w:p>
        </w:tc>
        <w:tc>
          <w:tcPr>
            <w:tcW w:w="1377" w:type="pct"/>
            <w:shd w:val="clear" w:color="auto" w:fill="FFFFFF" w:themeFill="background1"/>
            <w:vAlign w:val="center"/>
          </w:tcPr>
          <w:p w14:paraId="5AA8E66A">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2支</w:t>
            </w:r>
          </w:p>
        </w:tc>
      </w:tr>
      <w:tr w14:paraId="4CB1D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3" w:type="pct"/>
            <w:shd w:val="clear" w:color="auto" w:fill="FFFFFF" w:themeFill="background1"/>
            <w:vAlign w:val="center"/>
          </w:tcPr>
          <w:p w14:paraId="45DA1BFA">
            <w:pPr>
              <w:widowControl w:val="0"/>
              <w:numPr>
                <w:ilvl w:val="0"/>
                <w:numId w:val="28"/>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1665" w:type="pct"/>
            <w:shd w:val="clear" w:color="auto" w:fill="FFFFFF" w:themeFill="background1"/>
            <w:vAlign w:val="center"/>
          </w:tcPr>
          <w:p w14:paraId="0AFE2C2E">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干粉灭火器</w:t>
            </w:r>
          </w:p>
        </w:tc>
        <w:tc>
          <w:tcPr>
            <w:tcW w:w="1533" w:type="pct"/>
            <w:shd w:val="clear" w:color="auto" w:fill="FFFFFF" w:themeFill="background1"/>
            <w:vAlign w:val="center"/>
          </w:tcPr>
          <w:p w14:paraId="73768C73">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漂染车间助剂间</w:t>
            </w:r>
          </w:p>
        </w:tc>
        <w:tc>
          <w:tcPr>
            <w:tcW w:w="1377" w:type="pct"/>
            <w:shd w:val="clear" w:color="auto" w:fill="FFFFFF" w:themeFill="background1"/>
            <w:vAlign w:val="center"/>
          </w:tcPr>
          <w:p w14:paraId="192C9158">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2支</w:t>
            </w:r>
          </w:p>
        </w:tc>
      </w:tr>
      <w:tr w14:paraId="4D63F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3" w:type="pct"/>
            <w:shd w:val="clear" w:color="auto" w:fill="FFFFFF" w:themeFill="background1"/>
            <w:vAlign w:val="center"/>
          </w:tcPr>
          <w:p w14:paraId="17CBED94">
            <w:pPr>
              <w:widowControl w:val="0"/>
              <w:numPr>
                <w:ilvl w:val="0"/>
                <w:numId w:val="28"/>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1665" w:type="pct"/>
            <w:shd w:val="clear" w:color="auto" w:fill="FFFFFF" w:themeFill="background1"/>
            <w:vAlign w:val="center"/>
          </w:tcPr>
          <w:p w14:paraId="79C22B99">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干粉灭火器</w:t>
            </w:r>
          </w:p>
        </w:tc>
        <w:tc>
          <w:tcPr>
            <w:tcW w:w="1533" w:type="pct"/>
            <w:shd w:val="clear" w:color="auto" w:fill="FFFFFF" w:themeFill="background1"/>
            <w:vAlign w:val="center"/>
          </w:tcPr>
          <w:p w14:paraId="03CF3DA2">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漂染车间F平台左边</w:t>
            </w:r>
          </w:p>
        </w:tc>
        <w:tc>
          <w:tcPr>
            <w:tcW w:w="1377" w:type="pct"/>
            <w:shd w:val="clear" w:color="auto" w:fill="FFFFFF" w:themeFill="background1"/>
            <w:vAlign w:val="center"/>
          </w:tcPr>
          <w:p w14:paraId="491596A3">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2支</w:t>
            </w:r>
          </w:p>
        </w:tc>
      </w:tr>
      <w:tr w14:paraId="1D03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3" w:type="pct"/>
            <w:shd w:val="clear" w:color="auto" w:fill="FFFFFF" w:themeFill="background1"/>
            <w:vAlign w:val="center"/>
          </w:tcPr>
          <w:p w14:paraId="304DE44B">
            <w:pPr>
              <w:widowControl w:val="0"/>
              <w:numPr>
                <w:ilvl w:val="0"/>
                <w:numId w:val="28"/>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1665" w:type="pct"/>
            <w:shd w:val="clear" w:color="auto" w:fill="FFFFFF" w:themeFill="background1"/>
            <w:vAlign w:val="center"/>
          </w:tcPr>
          <w:p w14:paraId="00E70615">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干粉灭火器</w:t>
            </w:r>
          </w:p>
        </w:tc>
        <w:tc>
          <w:tcPr>
            <w:tcW w:w="1533" w:type="pct"/>
            <w:shd w:val="clear" w:color="auto" w:fill="FFFFFF" w:themeFill="background1"/>
            <w:vAlign w:val="center"/>
          </w:tcPr>
          <w:p w14:paraId="7423B7B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漂染车间F平台右边</w:t>
            </w:r>
          </w:p>
        </w:tc>
        <w:tc>
          <w:tcPr>
            <w:tcW w:w="1377" w:type="pct"/>
            <w:shd w:val="clear" w:color="auto" w:fill="FFFFFF" w:themeFill="background1"/>
            <w:vAlign w:val="center"/>
          </w:tcPr>
          <w:p w14:paraId="145991A3">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2支</w:t>
            </w:r>
          </w:p>
        </w:tc>
      </w:tr>
      <w:tr w14:paraId="1CD5F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3" w:type="pct"/>
            <w:shd w:val="clear" w:color="auto" w:fill="FFFFFF" w:themeFill="background1"/>
            <w:vAlign w:val="center"/>
          </w:tcPr>
          <w:p w14:paraId="3E118438">
            <w:pPr>
              <w:widowControl w:val="0"/>
              <w:numPr>
                <w:ilvl w:val="0"/>
                <w:numId w:val="28"/>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1665" w:type="pct"/>
            <w:shd w:val="clear" w:color="auto" w:fill="FFFFFF" w:themeFill="background1"/>
            <w:vAlign w:val="center"/>
          </w:tcPr>
          <w:p w14:paraId="559A3B82">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干粉灭火器</w:t>
            </w:r>
          </w:p>
        </w:tc>
        <w:tc>
          <w:tcPr>
            <w:tcW w:w="1533" w:type="pct"/>
            <w:shd w:val="clear" w:color="auto" w:fill="FFFFFF" w:themeFill="background1"/>
            <w:vAlign w:val="center"/>
          </w:tcPr>
          <w:p w14:paraId="01E1BAF3">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漂染车间CD平台左边</w:t>
            </w:r>
          </w:p>
        </w:tc>
        <w:tc>
          <w:tcPr>
            <w:tcW w:w="1377" w:type="pct"/>
            <w:shd w:val="clear" w:color="auto" w:fill="FFFFFF" w:themeFill="background1"/>
            <w:vAlign w:val="center"/>
          </w:tcPr>
          <w:p w14:paraId="38CE7C62">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2支</w:t>
            </w:r>
          </w:p>
        </w:tc>
      </w:tr>
      <w:tr w14:paraId="2FADE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3" w:type="pct"/>
            <w:shd w:val="clear" w:color="auto" w:fill="FFFFFF" w:themeFill="background1"/>
            <w:vAlign w:val="center"/>
          </w:tcPr>
          <w:p w14:paraId="2A3B5281">
            <w:pPr>
              <w:widowControl w:val="0"/>
              <w:numPr>
                <w:ilvl w:val="0"/>
                <w:numId w:val="28"/>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1665" w:type="pct"/>
            <w:shd w:val="clear" w:color="auto" w:fill="FFFFFF" w:themeFill="background1"/>
            <w:vAlign w:val="center"/>
          </w:tcPr>
          <w:p w14:paraId="0746ADB9">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干粉灭火器</w:t>
            </w:r>
          </w:p>
        </w:tc>
        <w:tc>
          <w:tcPr>
            <w:tcW w:w="1533" w:type="pct"/>
            <w:shd w:val="clear" w:color="auto" w:fill="FFFFFF" w:themeFill="background1"/>
            <w:vAlign w:val="center"/>
          </w:tcPr>
          <w:p w14:paraId="770ACCEA">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漂染车间CD平台右边</w:t>
            </w:r>
          </w:p>
        </w:tc>
        <w:tc>
          <w:tcPr>
            <w:tcW w:w="1377" w:type="pct"/>
            <w:shd w:val="clear" w:color="auto" w:fill="FFFFFF" w:themeFill="background1"/>
            <w:vAlign w:val="center"/>
          </w:tcPr>
          <w:p w14:paraId="7A1C83BF">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2支</w:t>
            </w:r>
          </w:p>
        </w:tc>
      </w:tr>
      <w:tr w14:paraId="4422C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3" w:type="pct"/>
            <w:shd w:val="clear" w:color="auto" w:fill="FFFFFF" w:themeFill="background1"/>
            <w:vAlign w:val="center"/>
          </w:tcPr>
          <w:p w14:paraId="56348C59">
            <w:pPr>
              <w:widowControl w:val="0"/>
              <w:numPr>
                <w:ilvl w:val="0"/>
                <w:numId w:val="28"/>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1665" w:type="pct"/>
            <w:shd w:val="clear" w:color="auto" w:fill="FFFFFF" w:themeFill="background1"/>
            <w:vAlign w:val="center"/>
          </w:tcPr>
          <w:p w14:paraId="4139B26E">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干粉灭火器</w:t>
            </w:r>
          </w:p>
        </w:tc>
        <w:tc>
          <w:tcPr>
            <w:tcW w:w="1533" w:type="pct"/>
            <w:shd w:val="clear" w:color="auto" w:fill="FFFFFF" w:themeFill="background1"/>
            <w:vAlign w:val="center"/>
          </w:tcPr>
          <w:p w14:paraId="25789FD5">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漂染车间F脱水区域</w:t>
            </w:r>
          </w:p>
        </w:tc>
        <w:tc>
          <w:tcPr>
            <w:tcW w:w="1377" w:type="pct"/>
            <w:shd w:val="clear" w:color="auto" w:fill="FFFFFF" w:themeFill="background1"/>
            <w:vAlign w:val="center"/>
          </w:tcPr>
          <w:p w14:paraId="697D4E7F">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2支</w:t>
            </w:r>
          </w:p>
        </w:tc>
      </w:tr>
    </w:tbl>
    <w:p w14:paraId="2653A19D">
      <w:pPr>
        <w:pStyle w:val="6"/>
        <w:keepNext w:val="0"/>
        <w:keepLines w:val="0"/>
        <w:pageBreakBefore w:val="0"/>
        <w:widowControl w:val="0"/>
        <w:kinsoku/>
        <w:wordWrap/>
        <w:overflowPunct/>
        <w:topLinePunct w:val="0"/>
        <w:autoSpaceDE/>
        <w:autoSpaceDN/>
        <w:bidi w:val="0"/>
        <w:adjustRightInd w:val="0"/>
        <w:snapToGrid w:val="0"/>
        <w:spacing w:beforeLines="50"/>
        <w:textAlignment w:val="auto"/>
        <w:rPr>
          <w:color w:val="000000" w:themeColor="text1"/>
          <w:highlight w:val="none"/>
        </w:rPr>
      </w:pPr>
      <w:bookmarkStart w:id="363" w:name="_Toc9255"/>
      <w:bookmarkStart w:id="364" w:name="_Toc954"/>
      <w:bookmarkStart w:id="365" w:name="_Toc27392"/>
      <w:bookmarkStart w:id="366" w:name="_Toc31429"/>
      <w:bookmarkStart w:id="367" w:name="_Toc7466"/>
      <w:bookmarkStart w:id="368" w:name="_Toc14766"/>
      <w:r>
        <w:rPr>
          <w:rFonts w:hint="eastAsia"/>
          <w:color w:val="000000" w:themeColor="text1"/>
          <w:highlight w:val="none"/>
        </w:rPr>
        <w:t>2</w:t>
      </w:r>
      <w:r>
        <w:rPr>
          <w:color w:val="000000" w:themeColor="text1"/>
          <w:highlight w:val="none"/>
        </w:rPr>
        <w:t>.</w:t>
      </w:r>
      <w:r>
        <w:rPr>
          <w:rFonts w:hint="eastAsia"/>
          <w:color w:val="000000" w:themeColor="text1"/>
          <w:highlight w:val="none"/>
          <w:lang w:val="en-US" w:eastAsia="zh-CN"/>
        </w:rPr>
        <w:t>8</w:t>
      </w:r>
      <w:r>
        <w:rPr>
          <w:rFonts w:hint="eastAsia"/>
          <w:color w:val="000000" w:themeColor="text1"/>
          <w:highlight w:val="none"/>
        </w:rPr>
        <w:t>个体防护</w:t>
      </w:r>
      <w:bookmarkEnd w:id="363"/>
      <w:bookmarkEnd w:id="364"/>
      <w:bookmarkEnd w:id="365"/>
      <w:bookmarkEnd w:id="366"/>
      <w:bookmarkEnd w:id="367"/>
      <w:bookmarkEnd w:id="368"/>
    </w:p>
    <w:p w14:paraId="0E20F56D">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themeColor="text1"/>
          <w:sz w:val="28"/>
          <w:szCs w:val="28"/>
          <w:highlight w:val="none"/>
        </w:rPr>
      </w:pPr>
      <w:r>
        <w:rPr>
          <w:rFonts w:hint="eastAsia"/>
          <w:color w:val="000000" w:themeColor="text1"/>
          <w:sz w:val="28"/>
          <w:szCs w:val="28"/>
          <w:highlight w:val="none"/>
        </w:rPr>
        <w:t>华美线业为</w:t>
      </w:r>
      <w:r>
        <w:rPr>
          <w:rFonts w:hint="eastAsia"/>
          <w:color w:val="000000" w:themeColor="text1"/>
          <w:sz w:val="28"/>
          <w:szCs w:val="28"/>
          <w:highlight w:val="none"/>
          <w:lang w:eastAsia="zh-CN"/>
        </w:rPr>
        <w:t>危险化学品岗位</w:t>
      </w:r>
      <w:r>
        <w:rPr>
          <w:rFonts w:hint="eastAsia"/>
          <w:color w:val="000000" w:themeColor="text1"/>
          <w:sz w:val="28"/>
          <w:szCs w:val="28"/>
          <w:highlight w:val="none"/>
        </w:rPr>
        <w:t>配有口罩、手套、防砸防化靴等劳动防护用品，发放标准</w:t>
      </w:r>
      <w:r>
        <w:rPr>
          <w:rFonts w:hint="eastAsia"/>
          <w:color w:val="000000" w:themeColor="text1"/>
          <w:sz w:val="28"/>
          <w:szCs w:val="28"/>
          <w:highlight w:val="none"/>
          <w:lang w:eastAsia="zh-CN"/>
        </w:rPr>
        <w:t>见</w:t>
      </w:r>
      <w:r>
        <w:rPr>
          <w:rFonts w:hint="eastAsia"/>
          <w:color w:val="000000" w:themeColor="text1"/>
          <w:sz w:val="28"/>
          <w:szCs w:val="28"/>
          <w:highlight w:val="none"/>
        </w:rPr>
        <w:t>下表。</w:t>
      </w:r>
    </w:p>
    <w:p w14:paraId="1D5EEDC1">
      <w:pPr>
        <w:keepNext w:val="0"/>
        <w:keepLines w:val="0"/>
        <w:pageBreakBefore w:val="0"/>
        <w:widowControl w:val="0"/>
        <w:kinsoku/>
        <w:wordWrap/>
        <w:topLinePunct w:val="0"/>
        <w:bidi w:val="0"/>
        <w:adjustRightInd w:val="0"/>
        <w:snapToGrid w:val="0"/>
        <w:spacing w:line="360" w:lineRule="auto"/>
        <w:rPr>
          <w:color w:val="000000" w:themeColor="text1"/>
          <w:sz w:val="28"/>
          <w:szCs w:val="28"/>
          <w:highlight w:val="none"/>
        </w:rPr>
        <w:sectPr>
          <w:footerReference r:id="rId19" w:type="default"/>
          <w:pgSz w:w="11907" w:h="16840"/>
          <w:pgMar w:top="1417" w:right="1134" w:bottom="1134" w:left="1587" w:header="794" w:footer="794" w:gutter="0"/>
          <w:pgBorders>
            <w:top w:val="none" w:sz="0" w:space="0"/>
            <w:left w:val="none" w:sz="0" w:space="0"/>
            <w:bottom w:val="none" w:sz="0" w:space="0"/>
            <w:right w:val="none" w:sz="0" w:space="0"/>
          </w:pgBorders>
          <w:cols w:space="720" w:num="1"/>
          <w:docGrid w:linePitch="326" w:charSpace="0"/>
        </w:sectPr>
      </w:pPr>
    </w:p>
    <w:p w14:paraId="64E41E6C">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黑体" w:hAnsi="黑体" w:eastAsia="黑体"/>
          <w:b/>
          <w:color w:val="000000" w:themeColor="text1"/>
          <w:sz w:val="24"/>
          <w:szCs w:val="24"/>
          <w:highlight w:val="none"/>
          <w:lang w:eastAsia="zh-CN"/>
        </w:rPr>
      </w:pPr>
      <w:r>
        <w:rPr>
          <w:rFonts w:hint="eastAsia" w:ascii="黑体" w:hAnsi="黑体" w:eastAsia="黑体"/>
          <w:b/>
          <w:color w:val="000000" w:themeColor="text1"/>
          <w:sz w:val="24"/>
          <w:szCs w:val="24"/>
          <w:highlight w:val="none"/>
        </w:rPr>
        <w:t>表2.</w:t>
      </w:r>
      <w:r>
        <w:rPr>
          <w:rFonts w:hint="eastAsia" w:ascii="黑体" w:hAnsi="黑体" w:eastAsia="黑体"/>
          <w:b/>
          <w:color w:val="000000" w:themeColor="text1"/>
          <w:sz w:val="24"/>
          <w:szCs w:val="24"/>
          <w:highlight w:val="none"/>
          <w:lang w:val="en-US" w:eastAsia="zh-CN"/>
        </w:rPr>
        <w:t>8</w:t>
      </w:r>
      <w:r>
        <w:rPr>
          <w:rFonts w:hint="eastAsia" w:ascii="黑体" w:hAnsi="黑体" w:eastAsia="黑体"/>
          <w:b/>
          <w:color w:val="000000" w:themeColor="text1"/>
          <w:sz w:val="24"/>
          <w:szCs w:val="24"/>
          <w:highlight w:val="none"/>
        </w:rPr>
        <w:t>-1</w:t>
      </w:r>
      <w:r>
        <w:rPr>
          <w:rFonts w:hint="eastAsia" w:ascii="黑体" w:hAnsi="黑体" w:eastAsia="黑体"/>
          <w:b/>
          <w:color w:val="000000" w:themeColor="text1"/>
          <w:sz w:val="24"/>
          <w:szCs w:val="24"/>
          <w:highlight w:val="none"/>
          <w:lang w:eastAsia="zh-CN"/>
        </w:rPr>
        <w:t>危险化学品</w:t>
      </w:r>
      <w:r>
        <w:rPr>
          <w:rFonts w:ascii="黑体" w:hAnsi="黑体" w:eastAsia="黑体"/>
          <w:b/>
          <w:color w:val="000000" w:themeColor="text1"/>
          <w:sz w:val="24"/>
          <w:szCs w:val="24"/>
          <w:highlight w:val="none"/>
        </w:rPr>
        <w:t>岗位PPE佩戴标准</w:t>
      </w:r>
      <w:r>
        <w:rPr>
          <w:rFonts w:hint="eastAsia" w:ascii="黑体" w:hAnsi="黑体" w:eastAsia="黑体"/>
          <w:b/>
          <w:color w:val="000000" w:themeColor="text1"/>
          <w:sz w:val="24"/>
          <w:szCs w:val="24"/>
          <w:highlight w:val="none"/>
          <w:lang w:eastAsia="zh-CN"/>
        </w:rPr>
        <w:t>一览表</w:t>
      </w:r>
    </w:p>
    <w:tbl>
      <w:tblPr>
        <w:tblStyle w:val="61"/>
        <w:tblW w:w="5000" w:type="pct"/>
        <w:jc w:val="center"/>
        <w:tblBorders>
          <w:top w:val="single" w:color="auto" w:sz="4" w:space="0"/>
          <w:left w:val="single" w:color="auto" w:sz="4"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61"/>
        <w:gridCol w:w="918"/>
        <w:gridCol w:w="918"/>
        <w:gridCol w:w="918"/>
        <w:gridCol w:w="918"/>
        <w:gridCol w:w="918"/>
        <w:gridCol w:w="918"/>
        <w:gridCol w:w="918"/>
        <w:gridCol w:w="918"/>
        <w:gridCol w:w="918"/>
        <w:gridCol w:w="918"/>
        <w:gridCol w:w="918"/>
        <w:gridCol w:w="918"/>
        <w:gridCol w:w="927"/>
      </w:tblGrid>
      <w:tr w14:paraId="60C1C240">
        <w:tblPrEx>
          <w:tblBorders>
            <w:top w:val="single" w:color="auto" w:sz="4" w:space="0"/>
            <w:left w:val="single" w:color="auto" w:sz="4"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2" w:type="pct"/>
            <w:shd w:val="clear" w:color="auto" w:fill="auto"/>
            <w:noWrap/>
            <w:vAlign w:val="center"/>
          </w:tcPr>
          <w:p w14:paraId="44CB4789">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岗位</w:t>
            </w:r>
          </w:p>
        </w:tc>
        <w:tc>
          <w:tcPr>
            <w:tcW w:w="316" w:type="pct"/>
            <w:shd w:val="clear" w:color="auto" w:fill="auto"/>
            <w:vAlign w:val="center"/>
          </w:tcPr>
          <w:p w14:paraId="66ABD5F7">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耳塞</w:t>
            </w:r>
          </w:p>
        </w:tc>
        <w:tc>
          <w:tcPr>
            <w:tcW w:w="316" w:type="pct"/>
            <w:shd w:val="clear" w:color="auto" w:fill="auto"/>
            <w:noWrap/>
            <w:vAlign w:val="center"/>
          </w:tcPr>
          <w:p w14:paraId="1B8756D3">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全面罩</w:t>
            </w:r>
          </w:p>
        </w:tc>
        <w:tc>
          <w:tcPr>
            <w:tcW w:w="316" w:type="pct"/>
            <w:shd w:val="clear" w:color="auto" w:fill="auto"/>
            <w:noWrap/>
            <w:vAlign w:val="center"/>
          </w:tcPr>
          <w:p w14:paraId="2CE9A7BE">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半面罩</w:t>
            </w:r>
          </w:p>
        </w:tc>
        <w:tc>
          <w:tcPr>
            <w:tcW w:w="316" w:type="pct"/>
            <w:shd w:val="clear" w:color="auto" w:fill="auto"/>
            <w:noWrap/>
            <w:vAlign w:val="center"/>
          </w:tcPr>
          <w:p w14:paraId="2900397D">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lang w:val="en-US"/>
              </w:rPr>
            </w:pPr>
            <w:r>
              <w:rPr>
                <w:rFonts w:hint="eastAsia" w:ascii="宋体" w:hAnsi="宋体" w:eastAsia="宋体" w:cs="宋体"/>
                <w:b/>
                <w:bCs/>
                <w:color w:val="000000" w:themeColor="text1"/>
                <w:sz w:val="21"/>
                <w:szCs w:val="21"/>
                <w:highlight w:val="none"/>
              </w:rPr>
              <w:t>KN90</w:t>
            </w:r>
          </w:p>
          <w:p w14:paraId="3F4B9585">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防有机口罩</w:t>
            </w:r>
          </w:p>
        </w:tc>
        <w:tc>
          <w:tcPr>
            <w:tcW w:w="316" w:type="pct"/>
            <w:shd w:val="clear" w:color="auto" w:fill="auto"/>
            <w:noWrap/>
            <w:vAlign w:val="center"/>
          </w:tcPr>
          <w:p w14:paraId="3757FB45">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lang w:val="en-US"/>
              </w:rPr>
            </w:pPr>
            <w:r>
              <w:rPr>
                <w:rFonts w:hint="eastAsia" w:ascii="宋体" w:hAnsi="宋体" w:eastAsia="宋体" w:cs="宋体"/>
                <w:b/>
                <w:bCs/>
                <w:color w:val="000000" w:themeColor="text1"/>
                <w:sz w:val="21"/>
                <w:szCs w:val="21"/>
                <w:highlight w:val="none"/>
              </w:rPr>
              <w:t>防喷溅</w:t>
            </w:r>
          </w:p>
          <w:p w14:paraId="245EDE51">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面屏</w:t>
            </w:r>
          </w:p>
        </w:tc>
        <w:tc>
          <w:tcPr>
            <w:tcW w:w="316" w:type="pct"/>
            <w:shd w:val="clear" w:color="auto" w:fill="auto"/>
            <w:noWrap/>
            <w:vAlign w:val="center"/>
          </w:tcPr>
          <w:p w14:paraId="0DB07E0B">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lang w:val="en-US"/>
              </w:rPr>
            </w:pPr>
            <w:r>
              <w:rPr>
                <w:rFonts w:hint="eastAsia" w:ascii="宋体" w:hAnsi="宋体" w:eastAsia="宋体" w:cs="宋体"/>
                <w:b/>
                <w:bCs/>
                <w:color w:val="000000" w:themeColor="text1"/>
                <w:sz w:val="21"/>
                <w:szCs w:val="21"/>
                <w:highlight w:val="none"/>
              </w:rPr>
              <w:t>防化学</w:t>
            </w:r>
          </w:p>
          <w:p w14:paraId="1E498091">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护目镜</w:t>
            </w:r>
          </w:p>
        </w:tc>
        <w:tc>
          <w:tcPr>
            <w:tcW w:w="316" w:type="pct"/>
            <w:shd w:val="clear" w:color="auto" w:fill="auto"/>
            <w:noWrap/>
            <w:vAlign w:val="center"/>
          </w:tcPr>
          <w:p w14:paraId="1FE32B4F">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C级防护衣</w:t>
            </w:r>
          </w:p>
        </w:tc>
        <w:tc>
          <w:tcPr>
            <w:tcW w:w="316" w:type="pct"/>
            <w:shd w:val="clear" w:color="auto" w:fill="auto"/>
            <w:noWrap/>
            <w:vAlign w:val="center"/>
          </w:tcPr>
          <w:p w14:paraId="34CE32C0">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防酸碱围裙</w:t>
            </w:r>
          </w:p>
        </w:tc>
        <w:tc>
          <w:tcPr>
            <w:tcW w:w="316" w:type="pct"/>
            <w:shd w:val="clear" w:color="auto" w:fill="auto"/>
            <w:noWrap/>
            <w:vAlign w:val="center"/>
          </w:tcPr>
          <w:p w14:paraId="42E46006">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lang w:val="en-US"/>
              </w:rPr>
            </w:pPr>
            <w:r>
              <w:rPr>
                <w:rFonts w:hint="eastAsia" w:ascii="宋体" w:hAnsi="宋体" w:eastAsia="宋体" w:cs="宋体"/>
                <w:b/>
                <w:bCs/>
                <w:color w:val="000000" w:themeColor="text1"/>
                <w:sz w:val="21"/>
                <w:szCs w:val="21"/>
                <w:highlight w:val="none"/>
              </w:rPr>
              <w:t>氯丁橡胶</w:t>
            </w:r>
          </w:p>
          <w:p w14:paraId="6E37AF03">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手套</w:t>
            </w:r>
          </w:p>
        </w:tc>
        <w:tc>
          <w:tcPr>
            <w:tcW w:w="316" w:type="pct"/>
            <w:shd w:val="clear" w:color="auto" w:fill="auto"/>
            <w:noWrap/>
            <w:vAlign w:val="center"/>
          </w:tcPr>
          <w:p w14:paraId="5F623582">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丁腈手套（薄）</w:t>
            </w:r>
          </w:p>
        </w:tc>
        <w:tc>
          <w:tcPr>
            <w:tcW w:w="316" w:type="pct"/>
            <w:shd w:val="clear" w:color="auto" w:fill="auto"/>
            <w:noWrap/>
            <w:vAlign w:val="center"/>
          </w:tcPr>
          <w:p w14:paraId="60F5118A">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lang w:val="en-US"/>
              </w:rPr>
            </w:pPr>
            <w:r>
              <w:rPr>
                <w:rFonts w:hint="eastAsia" w:ascii="宋体" w:hAnsi="宋体" w:eastAsia="宋体" w:cs="宋体"/>
                <w:b/>
                <w:bCs/>
                <w:color w:val="000000" w:themeColor="text1"/>
                <w:sz w:val="21"/>
                <w:szCs w:val="21"/>
                <w:highlight w:val="none"/>
              </w:rPr>
              <w:t>防砸</w:t>
            </w:r>
          </w:p>
          <w:p w14:paraId="39AC7F22">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安全鞋</w:t>
            </w:r>
          </w:p>
        </w:tc>
        <w:tc>
          <w:tcPr>
            <w:tcW w:w="316" w:type="pct"/>
            <w:shd w:val="clear" w:color="auto" w:fill="auto"/>
            <w:noWrap/>
            <w:vAlign w:val="center"/>
          </w:tcPr>
          <w:p w14:paraId="71E40701">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防砸防化靴</w:t>
            </w:r>
          </w:p>
        </w:tc>
        <w:tc>
          <w:tcPr>
            <w:tcW w:w="319" w:type="pct"/>
            <w:vAlign w:val="center"/>
          </w:tcPr>
          <w:p w14:paraId="6D8C3534">
            <w:pPr>
              <w:keepNext w:val="0"/>
              <w:keepLines w:val="0"/>
              <w:pageBreakBefore w:val="0"/>
              <w:widowControl w:val="0"/>
              <w:kinsoku/>
              <w:wordWrap/>
              <w:topLinePunct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安全帽</w:t>
            </w:r>
          </w:p>
        </w:tc>
      </w:tr>
      <w:tr w14:paraId="55C204ED">
        <w:tblPrEx>
          <w:tblBorders>
            <w:top w:val="single" w:color="auto" w:sz="4" w:space="0"/>
            <w:left w:val="single" w:color="auto" w:sz="4"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2" w:type="pct"/>
            <w:shd w:val="clear" w:color="auto" w:fill="auto"/>
            <w:noWrap/>
            <w:vAlign w:val="center"/>
          </w:tcPr>
          <w:p w14:paraId="71A4F053">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保险粉称料</w:t>
            </w:r>
          </w:p>
        </w:tc>
        <w:tc>
          <w:tcPr>
            <w:tcW w:w="316" w:type="pct"/>
            <w:shd w:val="clear" w:color="auto" w:fill="auto"/>
            <w:noWrap/>
            <w:vAlign w:val="center"/>
          </w:tcPr>
          <w:p w14:paraId="225069C7">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15804FA4">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6975C74B">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vAlign w:val="center"/>
          </w:tcPr>
          <w:p w14:paraId="68E3F887">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1A287933">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631E3365">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6FBDBAFE">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70627C39">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59D2CA95">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vAlign w:val="center"/>
          </w:tcPr>
          <w:p w14:paraId="1EC5073E">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2908EEEC">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148A57C3">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9" w:type="pct"/>
          </w:tcPr>
          <w:p w14:paraId="2E01F30A">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r>
      <w:tr w14:paraId="16EE15E9">
        <w:tblPrEx>
          <w:tblBorders>
            <w:top w:val="single" w:color="auto" w:sz="4" w:space="0"/>
            <w:left w:val="single" w:color="auto" w:sz="4"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2" w:type="pct"/>
            <w:shd w:val="clear" w:color="auto" w:fill="auto"/>
            <w:noWrap/>
            <w:vAlign w:val="center"/>
          </w:tcPr>
          <w:p w14:paraId="12CE2DDB">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助剂称料</w:t>
            </w:r>
          </w:p>
        </w:tc>
        <w:tc>
          <w:tcPr>
            <w:tcW w:w="316" w:type="pct"/>
            <w:shd w:val="clear" w:color="auto" w:fill="auto"/>
            <w:noWrap/>
            <w:vAlign w:val="center"/>
          </w:tcPr>
          <w:p w14:paraId="5A606635">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1DEFCAAF">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4C18D75D">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3E913DFE">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62F178E4">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74B8E184">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lang w:val="en-US" w:eastAsia="zh-CN" w:bidi="ar-SA"/>
              </w:rPr>
            </w:pPr>
          </w:p>
        </w:tc>
        <w:tc>
          <w:tcPr>
            <w:tcW w:w="316" w:type="pct"/>
            <w:shd w:val="clear" w:color="auto" w:fill="auto"/>
            <w:noWrap/>
            <w:vAlign w:val="center"/>
          </w:tcPr>
          <w:p w14:paraId="4CE7916F">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317B78A1">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5B5B95F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5082D7E0">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755F6E3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186789DC">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9" w:type="pct"/>
          </w:tcPr>
          <w:p w14:paraId="1CAB111B">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r>
      <w:tr w14:paraId="0FE00ABE">
        <w:tblPrEx>
          <w:tblBorders>
            <w:top w:val="single" w:color="auto" w:sz="4" w:space="0"/>
            <w:left w:val="single" w:color="auto" w:sz="4"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2" w:type="pct"/>
            <w:shd w:val="clear" w:color="auto" w:fill="auto"/>
            <w:noWrap/>
            <w:vAlign w:val="center"/>
          </w:tcPr>
          <w:p w14:paraId="371E7228">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助剂运输</w:t>
            </w:r>
          </w:p>
        </w:tc>
        <w:tc>
          <w:tcPr>
            <w:tcW w:w="316" w:type="pct"/>
            <w:shd w:val="clear" w:color="auto" w:fill="auto"/>
            <w:noWrap/>
            <w:vAlign w:val="center"/>
          </w:tcPr>
          <w:p w14:paraId="61127CA8">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10038A6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2EEE895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61102B0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vAlign w:val="center"/>
          </w:tcPr>
          <w:p w14:paraId="2DBC75EC">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1A8443C9">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733C6A68">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4C98117F">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0A4FF4DD">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4D9BD52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vAlign w:val="center"/>
          </w:tcPr>
          <w:p w14:paraId="013F3AAE">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0639CDBD">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9" w:type="pct"/>
          </w:tcPr>
          <w:p w14:paraId="769BF1DF">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r>
      <w:tr w14:paraId="5707CA69">
        <w:tblPrEx>
          <w:tblBorders>
            <w:top w:val="single" w:color="auto" w:sz="4" w:space="0"/>
            <w:left w:val="single" w:color="auto" w:sz="4"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2" w:type="pct"/>
            <w:shd w:val="clear" w:color="auto" w:fill="auto"/>
            <w:noWrap/>
            <w:vAlign w:val="center"/>
          </w:tcPr>
          <w:p w14:paraId="239F99F1">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eastAsia="zh-CN"/>
              </w:rPr>
              <w:t>乙酸</w:t>
            </w:r>
            <w:r>
              <w:rPr>
                <w:rFonts w:hint="eastAsia" w:ascii="宋体" w:hAnsi="宋体" w:eastAsia="宋体" w:cs="宋体"/>
                <w:color w:val="000000" w:themeColor="text1"/>
                <w:sz w:val="21"/>
                <w:szCs w:val="21"/>
                <w:highlight w:val="none"/>
              </w:rPr>
              <w:t>分装</w:t>
            </w:r>
          </w:p>
        </w:tc>
        <w:tc>
          <w:tcPr>
            <w:tcW w:w="316" w:type="pct"/>
            <w:shd w:val="clear" w:color="auto" w:fill="auto"/>
            <w:vAlign w:val="center"/>
          </w:tcPr>
          <w:p w14:paraId="51115B43">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3B7594AC">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14DC9F3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737FBE5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46D7045C">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0A2BAF5F">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6DD44AF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73753498">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vAlign w:val="center"/>
          </w:tcPr>
          <w:p w14:paraId="35BBF5F9">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4F15F79D">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5AD7DA18">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68AE6E69">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9" w:type="pct"/>
          </w:tcPr>
          <w:p w14:paraId="436BAD13">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r>
      <w:tr w14:paraId="1F473C97">
        <w:tblPrEx>
          <w:tblBorders>
            <w:top w:val="single" w:color="auto" w:sz="4" w:space="0"/>
            <w:left w:val="single" w:color="auto" w:sz="4"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2" w:type="pct"/>
            <w:shd w:val="clear" w:color="auto" w:fill="auto"/>
            <w:noWrap/>
            <w:vAlign w:val="center"/>
          </w:tcPr>
          <w:p w14:paraId="7489712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氢氧化钠溶液</w:t>
            </w:r>
            <w:r>
              <w:rPr>
                <w:rFonts w:hint="eastAsia" w:ascii="宋体" w:hAnsi="宋体" w:eastAsia="宋体" w:cs="宋体"/>
                <w:color w:val="000000" w:themeColor="text1"/>
                <w:sz w:val="21"/>
                <w:szCs w:val="21"/>
                <w:highlight w:val="none"/>
              </w:rPr>
              <w:t>分装&amp;运输</w:t>
            </w:r>
          </w:p>
        </w:tc>
        <w:tc>
          <w:tcPr>
            <w:tcW w:w="316" w:type="pct"/>
            <w:shd w:val="clear" w:color="auto" w:fill="auto"/>
            <w:noWrap/>
            <w:vAlign w:val="center"/>
          </w:tcPr>
          <w:p w14:paraId="26320FBD">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66C90998">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75F3967B">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3171DA2C">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343555BC">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226D26AF">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04DC47F8">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3382D0DB">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vAlign w:val="center"/>
          </w:tcPr>
          <w:p w14:paraId="007873FD">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6AE3B0B9">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558D70C0">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12423F38">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9" w:type="pct"/>
          </w:tcPr>
          <w:p w14:paraId="6CDDCB1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r>
      <w:tr w14:paraId="5BD463C5">
        <w:tblPrEx>
          <w:tblBorders>
            <w:top w:val="single" w:color="auto" w:sz="4" w:space="0"/>
            <w:left w:val="single" w:color="auto" w:sz="4"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2" w:type="pct"/>
            <w:shd w:val="clear" w:color="auto" w:fill="auto"/>
            <w:noWrap/>
            <w:vAlign w:val="center"/>
          </w:tcPr>
          <w:p w14:paraId="7D2B9305">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助剂泄漏处理</w:t>
            </w:r>
          </w:p>
        </w:tc>
        <w:tc>
          <w:tcPr>
            <w:tcW w:w="316" w:type="pct"/>
            <w:shd w:val="clear" w:color="auto" w:fill="auto"/>
            <w:noWrap/>
            <w:vAlign w:val="center"/>
          </w:tcPr>
          <w:p w14:paraId="58087113">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2FD92C7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28E5F6AF">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72B23FD0">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0914128F">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0EE3E08F">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32F3600C">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3FAD5F8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1489658C">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78FE1A3E">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47CFA70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71DFBF15">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9" w:type="pct"/>
          </w:tcPr>
          <w:p w14:paraId="40EEDE11">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r>
      <w:tr w14:paraId="6E5C8523">
        <w:tblPrEx>
          <w:tblBorders>
            <w:top w:val="single" w:color="auto" w:sz="4" w:space="0"/>
            <w:left w:val="single" w:color="auto" w:sz="4"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2" w:type="pct"/>
            <w:shd w:val="clear" w:color="auto" w:fill="auto"/>
            <w:noWrap/>
            <w:vAlign w:val="center"/>
          </w:tcPr>
          <w:p w14:paraId="162B9571">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氢氧化钠溶液</w:t>
            </w:r>
            <w:r>
              <w:rPr>
                <w:rFonts w:hint="eastAsia" w:ascii="宋体" w:hAnsi="宋体" w:eastAsia="宋体" w:cs="宋体"/>
                <w:color w:val="000000" w:themeColor="text1"/>
                <w:sz w:val="21"/>
                <w:szCs w:val="21"/>
                <w:highlight w:val="none"/>
              </w:rPr>
              <w:t>泄漏处理</w:t>
            </w:r>
          </w:p>
        </w:tc>
        <w:tc>
          <w:tcPr>
            <w:tcW w:w="316" w:type="pct"/>
            <w:shd w:val="clear" w:color="auto" w:fill="auto"/>
            <w:vAlign w:val="center"/>
          </w:tcPr>
          <w:p w14:paraId="04132C98">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770F901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649DF25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59266CD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7720A490">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vAlign w:val="center"/>
          </w:tcPr>
          <w:p w14:paraId="636CDC5F">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vAlign w:val="center"/>
          </w:tcPr>
          <w:p w14:paraId="6BB8443A">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36AA7F7F">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79BE0930">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4B6A2C51">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4E98F9AE">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4BDF467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9" w:type="pct"/>
          </w:tcPr>
          <w:p w14:paraId="1CE57441">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r>
      <w:tr w14:paraId="5A170215">
        <w:tblPrEx>
          <w:tblBorders>
            <w:top w:val="single" w:color="auto" w:sz="4" w:space="0"/>
            <w:left w:val="single" w:color="auto" w:sz="4"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2" w:type="pct"/>
            <w:shd w:val="clear" w:color="auto" w:fill="auto"/>
            <w:noWrap/>
            <w:vAlign w:val="center"/>
          </w:tcPr>
          <w:p w14:paraId="42843A5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保险粉发烟起火</w:t>
            </w:r>
          </w:p>
        </w:tc>
        <w:tc>
          <w:tcPr>
            <w:tcW w:w="316" w:type="pct"/>
            <w:shd w:val="clear" w:color="auto" w:fill="auto"/>
            <w:noWrap/>
            <w:vAlign w:val="center"/>
          </w:tcPr>
          <w:p w14:paraId="63681B8F">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71FF284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193BBE55">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2218686B">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5433A23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645F2FAA">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034AE03C">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778DC6BF">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1384C61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532D2660">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6BCEF7AF">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4374D578">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9" w:type="pct"/>
          </w:tcPr>
          <w:p w14:paraId="548865FE">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r>
      <w:tr w14:paraId="515B461C">
        <w:tblPrEx>
          <w:tblBorders>
            <w:top w:val="single" w:color="auto" w:sz="4" w:space="0"/>
            <w:left w:val="single" w:color="auto" w:sz="4"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2" w:type="pct"/>
            <w:shd w:val="clear" w:color="auto" w:fill="auto"/>
            <w:noWrap/>
            <w:vAlign w:val="center"/>
          </w:tcPr>
          <w:p w14:paraId="7E1AB66D">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染色操作（开盖）</w:t>
            </w:r>
          </w:p>
        </w:tc>
        <w:tc>
          <w:tcPr>
            <w:tcW w:w="316" w:type="pct"/>
            <w:shd w:val="clear" w:color="auto" w:fill="auto"/>
            <w:vAlign w:val="center"/>
          </w:tcPr>
          <w:p w14:paraId="2FBE8E00">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536AC904">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34A8A6A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6B1A5E8A">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vAlign w:val="center"/>
          </w:tcPr>
          <w:p w14:paraId="04743B59">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vAlign w:val="center"/>
          </w:tcPr>
          <w:p w14:paraId="368AA244">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0E0B6877">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50B4413D">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vAlign w:val="center"/>
          </w:tcPr>
          <w:p w14:paraId="00EA11C4">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vAlign w:val="center"/>
          </w:tcPr>
          <w:p w14:paraId="1AADD6F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1FE0B01A">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vAlign w:val="center"/>
          </w:tcPr>
          <w:p w14:paraId="2B73B39B">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9" w:type="pct"/>
          </w:tcPr>
          <w:p w14:paraId="68B6FA5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r>
      <w:tr w14:paraId="07107F7C">
        <w:tblPrEx>
          <w:tblBorders>
            <w:top w:val="single" w:color="auto" w:sz="4" w:space="0"/>
            <w:left w:val="single" w:color="auto" w:sz="4"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2" w:type="pct"/>
            <w:shd w:val="clear" w:color="auto" w:fill="auto"/>
            <w:noWrap/>
            <w:vAlign w:val="center"/>
          </w:tcPr>
          <w:p w14:paraId="02CB0BD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染色辅助</w:t>
            </w:r>
          </w:p>
        </w:tc>
        <w:tc>
          <w:tcPr>
            <w:tcW w:w="316" w:type="pct"/>
            <w:shd w:val="clear" w:color="auto" w:fill="auto"/>
            <w:noWrap/>
            <w:vAlign w:val="center"/>
          </w:tcPr>
          <w:p w14:paraId="1B360425">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4865300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44B20D73">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61899D4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244CE683">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69AAAA31">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57DAD003">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1ED058A4">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2FC082BA">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214609E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7DFB5A54">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c>
          <w:tcPr>
            <w:tcW w:w="316" w:type="pct"/>
            <w:shd w:val="clear" w:color="auto" w:fill="auto"/>
            <w:noWrap/>
            <w:vAlign w:val="center"/>
          </w:tcPr>
          <w:p w14:paraId="47DE8DC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9" w:type="pct"/>
            <w:vAlign w:val="center"/>
          </w:tcPr>
          <w:p w14:paraId="47D0B90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r>
      <w:tr w14:paraId="64284620">
        <w:tblPrEx>
          <w:tblBorders>
            <w:top w:val="single" w:color="auto" w:sz="4" w:space="0"/>
            <w:left w:val="single" w:color="auto" w:sz="4"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2" w:type="pct"/>
            <w:shd w:val="clear" w:color="auto" w:fill="auto"/>
            <w:noWrap/>
            <w:vAlign w:val="center"/>
          </w:tcPr>
          <w:p w14:paraId="6ACC5E3C">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搬运</w:t>
            </w:r>
            <w:r>
              <w:rPr>
                <w:rFonts w:hint="eastAsia"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原料成品</w:t>
            </w:r>
            <w:r>
              <w:rPr>
                <w:rFonts w:hint="eastAsia" w:cs="宋体"/>
                <w:color w:val="000000" w:themeColor="text1"/>
                <w:sz w:val="21"/>
                <w:szCs w:val="21"/>
                <w:highlight w:val="none"/>
                <w:lang w:eastAsia="zh-CN"/>
              </w:rPr>
              <w:t>）</w:t>
            </w:r>
          </w:p>
        </w:tc>
        <w:tc>
          <w:tcPr>
            <w:tcW w:w="316" w:type="pct"/>
            <w:shd w:val="clear" w:color="auto" w:fill="auto"/>
            <w:noWrap/>
            <w:vAlign w:val="center"/>
          </w:tcPr>
          <w:p w14:paraId="37BE6DD0">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09F41187">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27C22CF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699F1718">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0B7CDBBF">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0ADB018D">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67FEE84A">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4EAA0D98">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7E2BFC39">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0CBC47C8">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591A12FC">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7D7E3EF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9" w:type="pct"/>
            <w:vAlign w:val="center"/>
          </w:tcPr>
          <w:p w14:paraId="279E3641">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r>
      <w:tr w14:paraId="44D08721">
        <w:tblPrEx>
          <w:tblBorders>
            <w:top w:val="single" w:color="auto" w:sz="4" w:space="0"/>
            <w:left w:val="single" w:color="auto" w:sz="4"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2" w:type="pct"/>
            <w:shd w:val="clear" w:color="auto" w:fill="auto"/>
            <w:noWrap/>
            <w:vAlign w:val="center"/>
          </w:tcPr>
          <w:p w14:paraId="2C7BF26F">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eastAsia="zh-CN"/>
              </w:rPr>
              <w:t>废水</w:t>
            </w:r>
            <w:r>
              <w:rPr>
                <w:rFonts w:hint="eastAsia" w:ascii="宋体" w:hAnsi="宋体" w:eastAsia="宋体" w:cs="宋体"/>
                <w:color w:val="000000" w:themeColor="text1"/>
                <w:sz w:val="21"/>
                <w:szCs w:val="21"/>
                <w:highlight w:val="none"/>
              </w:rPr>
              <w:t>处理站药剂添加</w:t>
            </w:r>
          </w:p>
        </w:tc>
        <w:tc>
          <w:tcPr>
            <w:tcW w:w="316" w:type="pct"/>
            <w:shd w:val="clear" w:color="auto" w:fill="auto"/>
            <w:noWrap/>
            <w:vAlign w:val="center"/>
          </w:tcPr>
          <w:p w14:paraId="2492D831">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69A662D5">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195F8540">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49454AAA">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28AB8FAB">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76A0C5B5">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33AB1B42">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06C42767">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156897B9">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380DD410">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3A2CC7F7">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6BCFE963">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9" w:type="pct"/>
          </w:tcPr>
          <w:p w14:paraId="6DE426B4">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r>
      <w:tr w14:paraId="6D41CB89">
        <w:tblPrEx>
          <w:tblBorders>
            <w:top w:val="single" w:color="auto" w:sz="4" w:space="0"/>
            <w:left w:val="single" w:color="auto" w:sz="4"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2" w:type="pct"/>
            <w:shd w:val="clear" w:color="auto" w:fill="auto"/>
            <w:noWrap/>
            <w:vAlign w:val="center"/>
          </w:tcPr>
          <w:p w14:paraId="55CBC544">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eastAsia="zh-CN"/>
              </w:rPr>
              <w:t>废水</w:t>
            </w:r>
            <w:r>
              <w:rPr>
                <w:rFonts w:hint="eastAsia" w:ascii="宋体" w:hAnsi="宋体" w:eastAsia="宋体" w:cs="宋体"/>
                <w:color w:val="000000" w:themeColor="text1"/>
                <w:sz w:val="21"/>
                <w:szCs w:val="21"/>
                <w:highlight w:val="none"/>
              </w:rPr>
              <w:t>处理站药剂泄漏处理</w:t>
            </w:r>
          </w:p>
        </w:tc>
        <w:tc>
          <w:tcPr>
            <w:tcW w:w="316" w:type="pct"/>
            <w:shd w:val="clear" w:color="auto" w:fill="auto"/>
            <w:noWrap/>
            <w:vAlign w:val="center"/>
          </w:tcPr>
          <w:p w14:paraId="7F3A3B3C">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31EC6A60">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42EA0BB6">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5093932A">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57B7E9B4">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2AFBBB54">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24ABF578">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4A79533B">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05AF7AC7">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3FC499DD">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6" w:type="pct"/>
            <w:shd w:val="clear" w:color="auto" w:fill="auto"/>
            <w:noWrap/>
            <w:vAlign w:val="center"/>
          </w:tcPr>
          <w:p w14:paraId="0C8D6EA8">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0F2CEA2E">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9" w:type="pct"/>
          </w:tcPr>
          <w:p w14:paraId="741649D7">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r>
      <w:tr w14:paraId="26339234">
        <w:tblPrEx>
          <w:tblBorders>
            <w:top w:val="single" w:color="auto" w:sz="4" w:space="0"/>
            <w:left w:val="single" w:color="auto" w:sz="4"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2" w:type="pct"/>
            <w:shd w:val="clear" w:color="auto" w:fill="auto"/>
            <w:noWrap/>
            <w:vAlign w:val="center"/>
          </w:tcPr>
          <w:p w14:paraId="5E05D1AD">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eastAsia="zh-CN"/>
              </w:rPr>
              <w:t>废水</w:t>
            </w:r>
            <w:r>
              <w:rPr>
                <w:rFonts w:hint="eastAsia" w:ascii="宋体" w:hAnsi="宋体" w:eastAsia="宋体" w:cs="宋体"/>
                <w:color w:val="000000" w:themeColor="text1"/>
                <w:sz w:val="21"/>
                <w:szCs w:val="21"/>
                <w:highlight w:val="none"/>
              </w:rPr>
              <w:t>处理站药剂搬运</w:t>
            </w:r>
          </w:p>
        </w:tc>
        <w:tc>
          <w:tcPr>
            <w:tcW w:w="316" w:type="pct"/>
            <w:shd w:val="clear" w:color="auto" w:fill="auto"/>
            <w:noWrap/>
            <w:vAlign w:val="center"/>
          </w:tcPr>
          <w:p w14:paraId="12CA4CD5">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665BF03E">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58265D35">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0FCB6E71">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595FEB83">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4C5B3604">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32AAD8B9">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1F62C903">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21E47BD0">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4FF55189">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40C09F09">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c>
          <w:tcPr>
            <w:tcW w:w="316" w:type="pct"/>
            <w:shd w:val="clear" w:color="auto" w:fill="auto"/>
            <w:noWrap/>
            <w:vAlign w:val="center"/>
          </w:tcPr>
          <w:p w14:paraId="67879950">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319" w:type="pct"/>
          </w:tcPr>
          <w:p w14:paraId="6EF90BE3">
            <w:pPr>
              <w:keepNext w:val="0"/>
              <w:keepLines w:val="0"/>
              <w:pageBreakBefore w:val="0"/>
              <w:widowControl w:val="0"/>
              <w:kinsoku/>
              <w:wordWrap/>
              <w:topLinePunct w:val="0"/>
              <w:bidi w:val="0"/>
              <w:adjustRightInd w:val="0"/>
              <w:snapToGrid w:val="0"/>
              <w:jc w:val="center"/>
              <w:rPr>
                <w:rFonts w:hint="eastAsia" w:ascii="宋体" w:hAnsi="宋体" w:eastAsia="宋体" w:cs="宋体"/>
                <w:color w:val="000000" w:themeColor="text1"/>
                <w:sz w:val="21"/>
                <w:szCs w:val="21"/>
                <w:highlight w:val="none"/>
              </w:rPr>
            </w:pPr>
          </w:p>
        </w:tc>
      </w:tr>
    </w:tbl>
    <w:p w14:paraId="2A3BE497">
      <w:pPr>
        <w:keepNext w:val="0"/>
        <w:keepLines w:val="0"/>
        <w:pageBreakBefore w:val="0"/>
        <w:widowControl w:val="0"/>
        <w:kinsoku/>
        <w:wordWrap/>
        <w:topLinePunct w:val="0"/>
        <w:bidi w:val="0"/>
        <w:adjustRightInd w:val="0"/>
        <w:snapToGrid w:val="0"/>
        <w:rPr>
          <w:rFonts w:ascii="黑体" w:hAnsi="黑体" w:eastAsia="黑体"/>
          <w:b/>
          <w:color w:val="000000" w:themeColor="text1"/>
          <w:highlight w:val="none"/>
        </w:rPr>
      </w:pPr>
    </w:p>
    <w:p w14:paraId="2853D9F4">
      <w:pPr>
        <w:keepNext w:val="0"/>
        <w:keepLines w:val="0"/>
        <w:pageBreakBefore w:val="0"/>
        <w:widowControl w:val="0"/>
        <w:kinsoku/>
        <w:wordWrap/>
        <w:topLinePunct w:val="0"/>
        <w:bidi w:val="0"/>
        <w:adjustRightInd w:val="0"/>
        <w:snapToGrid w:val="0"/>
        <w:spacing w:line="360" w:lineRule="auto"/>
        <w:rPr>
          <w:color w:val="000000" w:themeColor="text1"/>
          <w:sz w:val="28"/>
          <w:highlight w:val="none"/>
        </w:rPr>
        <w:sectPr>
          <w:footerReference r:id="rId20" w:type="default"/>
          <w:pgSz w:w="16840" w:h="11907" w:orient="landscape"/>
          <w:pgMar w:top="1588" w:right="1418" w:bottom="1134" w:left="1134" w:header="794" w:footer="794" w:gutter="0"/>
          <w:pgBorders>
            <w:top w:val="none" w:sz="0" w:space="0"/>
            <w:left w:val="none" w:sz="0" w:space="0"/>
            <w:bottom w:val="none" w:sz="0" w:space="0"/>
            <w:right w:val="none" w:sz="0" w:space="0"/>
          </w:pgBorders>
          <w:cols w:space="720" w:num="1"/>
          <w:docGrid w:linePitch="326" w:charSpace="0"/>
        </w:sectPr>
      </w:pPr>
    </w:p>
    <w:bookmarkEnd w:id="280"/>
    <w:bookmarkEnd w:id="281"/>
    <w:bookmarkEnd w:id="282"/>
    <w:bookmarkEnd w:id="283"/>
    <w:bookmarkEnd w:id="284"/>
    <w:bookmarkEnd w:id="285"/>
    <w:p w14:paraId="0C619697">
      <w:pPr>
        <w:pStyle w:val="5"/>
        <w:keepNext w:val="0"/>
        <w:keepLines w:val="0"/>
        <w:pageBreakBefore w:val="0"/>
        <w:widowControl w:val="0"/>
        <w:kinsoku/>
        <w:wordWrap/>
        <w:overflowPunct/>
        <w:topLinePunct w:val="0"/>
        <w:autoSpaceDE/>
        <w:autoSpaceDN/>
        <w:bidi w:val="0"/>
        <w:adjustRightInd w:val="0"/>
        <w:snapToGrid w:val="0"/>
        <w:spacing w:before="240" w:after="240"/>
        <w:textAlignment w:val="auto"/>
        <w:rPr>
          <w:color w:val="000000" w:themeColor="text1"/>
          <w:kern w:val="0"/>
          <w:highlight w:val="none"/>
        </w:rPr>
      </w:pPr>
      <w:bookmarkStart w:id="369" w:name="_Toc151792142"/>
      <w:bookmarkStart w:id="370" w:name="_Toc176576668"/>
      <w:bookmarkStart w:id="371" w:name="_Toc161042300"/>
      <w:bookmarkStart w:id="372" w:name="_Toc186273654"/>
      <w:bookmarkStart w:id="373" w:name="_Toc150849455"/>
      <w:bookmarkStart w:id="374" w:name="_Toc160859622"/>
      <w:bookmarkStart w:id="375" w:name="_Toc16869"/>
      <w:bookmarkStart w:id="376" w:name="_Toc234394489"/>
      <w:bookmarkStart w:id="377" w:name="_Toc13958"/>
      <w:bookmarkStart w:id="378" w:name="_Toc198521480"/>
      <w:bookmarkStart w:id="379" w:name="_Toc190762556"/>
      <w:bookmarkStart w:id="380" w:name="_Toc10707"/>
      <w:bookmarkStart w:id="381" w:name="_Toc3191"/>
      <w:bookmarkStart w:id="382" w:name="_Toc198457552"/>
      <w:bookmarkStart w:id="383" w:name="_Toc14482"/>
      <w:bookmarkStart w:id="384" w:name="_Toc449456893"/>
      <w:bookmarkStart w:id="385" w:name="_Toc449456802"/>
      <w:bookmarkStart w:id="386" w:name="_Toc6785"/>
      <w:bookmarkStart w:id="387" w:name="_Toc54145084"/>
      <w:bookmarkStart w:id="388" w:name="_Toc70412699"/>
      <w:bookmarkStart w:id="389" w:name="_Toc53756370"/>
      <w:bookmarkStart w:id="390" w:name="_Toc69908994"/>
      <w:r>
        <w:rPr>
          <w:rFonts w:hint="eastAsia"/>
          <w:color w:val="000000" w:themeColor="text1"/>
          <w:kern w:val="0"/>
          <w:highlight w:val="none"/>
        </w:rPr>
        <w:t xml:space="preserve">3  </w:t>
      </w:r>
      <w:bookmarkEnd w:id="369"/>
      <w:bookmarkEnd w:id="370"/>
      <w:bookmarkEnd w:id="371"/>
      <w:bookmarkEnd w:id="372"/>
      <w:bookmarkEnd w:id="373"/>
      <w:bookmarkEnd w:id="374"/>
      <w:r>
        <w:rPr>
          <w:rFonts w:hint="eastAsia"/>
          <w:color w:val="000000" w:themeColor="text1"/>
          <w:kern w:val="0"/>
          <w:highlight w:val="none"/>
        </w:rPr>
        <w:t>危险、有害因素的辨识及依据说明</w:t>
      </w:r>
      <w:bookmarkEnd w:id="375"/>
      <w:bookmarkEnd w:id="376"/>
      <w:bookmarkEnd w:id="377"/>
      <w:bookmarkEnd w:id="378"/>
      <w:bookmarkEnd w:id="379"/>
      <w:bookmarkEnd w:id="380"/>
      <w:bookmarkEnd w:id="381"/>
      <w:bookmarkEnd w:id="382"/>
      <w:bookmarkEnd w:id="383"/>
      <w:bookmarkEnd w:id="384"/>
      <w:bookmarkEnd w:id="385"/>
      <w:bookmarkEnd w:id="386"/>
    </w:p>
    <w:p w14:paraId="3219AAB1">
      <w:pPr>
        <w:pStyle w:val="6"/>
        <w:keepNext w:val="0"/>
        <w:keepLines w:val="0"/>
        <w:pageBreakBefore w:val="0"/>
        <w:widowControl w:val="0"/>
        <w:kinsoku/>
        <w:wordWrap/>
        <w:overflowPunct/>
        <w:topLinePunct w:val="0"/>
        <w:autoSpaceDE/>
        <w:autoSpaceDN/>
        <w:bidi w:val="0"/>
        <w:adjustRightInd w:val="0"/>
        <w:snapToGrid w:val="0"/>
        <w:textAlignment w:val="auto"/>
        <w:rPr>
          <w:color w:val="000000" w:themeColor="text1"/>
          <w:highlight w:val="none"/>
        </w:rPr>
      </w:pPr>
      <w:bookmarkStart w:id="391" w:name="_Toc186273655"/>
      <w:bookmarkStart w:id="392" w:name="_Toc161042301"/>
      <w:bookmarkStart w:id="393" w:name="_Toc151792143"/>
      <w:bookmarkStart w:id="394" w:name="_Toc176576669"/>
      <w:bookmarkStart w:id="395" w:name="_Toc160859623"/>
      <w:bookmarkStart w:id="396" w:name="_Toc150849456"/>
      <w:bookmarkStart w:id="397" w:name="_Toc234394490"/>
      <w:bookmarkStart w:id="398" w:name="_Toc190762557"/>
      <w:bookmarkStart w:id="399" w:name="_Toc29982"/>
      <w:bookmarkStart w:id="400" w:name="_Toc198521481"/>
      <w:bookmarkStart w:id="401" w:name="_Toc198457553"/>
      <w:bookmarkStart w:id="402" w:name="_Toc449456803"/>
      <w:bookmarkStart w:id="403" w:name="_Toc25588"/>
      <w:bookmarkStart w:id="404" w:name="_Toc18762"/>
      <w:bookmarkStart w:id="405" w:name="_Toc449456894"/>
      <w:bookmarkStart w:id="406" w:name="_Toc19721"/>
      <w:bookmarkStart w:id="407" w:name="_Toc16767"/>
      <w:bookmarkStart w:id="408" w:name="_Toc2351"/>
      <w:r>
        <w:rPr>
          <w:rFonts w:hint="eastAsia"/>
          <w:color w:val="000000" w:themeColor="text1"/>
          <w:highlight w:val="none"/>
        </w:rPr>
        <w:t>3.1</w:t>
      </w:r>
      <w:bookmarkEnd w:id="391"/>
      <w:bookmarkEnd w:id="392"/>
      <w:bookmarkEnd w:id="393"/>
      <w:bookmarkEnd w:id="394"/>
      <w:bookmarkEnd w:id="395"/>
      <w:bookmarkEnd w:id="396"/>
      <w:r>
        <w:rPr>
          <w:rFonts w:hint="eastAsia"/>
          <w:color w:val="000000" w:themeColor="text1"/>
          <w:highlight w:val="none"/>
        </w:rPr>
        <w:t>危险、有害因素辨识的依据说明（辨识过程说明）</w:t>
      </w:r>
      <w:bookmarkEnd w:id="397"/>
      <w:bookmarkEnd w:id="398"/>
      <w:bookmarkEnd w:id="399"/>
      <w:bookmarkEnd w:id="400"/>
      <w:bookmarkEnd w:id="401"/>
      <w:bookmarkEnd w:id="402"/>
      <w:bookmarkEnd w:id="403"/>
      <w:bookmarkEnd w:id="404"/>
      <w:bookmarkEnd w:id="405"/>
      <w:bookmarkEnd w:id="406"/>
      <w:bookmarkEnd w:id="407"/>
      <w:bookmarkEnd w:id="408"/>
    </w:p>
    <w:p w14:paraId="443C23AA">
      <w:pPr>
        <w:pStyle w:val="7"/>
        <w:keepNext w:val="0"/>
        <w:keepLines w:val="0"/>
        <w:pageBreakBefore w:val="0"/>
        <w:widowControl w:val="0"/>
        <w:kinsoku/>
        <w:wordWrap/>
        <w:overflowPunct/>
        <w:topLinePunct w:val="0"/>
        <w:autoSpaceDE/>
        <w:autoSpaceDN/>
        <w:bidi w:val="0"/>
        <w:adjustRightInd w:val="0"/>
        <w:snapToGrid w:val="0"/>
        <w:textAlignment w:val="auto"/>
        <w:rPr>
          <w:rFonts w:hAnsi="黑体"/>
          <w:color w:val="000000" w:themeColor="text1"/>
          <w:highlight w:val="none"/>
        </w:rPr>
      </w:pPr>
      <w:bookmarkStart w:id="409" w:name="_Toc14953"/>
      <w:bookmarkStart w:id="410" w:name="_Toc324762700"/>
      <w:bookmarkStart w:id="411" w:name="_Toc228010448"/>
      <w:bookmarkStart w:id="412" w:name="_Toc4005"/>
      <w:bookmarkStart w:id="413" w:name="_Toc11458"/>
      <w:bookmarkStart w:id="414" w:name="_Toc228010674"/>
      <w:bookmarkStart w:id="415" w:name="_Toc449456895"/>
      <w:bookmarkStart w:id="416" w:name="_Toc449456804"/>
      <w:bookmarkStart w:id="417" w:name="_Toc228067231"/>
      <w:bookmarkStart w:id="418" w:name="_Toc10607"/>
      <w:bookmarkStart w:id="419" w:name="_Toc16060"/>
      <w:bookmarkStart w:id="420" w:name="_Toc228066846"/>
      <w:bookmarkStart w:id="421" w:name="_Toc228067067"/>
      <w:bookmarkStart w:id="422" w:name="_Toc29350"/>
      <w:r>
        <w:rPr>
          <w:rFonts w:hAnsi="黑体"/>
          <w:color w:val="000000" w:themeColor="text1"/>
          <w:highlight w:val="none"/>
        </w:rPr>
        <w:t>3.1.1 危险、有害因素定义</w:t>
      </w:r>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p>
    <w:p w14:paraId="63D3589F">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themeColor="text1"/>
          <w:sz w:val="28"/>
          <w:highlight w:val="none"/>
        </w:rPr>
      </w:pPr>
      <w:r>
        <w:rPr>
          <w:rFonts w:hint="eastAsia"/>
          <w:color w:val="000000" w:themeColor="text1"/>
          <w:sz w:val="28"/>
          <w:highlight w:val="none"/>
        </w:rPr>
        <w:t>危险、有害因素辨识，主要是确定系统内存在的主要危险、有害因素的种类、分布及可能产生的危险、危害方式和途径。</w:t>
      </w:r>
    </w:p>
    <w:p w14:paraId="1520DB82">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themeColor="text1"/>
          <w:sz w:val="28"/>
          <w:highlight w:val="none"/>
        </w:rPr>
      </w:pPr>
      <w:r>
        <w:rPr>
          <w:rFonts w:hint="eastAsia"/>
          <w:color w:val="000000" w:themeColor="text1"/>
          <w:sz w:val="28"/>
          <w:highlight w:val="none"/>
        </w:rPr>
        <w:t>危险因素是指对人造成伤亡或对物造成突发性损害的因素；有害因素是指能影响人的身体健康、导致疾病，或对物造成慢性损害的因素。存在能量、有害物质和能量、有害物质失去控制是危险因素产生的根本原因。</w:t>
      </w:r>
    </w:p>
    <w:p w14:paraId="3E0B0609">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themeColor="text1"/>
          <w:sz w:val="28"/>
          <w:highlight w:val="none"/>
        </w:rPr>
      </w:pPr>
      <w:r>
        <w:rPr>
          <w:rFonts w:hint="eastAsia"/>
          <w:color w:val="000000" w:themeColor="text1"/>
          <w:sz w:val="28"/>
          <w:highlight w:val="none"/>
        </w:rPr>
        <w:t>系统具有的能量越大，存在的危险物质越多，系统的潜在危险性和危害也越大。能量、有害物质的失控是危险、有害因素产生的条件，其失控主要体现在设备故障（含缺陷）、人员失误和管理缺陷三方面。</w:t>
      </w:r>
    </w:p>
    <w:p w14:paraId="74EDDA50">
      <w:pPr>
        <w:pStyle w:val="7"/>
        <w:keepNext w:val="0"/>
        <w:keepLines w:val="0"/>
        <w:pageBreakBefore w:val="0"/>
        <w:widowControl w:val="0"/>
        <w:kinsoku/>
        <w:wordWrap/>
        <w:overflowPunct/>
        <w:topLinePunct w:val="0"/>
        <w:autoSpaceDE/>
        <w:autoSpaceDN/>
        <w:bidi w:val="0"/>
        <w:adjustRightInd w:val="0"/>
        <w:snapToGrid w:val="0"/>
        <w:textAlignment w:val="auto"/>
        <w:rPr>
          <w:rFonts w:hAnsi="黑体" w:cs="宋体"/>
          <w:color w:val="000000" w:themeColor="text1"/>
          <w:highlight w:val="none"/>
        </w:rPr>
      </w:pPr>
      <w:bookmarkStart w:id="423" w:name="_Toc449456896"/>
      <w:bookmarkStart w:id="424" w:name="_Toc23052"/>
      <w:bookmarkStart w:id="425" w:name="_Toc22103"/>
      <w:bookmarkStart w:id="426" w:name="_Toc228010449"/>
      <w:bookmarkStart w:id="427" w:name="_Toc449456805"/>
      <w:bookmarkStart w:id="428" w:name="_Toc228067068"/>
      <w:bookmarkStart w:id="429" w:name="_Toc228067232"/>
      <w:bookmarkStart w:id="430" w:name="_Toc228010675"/>
      <w:bookmarkStart w:id="431" w:name="_Toc228066847"/>
      <w:bookmarkStart w:id="432" w:name="_Toc324762701"/>
      <w:bookmarkStart w:id="433" w:name="_Toc28911"/>
      <w:bookmarkStart w:id="434" w:name="_Toc9623"/>
      <w:bookmarkStart w:id="435" w:name="_Toc5432"/>
      <w:bookmarkStart w:id="436" w:name="_Toc6897"/>
      <w:r>
        <w:rPr>
          <w:rFonts w:hAnsi="黑体" w:cs="宋体"/>
          <w:color w:val="000000" w:themeColor="text1"/>
          <w:highlight w:val="none"/>
        </w:rPr>
        <w:t>3.1.2 危险、有害因素辨识依据说明</w:t>
      </w:r>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p>
    <w:p w14:paraId="4C0DAC89">
      <w:pPr>
        <w:widowControl w:val="0"/>
        <w:adjustRightInd w:val="0"/>
        <w:snapToGrid w:val="0"/>
        <w:spacing w:line="360" w:lineRule="auto"/>
        <w:ind w:firstLine="570"/>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参照《企业职工伤亡事故分类》GB6441</w:t>
      </w:r>
      <w:r>
        <w:rPr>
          <w:rFonts w:hint="eastAsia" w:ascii="宋体" w:hAnsi="宋体" w:eastAsia="宋体"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lang w:val="en-US" w:eastAsia="zh-CN"/>
        </w:rPr>
        <w:t>19</w:t>
      </w:r>
      <w:r>
        <w:rPr>
          <w:rFonts w:hint="eastAsia" w:ascii="宋体" w:hAnsi="宋体" w:eastAsia="宋体" w:cs="宋体"/>
          <w:color w:val="000000" w:themeColor="text1"/>
          <w:sz w:val="28"/>
          <w:szCs w:val="28"/>
          <w:highlight w:val="none"/>
        </w:rPr>
        <w:t>86，将危险因素分为20类，即：物体打击、车辆伤害、机械伤害、起重伤害、触电、淹溺、灼烫、火灾、高处坠落、坍塌、冒顶片帮、透水、放炮、火药爆炸、瓦斯爆炸、锅炉爆炸、容器爆炸、其它爆炸、中毒和窒息、</w:t>
      </w:r>
      <w:r>
        <w:rPr>
          <w:rFonts w:hint="eastAsia" w:cs="宋体"/>
          <w:color w:val="000000" w:themeColor="text1"/>
          <w:sz w:val="28"/>
          <w:szCs w:val="28"/>
          <w:highlight w:val="none"/>
          <w:lang w:eastAsia="zh-CN"/>
        </w:rPr>
        <w:t>其他</w:t>
      </w:r>
      <w:r>
        <w:rPr>
          <w:rFonts w:hint="eastAsia" w:ascii="宋体" w:hAnsi="宋体" w:eastAsia="宋体" w:cs="宋体"/>
          <w:color w:val="000000" w:themeColor="text1"/>
          <w:sz w:val="28"/>
          <w:szCs w:val="28"/>
          <w:highlight w:val="none"/>
        </w:rPr>
        <w:t>伤害。</w:t>
      </w:r>
    </w:p>
    <w:p w14:paraId="43549B0F">
      <w:pPr>
        <w:widowControl w:val="0"/>
        <w:adjustRightInd w:val="0"/>
        <w:snapToGrid w:val="0"/>
        <w:spacing w:line="360" w:lineRule="auto"/>
        <w:ind w:firstLine="570"/>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lang w:eastAsia="zh-CN"/>
        </w:rPr>
        <w:t>参照</w:t>
      </w:r>
      <w:r>
        <w:rPr>
          <w:rFonts w:hint="eastAsia" w:ascii="宋体" w:hAnsi="宋体" w:eastAsia="宋体" w:cs="宋体"/>
          <w:color w:val="000000" w:themeColor="text1"/>
          <w:sz w:val="28"/>
          <w:szCs w:val="28"/>
          <w:highlight w:val="none"/>
        </w:rPr>
        <w:t>《职业病危害因素分类目录》国卫疾控发</w:t>
      </w:r>
      <w:r>
        <w:rPr>
          <w:rFonts w:hint="eastAsia" w:ascii="宋体" w:hAnsi="宋体" w:eastAsia="宋体"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2015</w:t>
      </w:r>
      <w:r>
        <w:rPr>
          <w:rFonts w:hint="eastAsia" w:ascii="宋体" w:hAnsi="宋体" w:eastAsia="宋体"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92号令，将职业病危害因素分为粉尘、化学因素、物理因素、放射性因素、生物因素、其他因素六大类。</w:t>
      </w:r>
    </w:p>
    <w:p w14:paraId="499AD106">
      <w:pPr>
        <w:widowControl w:val="0"/>
        <w:adjustRightInd w:val="0"/>
        <w:snapToGrid w:val="0"/>
        <w:spacing w:line="360" w:lineRule="auto"/>
        <w:ind w:firstLine="570"/>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本评价按上述分类原则对</w:t>
      </w:r>
      <w:r>
        <w:rPr>
          <w:rFonts w:hint="eastAsia"/>
          <w:color w:val="000000" w:themeColor="text1"/>
          <w:sz w:val="28"/>
          <w:highlight w:val="none"/>
        </w:rPr>
        <w:t>华美线业</w:t>
      </w:r>
      <w:r>
        <w:rPr>
          <w:rFonts w:hint="eastAsia" w:ascii="宋体" w:hAnsi="宋体" w:eastAsia="宋体" w:cs="宋体"/>
          <w:color w:val="000000" w:themeColor="text1"/>
          <w:kern w:val="0"/>
          <w:sz w:val="28"/>
          <w:szCs w:val="28"/>
          <w:highlight w:val="none"/>
        </w:rPr>
        <w:t>危险化学品</w:t>
      </w:r>
      <w:r>
        <w:rPr>
          <w:rFonts w:hint="eastAsia" w:ascii="宋体" w:hAnsi="宋体" w:eastAsia="宋体" w:cs="宋体"/>
          <w:color w:val="000000" w:themeColor="text1"/>
          <w:kern w:val="0"/>
          <w:sz w:val="28"/>
          <w:szCs w:val="28"/>
          <w:highlight w:val="none"/>
          <w:lang w:eastAsia="zh-CN"/>
        </w:rPr>
        <w:t>储存使用</w:t>
      </w:r>
      <w:r>
        <w:rPr>
          <w:rFonts w:hint="eastAsia" w:ascii="宋体" w:hAnsi="宋体" w:eastAsia="宋体" w:cs="宋体"/>
          <w:color w:val="000000" w:themeColor="text1"/>
          <w:kern w:val="0"/>
          <w:sz w:val="28"/>
          <w:szCs w:val="28"/>
          <w:highlight w:val="none"/>
        </w:rPr>
        <w:t>过程中可能出现的危险、有害因素进行辨识。</w:t>
      </w:r>
    </w:p>
    <w:p w14:paraId="3E4EFBEA">
      <w:pPr>
        <w:pStyle w:val="6"/>
        <w:keepNext w:val="0"/>
        <w:keepLines w:val="0"/>
        <w:pageBreakBefore w:val="0"/>
        <w:widowControl w:val="0"/>
        <w:kinsoku/>
        <w:wordWrap/>
        <w:overflowPunct/>
        <w:topLinePunct w:val="0"/>
        <w:autoSpaceDE/>
        <w:autoSpaceDN/>
        <w:bidi w:val="0"/>
        <w:adjustRightInd w:val="0"/>
        <w:snapToGrid w:val="0"/>
        <w:spacing w:before="0" w:after="0" w:line="360" w:lineRule="auto"/>
        <w:textAlignment w:val="auto"/>
        <w:rPr>
          <w:rFonts w:ascii="黑体" w:hAnsi="黑体"/>
          <w:color w:val="000000" w:themeColor="text1"/>
          <w:sz w:val="28"/>
          <w:szCs w:val="28"/>
          <w:highlight w:val="none"/>
        </w:rPr>
      </w:pPr>
      <w:bookmarkStart w:id="437" w:name="_Toc344140108"/>
      <w:bookmarkStart w:id="438" w:name="_Toc364946027"/>
      <w:bookmarkStart w:id="439" w:name="_Toc294531531"/>
      <w:bookmarkStart w:id="440" w:name="_Toc364502493"/>
      <w:bookmarkStart w:id="441" w:name="_Toc230773688"/>
      <w:bookmarkStart w:id="442" w:name="_Toc342942401"/>
      <w:bookmarkStart w:id="443" w:name="_Toc347496709"/>
      <w:bookmarkStart w:id="444" w:name="_Toc488127336"/>
      <w:bookmarkStart w:id="445" w:name="_Toc18954"/>
      <w:bookmarkStart w:id="446" w:name="_Toc22973"/>
      <w:bookmarkStart w:id="447" w:name="_Toc29542"/>
      <w:bookmarkStart w:id="448" w:name="_Toc29856"/>
      <w:bookmarkStart w:id="449" w:name="_Toc493848147"/>
      <w:bookmarkStart w:id="450" w:name="_Toc49240132"/>
      <w:bookmarkStart w:id="451" w:name="_Toc32057"/>
      <w:bookmarkStart w:id="452" w:name="_Toc13620"/>
      <w:bookmarkStart w:id="453" w:name="_Toc15428"/>
      <w:bookmarkStart w:id="454" w:name="_Toc24785"/>
      <w:bookmarkStart w:id="455" w:name="_Toc6129"/>
      <w:bookmarkStart w:id="456" w:name="_Toc28835"/>
      <w:bookmarkStart w:id="457" w:name="_Toc24334"/>
      <w:bookmarkStart w:id="458" w:name="_Toc25640"/>
      <w:bookmarkStart w:id="459" w:name="_Toc9323"/>
      <w:bookmarkStart w:id="460" w:name="_Toc230773689"/>
      <w:bookmarkStart w:id="461" w:name="_Toc60846603"/>
      <w:bookmarkStart w:id="462" w:name="_Toc498075585"/>
      <w:bookmarkStart w:id="463" w:name="_Toc234394491"/>
      <w:bookmarkStart w:id="464" w:name="_Toc449456897"/>
      <w:bookmarkStart w:id="465" w:name="_Toc198521482"/>
      <w:bookmarkStart w:id="466" w:name="_Toc449456806"/>
      <w:bookmarkStart w:id="467" w:name="_Toc198457554"/>
      <w:bookmarkStart w:id="468" w:name="_Toc190762558"/>
      <w:r>
        <w:rPr>
          <w:rFonts w:hint="eastAsia" w:ascii="黑体" w:hAnsi="黑体"/>
          <w:color w:val="000000" w:themeColor="text1"/>
          <w:sz w:val="28"/>
          <w:szCs w:val="28"/>
          <w:highlight w:val="none"/>
        </w:rPr>
        <w:t>3.2</w:t>
      </w:r>
      <w:bookmarkEnd w:id="437"/>
      <w:bookmarkEnd w:id="438"/>
      <w:bookmarkEnd w:id="439"/>
      <w:bookmarkEnd w:id="440"/>
      <w:bookmarkEnd w:id="441"/>
      <w:bookmarkEnd w:id="442"/>
      <w:bookmarkEnd w:id="443"/>
      <w:r>
        <w:rPr>
          <w:rFonts w:hint="eastAsia" w:ascii="黑体" w:hAnsi="黑体"/>
          <w:color w:val="000000" w:themeColor="text1"/>
          <w:sz w:val="28"/>
          <w:szCs w:val="28"/>
          <w:highlight w:val="none"/>
        </w:rPr>
        <w:t>危险、有害因素辨识</w:t>
      </w:r>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p>
    <w:bookmarkEnd w:id="460"/>
    <w:p w14:paraId="5051F094">
      <w:pPr>
        <w:pageBreakBefore w:val="0"/>
        <w:widowControl w:val="0"/>
        <w:kinsoku/>
        <w:wordWrap/>
        <w:overflowPunct/>
        <w:topLinePunct w:val="0"/>
        <w:autoSpaceDE/>
        <w:autoSpaceDN/>
        <w:bidi w:val="0"/>
        <w:adjustRightInd w:val="0"/>
        <w:snapToGrid w:val="0"/>
        <w:spacing w:line="360" w:lineRule="auto"/>
        <w:jc w:val="left"/>
        <w:textAlignment w:val="auto"/>
        <w:outlineLvl w:val="2"/>
        <w:rPr>
          <w:rFonts w:hint="eastAsia" w:ascii="黑体" w:hAnsi="黑体" w:eastAsia="黑体" w:cs="黑体"/>
          <w:b/>
          <w:bCs/>
          <w:color w:val="000000" w:themeColor="text1"/>
          <w:kern w:val="0"/>
          <w:sz w:val="28"/>
          <w:szCs w:val="28"/>
          <w:highlight w:val="none"/>
          <w:lang w:val="en-GB"/>
        </w:rPr>
      </w:pPr>
      <w:bookmarkStart w:id="469" w:name="_Toc5035"/>
      <w:bookmarkStart w:id="470" w:name="_Toc2037"/>
      <w:bookmarkStart w:id="471" w:name="_Toc6662"/>
      <w:bookmarkStart w:id="472" w:name="_Toc16170"/>
      <w:bookmarkStart w:id="473" w:name="_Toc8535"/>
      <w:bookmarkStart w:id="474" w:name="_Toc20392"/>
      <w:bookmarkStart w:id="475" w:name="_Toc31474"/>
      <w:bookmarkStart w:id="476" w:name="_Toc12185"/>
      <w:r>
        <w:rPr>
          <w:rFonts w:hint="eastAsia" w:ascii="黑体" w:hAnsi="黑体" w:eastAsia="黑体" w:cs="黑体"/>
          <w:b/>
          <w:bCs/>
          <w:color w:val="000000" w:themeColor="text1"/>
          <w:kern w:val="0"/>
          <w:sz w:val="28"/>
          <w:szCs w:val="28"/>
          <w:highlight w:val="none"/>
          <w:lang w:val="en-GB"/>
        </w:rPr>
        <w:t>3.</w:t>
      </w:r>
      <w:r>
        <w:rPr>
          <w:rFonts w:hint="eastAsia" w:ascii="黑体" w:hAnsi="黑体" w:eastAsia="黑体" w:cs="黑体"/>
          <w:b/>
          <w:bCs/>
          <w:color w:val="000000" w:themeColor="text1"/>
          <w:kern w:val="0"/>
          <w:sz w:val="28"/>
          <w:szCs w:val="28"/>
          <w:highlight w:val="none"/>
          <w:lang w:val="en-GB" w:eastAsia="zh-CN"/>
        </w:rPr>
        <w:t>2.1</w:t>
      </w:r>
      <w:r>
        <w:rPr>
          <w:rFonts w:hint="eastAsia" w:ascii="黑体" w:hAnsi="黑体" w:eastAsia="黑体" w:cs="黑体"/>
          <w:b/>
          <w:bCs/>
          <w:color w:val="000000" w:themeColor="text1"/>
          <w:kern w:val="0"/>
          <w:sz w:val="28"/>
          <w:szCs w:val="28"/>
          <w:highlight w:val="none"/>
          <w:lang w:val="en-GB"/>
        </w:rPr>
        <w:t xml:space="preserve"> </w:t>
      </w:r>
      <w:r>
        <w:rPr>
          <w:rFonts w:hint="eastAsia" w:ascii="黑体" w:hAnsi="黑体" w:eastAsia="黑体" w:cs="黑体"/>
          <w:b/>
          <w:bCs/>
          <w:color w:val="000000" w:themeColor="text1"/>
          <w:kern w:val="0"/>
          <w:sz w:val="28"/>
          <w:szCs w:val="28"/>
          <w:highlight w:val="none"/>
          <w:lang w:val="en-GB" w:eastAsia="zh-CN"/>
        </w:rPr>
        <w:t>危险化学品</w:t>
      </w:r>
      <w:r>
        <w:rPr>
          <w:rFonts w:hint="eastAsia" w:ascii="黑体" w:hAnsi="黑体" w:eastAsia="黑体" w:cs="黑体"/>
          <w:b/>
          <w:bCs/>
          <w:color w:val="000000" w:themeColor="text1"/>
          <w:kern w:val="0"/>
          <w:sz w:val="28"/>
          <w:szCs w:val="28"/>
          <w:highlight w:val="none"/>
          <w:lang w:val="en-GB"/>
        </w:rPr>
        <w:t>固有的危险、有害因素分析</w:t>
      </w:r>
      <w:bookmarkEnd w:id="461"/>
      <w:bookmarkEnd w:id="462"/>
      <w:bookmarkEnd w:id="469"/>
      <w:bookmarkEnd w:id="470"/>
      <w:bookmarkEnd w:id="471"/>
      <w:bookmarkEnd w:id="472"/>
      <w:bookmarkEnd w:id="473"/>
      <w:bookmarkEnd w:id="474"/>
      <w:bookmarkEnd w:id="475"/>
      <w:bookmarkEnd w:id="476"/>
    </w:p>
    <w:bookmarkEnd w:id="463"/>
    <w:bookmarkEnd w:id="464"/>
    <w:bookmarkEnd w:id="465"/>
    <w:bookmarkEnd w:id="466"/>
    <w:bookmarkEnd w:id="467"/>
    <w:bookmarkEnd w:id="468"/>
    <w:p w14:paraId="623E8849">
      <w:pPr>
        <w:keepNext w:val="0"/>
        <w:keepLines w:val="0"/>
        <w:pageBreakBefore w:val="0"/>
        <w:widowControl w:val="0"/>
        <w:numPr>
          <w:ilvl w:val="0"/>
          <w:numId w:val="29"/>
        </w:numPr>
        <w:kinsoku/>
        <w:wordWrap/>
        <w:overflowPunct/>
        <w:topLinePunct w:val="0"/>
        <w:autoSpaceDE/>
        <w:autoSpaceDN/>
        <w:bidi w:val="0"/>
        <w:adjustRightInd w:val="0"/>
        <w:snapToGrid w:val="0"/>
        <w:spacing w:beforeLines="0" w:afterLines="0" w:line="360" w:lineRule="auto"/>
        <w:ind w:left="0" w:firstLine="560" w:firstLineChars="200"/>
        <w:textAlignment w:val="auto"/>
        <w:outlineLvl w:val="9"/>
        <w:rPr>
          <w:rFonts w:hint="eastAsia" w:ascii="宋体" w:hAnsi="宋体" w:eastAsia="宋体" w:cs="宋体"/>
          <w:b w:val="0"/>
          <w:bCs w:val="0"/>
          <w:color w:val="000000" w:themeColor="text1"/>
          <w:kern w:val="0"/>
          <w:sz w:val="28"/>
          <w:szCs w:val="28"/>
          <w:highlight w:val="none"/>
          <w:lang w:val="en-GB"/>
        </w:rPr>
      </w:pPr>
      <w:bookmarkStart w:id="477" w:name="_Toc16607"/>
      <w:bookmarkStart w:id="478" w:name="_Toc44675067"/>
      <w:bookmarkStart w:id="479" w:name="_Toc12667"/>
      <w:bookmarkStart w:id="480" w:name="_Toc13709"/>
      <w:bookmarkStart w:id="481" w:name="_Toc24832"/>
      <w:bookmarkStart w:id="482" w:name="_Toc4939"/>
      <w:bookmarkStart w:id="483" w:name="_Toc27259"/>
      <w:bookmarkStart w:id="484" w:name="_Toc24488"/>
      <w:bookmarkStart w:id="485" w:name="_Toc3948"/>
      <w:r>
        <w:rPr>
          <w:rFonts w:hint="eastAsia" w:ascii="宋体" w:hAnsi="宋体" w:eastAsia="宋体" w:cs="宋体"/>
          <w:b w:val="0"/>
          <w:bCs w:val="0"/>
          <w:color w:val="000000" w:themeColor="text1"/>
          <w:kern w:val="0"/>
          <w:sz w:val="28"/>
          <w:szCs w:val="28"/>
          <w:highlight w:val="none"/>
        </w:rPr>
        <w:t>危险化学品</w:t>
      </w:r>
      <w:bookmarkEnd w:id="477"/>
      <w:bookmarkEnd w:id="478"/>
      <w:bookmarkEnd w:id="479"/>
      <w:r>
        <w:rPr>
          <w:rFonts w:hint="eastAsia" w:ascii="宋体" w:hAnsi="宋体" w:eastAsia="宋体" w:cs="宋体"/>
          <w:b w:val="0"/>
          <w:bCs w:val="0"/>
          <w:color w:val="000000" w:themeColor="text1"/>
          <w:kern w:val="0"/>
          <w:sz w:val="28"/>
          <w:szCs w:val="28"/>
          <w:highlight w:val="none"/>
          <w:lang w:val="en-GB"/>
        </w:rPr>
        <w:t>辨识</w:t>
      </w:r>
      <w:bookmarkEnd w:id="480"/>
      <w:bookmarkEnd w:id="481"/>
      <w:bookmarkEnd w:id="482"/>
      <w:bookmarkEnd w:id="483"/>
      <w:bookmarkEnd w:id="484"/>
      <w:bookmarkEnd w:id="485"/>
    </w:p>
    <w:p w14:paraId="303FFC27">
      <w:pPr>
        <w:keepNext w:val="0"/>
        <w:keepLines w:val="0"/>
        <w:pageBreakBefore w:val="0"/>
        <w:widowControl w:val="0"/>
        <w:numPr>
          <w:ilvl w:val="0"/>
          <w:numId w:val="30"/>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依据《危险化学品目录》（2015年版）（</w:t>
      </w:r>
      <w:r>
        <w:rPr>
          <w:rFonts w:hint="eastAsia" w:ascii="宋体" w:hAnsi="宋体" w:cs="宋体"/>
          <w:color w:val="000000" w:themeColor="text1"/>
          <w:kern w:val="0"/>
          <w:sz w:val="28"/>
          <w:szCs w:val="28"/>
          <w:highlight w:val="none"/>
        </w:rPr>
        <w:t>安监总局</w:t>
      </w:r>
      <w:r>
        <w:rPr>
          <w:rFonts w:hint="eastAsia" w:ascii="宋体" w:hAnsi="宋体" w:eastAsia="宋体" w:cs="宋体"/>
          <w:color w:val="000000" w:themeColor="text1"/>
          <w:kern w:val="0"/>
          <w:sz w:val="28"/>
          <w:szCs w:val="28"/>
          <w:highlight w:val="none"/>
        </w:rPr>
        <w:t>等部局公告</w:t>
      </w:r>
      <w:r>
        <w:rPr>
          <w:rFonts w:hint="eastAsia" w:ascii="宋体" w:hAnsi="宋体" w:cs="宋体"/>
          <w:color w:val="000000" w:themeColor="text1"/>
          <w:kern w:val="0"/>
          <w:sz w:val="28"/>
          <w:szCs w:val="28"/>
          <w:highlight w:val="none"/>
        </w:rPr>
        <w:t>〔</w:t>
      </w:r>
      <w:r>
        <w:rPr>
          <w:rFonts w:hint="eastAsia" w:ascii="宋体" w:hAnsi="宋体" w:eastAsia="宋体" w:cs="宋体"/>
          <w:color w:val="000000" w:themeColor="text1"/>
          <w:kern w:val="0"/>
          <w:sz w:val="28"/>
          <w:szCs w:val="28"/>
          <w:highlight w:val="none"/>
        </w:rPr>
        <w:t>2015</w:t>
      </w:r>
      <w:r>
        <w:rPr>
          <w:rFonts w:hint="eastAsia" w:ascii="宋体" w:hAnsi="宋体" w:cs="宋体"/>
          <w:color w:val="000000" w:themeColor="text1"/>
          <w:kern w:val="0"/>
          <w:sz w:val="28"/>
          <w:szCs w:val="28"/>
          <w:highlight w:val="none"/>
        </w:rPr>
        <w:t>〕</w:t>
      </w:r>
      <w:r>
        <w:rPr>
          <w:rFonts w:hint="eastAsia" w:ascii="宋体" w:hAnsi="宋体" w:eastAsia="宋体" w:cs="宋体"/>
          <w:color w:val="000000" w:themeColor="text1"/>
          <w:kern w:val="0"/>
          <w:sz w:val="28"/>
          <w:szCs w:val="28"/>
          <w:highlight w:val="none"/>
        </w:rPr>
        <w:t>第5号，十部委公告</w:t>
      </w:r>
      <w:r>
        <w:rPr>
          <w:rFonts w:hint="eastAsia" w:ascii="宋体" w:hAnsi="宋体" w:cs="宋体"/>
          <w:color w:val="000000" w:themeColor="text1"/>
          <w:kern w:val="0"/>
          <w:sz w:val="28"/>
          <w:szCs w:val="28"/>
          <w:highlight w:val="none"/>
        </w:rPr>
        <w:t>〔</w:t>
      </w:r>
      <w:r>
        <w:rPr>
          <w:rFonts w:hint="eastAsia" w:ascii="宋体" w:hAnsi="宋体" w:eastAsia="宋体" w:cs="宋体"/>
          <w:color w:val="000000" w:themeColor="text1"/>
          <w:kern w:val="0"/>
          <w:sz w:val="28"/>
          <w:szCs w:val="28"/>
          <w:highlight w:val="none"/>
        </w:rPr>
        <w:t>2022</w:t>
      </w:r>
      <w:r>
        <w:rPr>
          <w:rFonts w:hint="eastAsia" w:ascii="宋体" w:hAnsi="宋体" w:cs="宋体"/>
          <w:color w:val="000000" w:themeColor="text1"/>
          <w:kern w:val="0"/>
          <w:sz w:val="28"/>
          <w:szCs w:val="28"/>
          <w:highlight w:val="none"/>
        </w:rPr>
        <w:t>〕</w:t>
      </w:r>
      <w:r>
        <w:rPr>
          <w:rFonts w:hint="eastAsia" w:ascii="宋体" w:hAnsi="宋体" w:eastAsia="宋体" w:cs="宋体"/>
          <w:color w:val="000000" w:themeColor="text1"/>
          <w:kern w:val="0"/>
          <w:sz w:val="28"/>
          <w:szCs w:val="28"/>
          <w:highlight w:val="none"/>
        </w:rPr>
        <w:t>第8号修改）辨识，</w:t>
      </w:r>
      <w:r>
        <w:rPr>
          <w:color w:val="000000" w:themeColor="text1"/>
          <w:sz w:val="28"/>
          <w:szCs w:val="28"/>
          <w:highlight w:val="none"/>
        </w:rPr>
        <w:t>华美线业</w:t>
      </w:r>
      <w:r>
        <w:rPr>
          <w:rFonts w:hint="eastAsia" w:ascii="宋体" w:hAnsi="宋体" w:eastAsia="宋体" w:cs="宋体"/>
          <w:bCs/>
          <w:color w:val="000000" w:themeColor="text1"/>
          <w:kern w:val="0"/>
          <w:sz w:val="28"/>
          <w:szCs w:val="28"/>
          <w:highlight w:val="none"/>
          <w:lang w:eastAsia="zh-CN"/>
        </w:rPr>
        <w:t>使用</w:t>
      </w:r>
      <w:r>
        <w:rPr>
          <w:rFonts w:hint="eastAsia" w:ascii="宋体" w:hAnsi="宋体" w:eastAsia="宋体" w:cs="宋体"/>
          <w:bCs/>
          <w:color w:val="000000" w:themeColor="text1"/>
          <w:kern w:val="0"/>
          <w:sz w:val="28"/>
          <w:szCs w:val="28"/>
          <w:highlight w:val="none"/>
        </w:rPr>
        <w:t>的</w:t>
      </w:r>
      <w:r>
        <w:rPr>
          <w:rFonts w:hint="eastAsia" w:ascii="宋体" w:hAnsi="宋体" w:eastAsia="宋体" w:cs="宋体"/>
          <w:color w:val="000000" w:themeColor="text1"/>
          <w:sz w:val="28"/>
          <w:szCs w:val="28"/>
          <w:highlight w:val="none"/>
          <w:lang w:val="en-US" w:eastAsia="zh-CN"/>
        </w:rPr>
        <w:t>氢氧化钠溶液</w:t>
      </w:r>
      <w:r>
        <w:rPr>
          <w:rFonts w:hint="eastAsia" w:ascii="宋体" w:hAnsi="宋体" w:eastAsia="宋体" w:cs="宋体"/>
          <w:bCs/>
          <w:color w:val="000000" w:themeColor="text1"/>
          <w:sz w:val="28"/>
          <w:szCs w:val="28"/>
          <w:highlight w:val="none"/>
          <w:lang w:eastAsia="zh-CN"/>
        </w:rPr>
        <w:t>、</w:t>
      </w:r>
      <w:r>
        <w:rPr>
          <w:rFonts w:hint="eastAsia" w:ascii="宋体" w:hAnsi="宋体" w:eastAsia="宋体" w:cs="宋体"/>
          <w:color w:val="000000" w:themeColor="text1"/>
          <w:sz w:val="28"/>
          <w:szCs w:val="28"/>
          <w:highlight w:val="none"/>
          <w:vertAlign w:val="baseline"/>
          <w:lang w:val="en-US" w:eastAsia="zh-CN"/>
        </w:rPr>
        <w:t>乙酸</w:t>
      </w:r>
      <w:r>
        <w:rPr>
          <w:rFonts w:hint="eastAsia" w:ascii="宋体" w:hAnsi="宋体" w:eastAsia="宋体" w:cs="宋体"/>
          <w:bCs/>
          <w:color w:val="000000" w:themeColor="text1"/>
          <w:sz w:val="28"/>
          <w:szCs w:val="28"/>
          <w:highlight w:val="none"/>
        </w:rPr>
        <w:t>、过碳酸钠、保险粉</w:t>
      </w:r>
      <w:r>
        <w:rPr>
          <w:rFonts w:hint="eastAsia" w:ascii="宋体" w:hAnsi="宋体" w:eastAsia="宋体" w:cs="宋体"/>
          <w:bCs/>
          <w:color w:val="000000" w:themeColor="text1"/>
          <w:sz w:val="28"/>
          <w:szCs w:val="28"/>
          <w:highlight w:val="none"/>
          <w:lang w:eastAsia="zh-CN"/>
        </w:rPr>
        <w:t>、</w:t>
      </w:r>
      <w:r>
        <w:rPr>
          <w:rFonts w:hint="eastAsia" w:ascii="宋体" w:hAnsi="宋体" w:eastAsia="宋体" w:cs="宋体"/>
          <w:bCs/>
          <w:color w:val="000000" w:themeColor="text1"/>
          <w:sz w:val="28"/>
          <w:szCs w:val="28"/>
          <w:highlight w:val="none"/>
        </w:rPr>
        <w:t>次氯酸钠溶液</w:t>
      </w:r>
      <w:r>
        <w:rPr>
          <w:rFonts w:hint="eastAsia" w:ascii="宋体" w:hAnsi="宋体" w:eastAsia="宋体" w:cs="宋体"/>
          <w:color w:val="000000" w:themeColor="text1"/>
          <w:kern w:val="0"/>
          <w:sz w:val="28"/>
          <w:szCs w:val="28"/>
          <w:highlight w:val="none"/>
        </w:rPr>
        <w:t>属于危险化学品</w:t>
      </w:r>
      <w:r>
        <w:rPr>
          <w:rFonts w:hint="eastAsia" w:ascii="宋体" w:hAnsi="宋体" w:eastAsia="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不涉及剧毒化学品；</w:t>
      </w:r>
    </w:p>
    <w:p w14:paraId="4667ADA3">
      <w:pPr>
        <w:keepNext w:val="0"/>
        <w:keepLines w:val="0"/>
        <w:pageBreakBefore w:val="0"/>
        <w:widowControl w:val="0"/>
        <w:numPr>
          <w:ilvl w:val="0"/>
          <w:numId w:val="30"/>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依据《高毒物品目录》（卫法监发〔2003〕142号）辨识，不涉及高毒物品；</w:t>
      </w:r>
    </w:p>
    <w:p w14:paraId="3656094A">
      <w:pPr>
        <w:keepNext w:val="0"/>
        <w:keepLines w:val="0"/>
        <w:pageBreakBefore w:val="0"/>
        <w:widowControl w:val="0"/>
        <w:numPr>
          <w:ilvl w:val="0"/>
          <w:numId w:val="30"/>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依据《国家安全监管总局关于公布</w:t>
      </w:r>
      <w:r>
        <w:rPr>
          <w:rFonts w:hint="eastAsia" w:ascii="宋体" w:hAnsi="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首批重点监管的危险化学品名录</w:t>
      </w:r>
      <w:r>
        <w:rPr>
          <w:rFonts w:hint="eastAsia" w:ascii="宋体" w:hAnsi="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的通知》（安监总管三〔2011〕95号）《国家安全监管总局关于公布</w:t>
      </w:r>
      <w:r>
        <w:rPr>
          <w:rFonts w:hint="eastAsia" w:ascii="宋体" w:hAnsi="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第二批重点监管危险化学品名录</w:t>
      </w:r>
      <w:r>
        <w:rPr>
          <w:rFonts w:hint="eastAsia" w:ascii="宋体" w:hAnsi="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的通知》（安监总管三</w:t>
      </w:r>
      <w:r>
        <w:rPr>
          <w:rFonts w:hint="eastAsia" w:ascii="宋体" w:hAnsi="宋体" w:eastAsia="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2013</w:t>
      </w:r>
      <w:r>
        <w:rPr>
          <w:rFonts w:hint="eastAsia" w:ascii="宋体" w:hAnsi="宋体" w:eastAsia="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12号）辨识，</w:t>
      </w:r>
      <w:r>
        <w:rPr>
          <w:rFonts w:hint="eastAsia" w:ascii="宋体" w:hAnsi="宋体" w:eastAsia="宋体" w:cs="宋体"/>
          <w:bCs/>
          <w:color w:val="000000" w:themeColor="text1"/>
          <w:sz w:val="28"/>
          <w:szCs w:val="28"/>
          <w:highlight w:val="none"/>
          <w:lang w:eastAsia="zh-CN"/>
        </w:rPr>
        <w:t>不涉及</w:t>
      </w:r>
      <w:r>
        <w:rPr>
          <w:rFonts w:hint="eastAsia" w:ascii="宋体" w:hAnsi="宋体" w:eastAsia="宋体" w:cs="宋体"/>
          <w:color w:val="000000" w:themeColor="text1"/>
          <w:kern w:val="0"/>
          <w:sz w:val="28"/>
          <w:szCs w:val="28"/>
          <w:highlight w:val="none"/>
        </w:rPr>
        <w:t>重点监管危险化学品；</w:t>
      </w:r>
    </w:p>
    <w:p w14:paraId="17980982">
      <w:pPr>
        <w:keepNext w:val="0"/>
        <w:keepLines w:val="0"/>
        <w:pageBreakBefore w:val="0"/>
        <w:widowControl w:val="0"/>
        <w:numPr>
          <w:ilvl w:val="0"/>
          <w:numId w:val="30"/>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依据《易制毒化学品管理条例》（国务院令〔2005〕445号发布，国务院令〔2014〕653号、国务院令〔2016〕666号、国务院令〔2018〕703号修改，国办函〔2014〕40号、国办函〔2017〕120号、国办函〔2021〕58号增补修正）辨识，</w:t>
      </w:r>
      <w:r>
        <w:rPr>
          <w:rFonts w:hint="eastAsia" w:ascii="宋体" w:hAnsi="宋体" w:eastAsia="宋体" w:cs="宋体"/>
          <w:bCs/>
          <w:color w:val="000000" w:themeColor="text1"/>
          <w:sz w:val="28"/>
          <w:szCs w:val="28"/>
          <w:highlight w:val="none"/>
          <w:lang w:eastAsia="zh-CN"/>
        </w:rPr>
        <w:t>不涉及</w:t>
      </w:r>
      <w:r>
        <w:rPr>
          <w:rFonts w:hint="eastAsia" w:ascii="宋体" w:hAnsi="宋体" w:eastAsia="宋体" w:cs="宋体"/>
          <w:color w:val="000000" w:themeColor="text1"/>
          <w:kern w:val="0"/>
          <w:sz w:val="28"/>
          <w:szCs w:val="28"/>
          <w:highlight w:val="none"/>
        </w:rPr>
        <w:t>易制毒化学品；</w:t>
      </w:r>
    </w:p>
    <w:p w14:paraId="1D8B2A79">
      <w:pPr>
        <w:keepNext w:val="0"/>
        <w:keepLines w:val="0"/>
        <w:pageBreakBefore w:val="0"/>
        <w:widowControl w:val="0"/>
        <w:numPr>
          <w:ilvl w:val="0"/>
          <w:numId w:val="30"/>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依据《易制爆危险化学品名录》（2017年版）辨识，</w:t>
      </w:r>
      <w:r>
        <w:rPr>
          <w:rFonts w:hint="eastAsia" w:ascii="宋体" w:hAnsi="宋体" w:eastAsia="宋体" w:cs="宋体"/>
          <w:color w:val="000000" w:themeColor="text1"/>
          <w:kern w:val="0"/>
          <w:sz w:val="28"/>
          <w:szCs w:val="28"/>
          <w:highlight w:val="none"/>
          <w:lang w:eastAsia="zh-CN"/>
        </w:rPr>
        <w:t>不涉及</w:t>
      </w:r>
      <w:r>
        <w:rPr>
          <w:rFonts w:hint="eastAsia" w:ascii="宋体" w:hAnsi="宋体" w:eastAsia="宋体" w:cs="宋体"/>
          <w:color w:val="000000" w:themeColor="text1"/>
          <w:kern w:val="0"/>
          <w:sz w:val="28"/>
          <w:szCs w:val="28"/>
          <w:highlight w:val="none"/>
        </w:rPr>
        <w:t>易制爆危险化学品；</w:t>
      </w:r>
    </w:p>
    <w:p w14:paraId="73EC77CF">
      <w:pPr>
        <w:keepNext w:val="0"/>
        <w:keepLines w:val="0"/>
        <w:pageBreakBefore w:val="0"/>
        <w:widowControl w:val="0"/>
        <w:numPr>
          <w:ilvl w:val="0"/>
          <w:numId w:val="30"/>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依据《各类监控化学品名录》工业和信息化部令第52号辨识，不涉及监控化学品；</w:t>
      </w:r>
    </w:p>
    <w:p w14:paraId="106A6477">
      <w:pPr>
        <w:pStyle w:val="18"/>
        <w:keepNext w:val="0"/>
        <w:keepLines w:val="0"/>
        <w:pageBreakBefore w:val="0"/>
        <w:widowControl w:val="0"/>
        <w:numPr>
          <w:ilvl w:val="0"/>
          <w:numId w:val="30"/>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依据《特别管控危险化学品目录（第一版）》（应急管理部、工业和信息化部、公安部、交通运输部公告〔2020〕3号）辨识，不涉及特别管控危险化学品。</w:t>
      </w:r>
    </w:p>
    <w:p w14:paraId="609F8ABE">
      <w:pPr>
        <w:keepNext w:val="0"/>
        <w:keepLines w:val="0"/>
        <w:pageBreakBefore w:val="0"/>
        <w:widowControl w:val="0"/>
        <w:kinsoku/>
        <w:wordWrap/>
        <w:overflowPunct/>
        <w:topLinePunct w:val="0"/>
        <w:autoSpaceDE/>
        <w:autoSpaceDN/>
        <w:bidi w:val="0"/>
        <w:adjustRightInd w:val="0"/>
        <w:snapToGrid w:val="0"/>
        <w:spacing w:beforeLines="0" w:afterLines="0" w:line="360" w:lineRule="auto"/>
        <w:ind w:left="0" w:firstLine="560" w:firstLineChars="200"/>
        <w:textAlignment w:val="auto"/>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危险化学品辨识结果见下表。</w:t>
      </w:r>
    </w:p>
    <w:p w14:paraId="47014C72">
      <w:pPr>
        <w:widowControl w:val="0"/>
        <w:adjustRightInd w:val="0"/>
        <w:snapToGrid w:val="0"/>
        <w:spacing w:line="560" w:lineRule="exact"/>
        <w:ind w:firstLine="0"/>
        <w:jc w:val="both"/>
        <w:rPr>
          <w:rFonts w:hint="eastAsia" w:ascii="黑体" w:hAnsi="黑体" w:eastAsia="黑体" w:cs="Times New Roman"/>
          <w:b/>
          <w:bCs/>
          <w:color w:val="000000" w:themeColor="text1"/>
          <w:sz w:val="28"/>
          <w:szCs w:val="28"/>
          <w:highlight w:val="none"/>
        </w:rPr>
      </w:pPr>
    </w:p>
    <w:p w14:paraId="4AFBC24C">
      <w:pPr>
        <w:widowControl w:val="0"/>
        <w:adjustRightInd w:val="0"/>
        <w:snapToGrid w:val="0"/>
        <w:spacing w:line="360" w:lineRule="auto"/>
        <w:ind w:firstLine="0"/>
        <w:jc w:val="center"/>
        <w:rPr>
          <w:rFonts w:hint="eastAsia" w:ascii="黑体" w:hAnsi="黑体" w:eastAsia="黑体" w:cs="Times New Roman"/>
          <w:b/>
          <w:bCs/>
          <w:color w:val="000000" w:themeColor="text1"/>
          <w:sz w:val="24"/>
          <w:szCs w:val="24"/>
          <w:highlight w:val="none"/>
          <w:lang w:eastAsia="zh-CN"/>
        </w:rPr>
        <w:sectPr>
          <w:footerReference r:id="rId21" w:type="default"/>
          <w:pgSz w:w="11906" w:h="16838"/>
          <w:pgMar w:top="1418" w:right="1134" w:bottom="1134" w:left="1588" w:header="794" w:footer="794" w:gutter="0"/>
          <w:pgBorders>
            <w:top w:val="none" w:sz="0" w:space="0"/>
            <w:left w:val="none" w:sz="0" w:space="0"/>
            <w:bottom w:val="none" w:sz="0" w:space="0"/>
            <w:right w:val="none" w:sz="0" w:space="0"/>
          </w:pgBorders>
          <w:cols w:space="425" w:num="1"/>
          <w:docGrid w:linePitch="312" w:charSpace="0"/>
        </w:sectPr>
      </w:pPr>
    </w:p>
    <w:p w14:paraId="5BF33916">
      <w:pPr>
        <w:widowControl w:val="0"/>
        <w:adjustRightInd w:val="0"/>
        <w:snapToGrid w:val="0"/>
        <w:spacing w:line="360" w:lineRule="auto"/>
        <w:ind w:firstLine="0"/>
        <w:jc w:val="center"/>
        <w:rPr>
          <w:rFonts w:ascii="黑体" w:hAnsi="黑体" w:eastAsia="黑体" w:cs="Times New Roman"/>
          <w:b/>
          <w:bCs/>
          <w:color w:val="000000" w:themeColor="text1"/>
          <w:sz w:val="24"/>
          <w:szCs w:val="24"/>
          <w:highlight w:val="none"/>
        </w:rPr>
      </w:pPr>
      <w:r>
        <w:rPr>
          <w:rFonts w:hint="eastAsia" w:ascii="黑体" w:hAnsi="黑体" w:eastAsia="黑体" w:cs="Times New Roman"/>
          <w:b/>
          <w:bCs/>
          <w:color w:val="000000" w:themeColor="text1"/>
          <w:sz w:val="24"/>
          <w:szCs w:val="24"/>
          <w:highlight w:val="none"/>
          <w:lang w:eastAsia="zh-CN"/>
        </w:rPr>
        <w:t>表</w:t>
      </w:r>
      <w:r>
        <w:rPr>
          <w:rFonts w:hint="eastAsia" w:ascii="黑体" w:hAnsi="黑体" w:eastAsia="黑体" w:cs="Times New Roman"/>
          <w:b/>
          <w:bCs/>
          <w:color w:val="000000" w:themeColor="text1"/>
          <w:sz w:val="24"/>
          <w:szCs w:val="24"/>
          <w:highlight w:val="none"/>
          <w:lang w:val="en-US" w:eastAsia="zh-CN"/>
        </w:rPr>
        <w:t xml:space="preserve">3.2-1 </w:t>
      </w:r>
      <w:r>
        <w:rPr>
          <w:rFonts w:hint="eastAsia" w:ascii="黑体" w:hAnsi="黑体" w:eastAsia="黑体" w:cs="Times New Roman"/>
          <w:b/>
          <w:bCs/>
          <w:color w:val="000000" w:themeColor="text1"/>
          <w:sz w:val="24"/>
          <w:szCs w:val="24"/>
          <w:highlight w:val="none"/>
        </w:rPr>
        <w:t>危险化学品辨识结果一览表</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0"/>
        <w:gridCol w:w="1725"/>
        <w:gridCol w:w="1331"/>
        <w:gridCol w:w="1316"/>
        <w:gridCol w:w="1354"/>
        <w:gridCol w:w="1354"/>
        <w:gridCol w:w="1354"/>
        <w:gridCol w:w="1354"/>
        <w:gridCol w:w="1354"/>
        <w:gridCol w:w="1354"/>
        <w:gridCol w:w="1360"/>
      </w:tblGrid>
      <w:tr w14:paraId="2EAAB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221" w:type="pct"/>
            <w:shd w:val="clear" w:color="auto" w:fill="auto"/>
            <w:vAlign w:val="center"/>
          </w:tcPr>
          <w:p w14:paraId="311C051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bookmarkStart w:id="486" w:name="OLE_LINK9"/>
            <w:bookmarkStart w:id="487" w:name="OLE_LINK10"/>
            <w:r>
              <w:rPr>
                <w:rFonts w:hint="eastAsia" w:ascii="宋体" w:hAnsi="宋体" w:eastAsia="宋体" w:cs="宋体"/>
                <w:b/>
                <w:bCs/>
                <w:color w:val="000000" w:themeColor="text1"/>
                <w:sz w:val="21"/>
                <w:szCs w:val="21"/>
                <w:highlight w:val="none"/>
              </w:rPr>
              <w:t>序号</w:t>
            </w:r>
          </w:p>
        </w:tc>
        <w:tc>
          <w:tcPr>
            <w:tcW w:w="595" w:type="pct"/>
            <w:shd w:val="clear" w:color="auto" w:fill="auto"/>
            <w:vAlign w:val="center"/>
          </w:tcPr>
          <w:p w14:paraId="499B02B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名称</w:t>
            </w:r>
          </w:p>
        </w:tc>
        <w:tc>
          <w:tcPr>
            <w:tcW w:w="1318" w:type="dxa"/>
            <w:shd w:val="clear" w:color="auto" w:fill="auto"/>
            <w:vAlign w:val="center"/>
          </w:tcPr>
          <w:p w14:paraId="3092F93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CAS号</w:t>
            </w:r>
          </w:p>
        </w:tc>
        <w:tc>
          <w:tcPr>
            <w:tcW w:w="454" w:type="pct"/>
            <w:shd w:val="clear" w:color="auto" w:fill="auto"/>
            <w:vAlign w:val="center"/>
          </w:tcPr>
          <w:p w14:paraId="76716E1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危化品序号</w:t>
            </w:r>
          </w:p>
        </w:tc>
        <w:tc>
          <w:tcPr>
            <w:tcW w:w="467" w:type="pct"/>
            <w:shd w:val="clear" w:color="auto" w:fill="auto"/>
            <w:vAlign w:val="center"/>
          </w:tcPr>
          <w:p w14:paraId="57F64D5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剧毒化学品</w:t>
            </w:r>
          </w:p>
        </w:tc>
        <w:tc>
          <w:tcPr>
            <w:tcW w:w="467" w:type="pct"/>
            <w:vAlign w:val="center"/>
          </w:tcPr>
          <w:p w14:paraId="349BC45D">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高毒物品</w:t>
            </w:r>
          </w:p>
        </w:tc>
        <w:tc>
          <w:tcPr>
            <w:tcW w:w="467" w:type="pct"/>
            <w:shd w:val="clear" w:color="auto" w:fill="auto"/>
            <w:vAlign w:val="center"/>
          </w:tcPr>
          <w:p w14:paraId="7E515FF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重点监管危化品</w:t>
            </w:r>
          </w:p>
        </w:tc>
        <w:tc>
          <w:tcPr>
            <w:tcW w:w="467" w:type="pct"/>
            <w:shd w:val="clear" w:color="auto" w:fill="auto"/>
            <w:vAlign w:val="center"/>
          </w:tcPr>
          <w:p w14:paraId="087A614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易制毒化学品</w:t>
            </w:r>
          </w:p>
        </w:tc>
        <w:tc>
          <w:tcPr>
            <w:tcW w:w="467" w:type="pct"/>
            <w:vAlign w:val="center"/>
          </w:tcPr>
          <w:p w14:paraId="537F8392">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易制爆化学品</w:t>
            </w:r>
          </w:p>
        </w:tc>
        <w:tc>
          <w:tcPr>
            <w:tcW w:w="467" w:type="pct"/>
            <w:vAlign w:val="center"/>
          </w:tcPr>
          <w:p w14:paraId="4DD4FA3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特别管控危险化学品</w:t>
            </w:r>
          </w:p>
        </w:tc>
        <w:tc>
          <w:tcPr>
            <w:tcW w:w="469" w:type="pct"/>
            <w:shd w:val="clear" w:color="auto" w:fill="auto"/>
            <w:vAlign w:val="center"/>
          </w:tcPr>
          <w:p w14:paraId="35E3745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监控化学品</w:t>
            </w:r>
          </w:p>
        </w:tc>
      </w:tr>
      <w:tr w14:paraId="33C26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1" w:type="pct"/>
            <w:shd w:val="clear" w:color="auto" w:fill="auto"/>
            <w:vAlign w:val="center"/>
          </w:tcPr>
          <w:p w14:paraId="0EBFC323">
            <w:pPr>
              <w:keepNext w:val="0"/>
              <w:keepLines w:val="0"/>
              <w:pageBreakBefore w:val="0"/>
              <w:widowControl w:val="0"/>
              <w:numPr>
                <w:ilvl w:val="0"/>
                <w:numId w:val="31"/>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000000" w:themeColor="text1"/>
                <w:sz w:val="21"/>
                <w:szCs w:val="21"/>
                <w:highlight w:val="none"/>
              </w:rPr>
            </w:pPr>
          </w:p>
        </w:tc>
        <w:tc>
          <w:tcPr>
            <w:tcW w:w="595" w:type="pct"/>
            <w:shd w:val="clear" w:color="auto" w:fill="auto"/>
            <w:vAlign w:val="center"/>
          </w:tcPr>
          <w:p w14:paraId="06C69FE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氢氧化钠溶液</w:t>
            </w:r>
          </w:p>
        </w:tc>
        <w:tc>
          <w:tcPr>
            <w:tcW w:w="1318" w:type="dxa"/>
            <w:shd w:val="clear" w:color="auto" w:fill="auto"/>
            <w:vAlign w:val="center"/>
          </w:tcPr>
          <w:p w14:paraId="7B65DAB8">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1310-73-2</w:t>
            </w:r>
          </w:p>
        </w:tc>
        <w:tc>
          <w:tcPr>
            <w:tcW w:w="454" w:type="pct"/>
            <w:shd w:val="clear" w:color="auto" w:fill="auto"/>
            <w:vAlign w:val="center"/>
          </w:tcPr>
          <w:p w14:paraId="125198B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1669</w:t>
            </w:r>
          </w:p>
        </w:tc>
        <w:tc>
          <w:tcPr>
            <w:tcW w:w="467" w:type="pct"/>
            <w:shd w:val="clear" w:color="auto" w:fill="auto"/>
            <w:vAlign w:val="center"/>
          </w:tcPr>
          <w:p w14:paraId="7784E99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vAlign w:val="center"/>
          </w:tcPr>
          <w:p w14:paraId="7920A05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shd w:val="clear" w:color="auto" w:fill="auto"/>
            <w:vAlign w:val="center"/>
          </w:tcPr>
          <w:p w14:paraId="5758DEB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shd w:val="clear" w:color="auto" w:fill="auto"/>
            <w:vAlign w:val="center"/>
          </w:tcPr>
          <w:p w14:paraId="262F114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vAlign w:val="center"/>
          </w:tcPr>
          <w:p w14:paraId="24CEAF88">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vAlign w:val="center"/>
          </w:tcPr>
          <w:p w14:paraId="7B26E4C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9" w:type="pct"/>
            <w:shd w:val="clear" w:color="auto" w:fill="auto"/>
            <w:vAlign w:val="center"/>
          </w:tcPr>
          <w:p w14:paraId="35384912">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r>
      <w:tr w14:paraId="60030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1" w:type="pct"/>
            <w:shd w:val="clear" w:color="auto" w:fill="auto"/>
            <w:vAlign w:val="center"/>
          </w:tcPr>
          <w:p w14:paraId="4CC8EA93">
            <w:pPr>
              <w:keepNext w:val="0"/>
              <w:keepLines w:val="0"/>
              <w:pageBreakBefore w:val="0"/>
              <w:widowControl w:val="0"/>
              <w:numPr>
                <w:ilvl w:val="0"/>
                <w:numId w:val="31"/>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000000" w:themeColor="text1"/>
                <w:sz w:val="21"/>
                <w:szCs w:val="21"/>
                <w:highlight w:val="none"/>
              </w:rPr>
            </w:pPr>
          </w:p>
        </w:tc>
        <w:tc>
          <w:tcPr>
            <w:tcW w:w="595" w:type="pct"/>
            <w:shd w:val="clear" w:color="auto" w:fill="auto"/>
            <w:vAlign w:val="center"/>
          </w:tcPr>
          <w:p w14:paraId="0809C53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eastAsia="zh-CN"/>
              </w:rPr>
              <w:t>乙酸</w:t>
            </w:r>
          </w:p>
        </w:tc>
        <w:tc>
          <w:tcPr>
            <w:tcW w:w="1318" w:type="dxa"/>
            <w:shd w:val="clear" w:color="auto" w:fill="auto"/>
            <w:vAlign w:val="center"/>
          </w:tcPr>
          <w:p w14:paraId="035B465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64-19-7</w:t>
            </w:r>
          </w:p>
        </w:tc>
        <w:tc>
          <w:tcPr>
            <w:tcW w:w="454" w:type="pct"/>
            <w:shd w:val="clear" w:color="auto" w:fill="auto"/>
            <w:vAlign w:val="center"/>
          </w:tcPr>
          <w:p w14:paraId="46A7051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2630</w:t>
            </w:r>
          </w:p>
        </w:tc>
        <w:tc>
          <w:tcPr>
            <w:tcW w:w="467" w:type="pct"/>
            <w:shd w:val="clear" w:color="auto" w:fill="auto"/>
            <w:vAlign w:val="center"/>
          </w:tcPr>
          <w:p w14:paraId="28933DA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vAlign w:val="center"/>
          </w:tcPr>
          <w:p w14:paraId="2B9F5C5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shd w:val="clear" w:color="auto" w:fill="auto"/>
            <w:vAlign w:val="center"/>
          </w:tcPr>
          <w:p w14:paraId="142EE69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shd w:val="clear" w:color="auto" w:fill="auto"/>
            <w:vAlign w:val="center"/>
          </w:tcPr>
          <w:p w14:paraId="29452EE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vAlign w:val="center"/>
          </w:tcPr>
          <w:p w14:paraId="054FE65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vAlign w:val="center"/>
          </w:tcPr>
          <w:p w14:paraId="1EFAADF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9" w:type="pct"/>
            <w:shd w:val="clear" w:color="auto" w:fill="auto"/>
            <w:vAlign w:val="center"/>
          </w:tcPr>
          <w:p w14:paraId="3086934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r>
      <w:tr w14:paraId="21373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1" w:type="pct"/>
            <w:shd w:val="clear" w:color="auto" w:fill="auto"/>
            <w:vAlign w:val="center"/>
          </w:tcPr>
          <w:p w14:paraId="114D9A74">
            <w:pPr>
              <w:keepNext w:val="0"/>
              <w:keepLines w:val="0"/>
              <w:pageBreakBefore w:val="0"/>
              <w:widowControl w:val="0"/>
              <w:numPr>
                <w:ilvl w:val="0"/>
                <w:numId w:val="31"/>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000000" w:themeColor="text1"/>
                <w:sz w:val="21"/>
                <w:szCs w:val="21"/>
                <w:highlight w:val="none"/>
              </w:rPr>
            </w:pPr>
          </w:p>
        </w:tc>
        <w:tc>
          <w:tcPr>
            <w:tcW w:w="595" w:type="pct"/>
            <w:shd w:val="clear" w:color="auto" w:fill="auto"/>
            <w:vAlign w:val="center"/>
          </w:tcPr>
          <w:p w14:paraId="403A10D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保险粉</w:t>
            </w:r>
          </w:p>
        </w:tc>
        <w:tc>
          <w:tcPr>
            <w:tcW w:w="1318" w:type="dxa"/>
            <w:shd w:val="clear" w:color="auto" w:fill="auto"/>
            <w:vAlign w:val="center"/>
          </w:tcPr>
          <w:p w14:paraId="298596B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7775-14-6</w:t>
            </w:r>
          </w:p>
        </w:tc>
        <w:tc>
          <w:tcPr>
            <w:tcW w:w="454" w:type="pct"/>
            <w:shd w:val="clear" w:color="auto" w:fill="auto"/>
            <w:vAlign w:val="center"/>
          </w:tcPr>
          <w:p w14:paraId="620240E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1243</w:t>
            </w:r>
          </w:p>
        </w:tc>
        <w:tc>
          <w:tcPr>
            <w:tcW w:w="467" w:type="pct"/>
            <w:shd w:val="clear" w:color="auto" w:fill="auto"/>
            <w:vAlign w:val="center"/>
          </w:tcPr>
          <w:p w14:paraId="7D386FB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vAlign w:val="center"/>
          </w:tcPr>
          <w:p w14:paraId="31B2C21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shd w:val="clear" w:color="auto" w:fill="auto"/>
            <w:vAlign w:val="center"/>
          </w:tcPr>
          <w:p w14:paraId="72474EA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shd w:val="clear" w:color="auto" w:fill="auto"/>
            <w:vAlign w:val="center"/>
          </w:tcPr>
          <w:p w14:paraId="23E6360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vAlign w:val="center"/>
          </w:tcPr>
          <w:p w14:paraId="42780B5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vAlign w:val="center"/>
          </w:tcPr>
          <w:p w14:paraId="363D8F28">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9" w:type="pct"/>
            <w:shd w:val="clear" w:color="auto" w:fill="auto"/>
            <w:vAlign w:val="center"/>
          </w:tcPr>
          <w:p w14:paraId="41FC15D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r>
      <w:tr w14:paraId="5596F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1" w:type="pct"/>
            <w:shd w:val="clear" w:color="auto" w:fill="auto"/>
            <w:vAlign w:val="center"/>
          </w:tcPr>
          <w:p w14:paraId="62C8BE2D">
            <w:pPr>
              <w:keepNext w:val="0"/>
              <w:keepLines w:val="0"/>
              <w:pageBreakBefore w:val="0"/>
              <w:widowControl w:val="0"/>
              <w:numPr>
                <w:ilvl w:val="0"/>
                <w:numId w:val="31"/>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000000" w:themeColor="text1"/>
                <w:sz w:val="21"/>
                <w:szCs w:val="21"/>
                <w:highlight w:val="none"/>
              </w:rPr>
            </w:pPr>
          </w:p>
        </w:tc>
        <w:tc>
          <w:tcPr>
            <w:tcW w:w="595" w:type="pct"/>
            <w:shd w:val="clear" w:color="auto" w:fill="auto"/>
            <w:vAlign w:val="center"/>
          </w:tcPr>
          <w:p w14:paraId="15E610A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过碳酸钠</w:t>
            </w:r>
          </w:p>
        </w:tc>
        <w:tc>
          <w:tcPr>
            <w:tcW w:w="1318" w:type="dxa"/>
            <w:shd w:val="clear" w:color="auto" w:fill="auto"/>
            <w:vAlign w:val="center"/>
          </w:tcPr>
          <w:p w14:paraId="5EC0C3D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15630-89-4</w:t>
            </w:r>
          </w:p>
        </w:tc>
        <w:tc>
          <w:tcPr>
            <w:tcW w:w="454" w:type="pct"/>
            <w:shd w:val="clear" w:color="auto" w:fill="auto"/>
            <w:vAlign w:val="center"/>
          </w:tcPr>
          <w:p w14:paraId="3AA2BC28">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911</w:t>
            </w:r>
          </w:p>
        </w:tc>
        <w:tc>
          <w:tcPr>
            <w:tcW w:w="467" w:type="pct"/>
            <w:shd w:val="clear" w:color="auto" w:fill="auto"/>
            <w:vAlign w:val="center"/>
          </w:tcPr>
          <w:p w14:paraId="1609825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vAlign w:val="center"/>
          </w:tcPr>
          <w:p w14:paraId="3A3176E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shd w:val="clear" w:color="auto" w:fill="auto"/>
            <w:vAlign w:val="center"/>
          </w:tcPr>
          <w:p w14:paraId="7E04E8E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shd w:val="clear" w:color="auto" w:fill="auto"/>
            <w:vAlign w:val="center"/>
          </w:tcPr>
          <w:p w14:paraId="33EA2EAD">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vAlign w:val="center"/>
          </w:tcPr>
          <w:p w14:paraId="74C1146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7" w:type="pct"/>
            <w:vAlign w:val="center"/>
          </w:tcPr>
          <w:p w14:paraId="6FA62CF2">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c>
          <w:tcPr>
            <w:tcW w:w="469" w:type="pct"/>
            <w:shd w:val="clear" w:color="auto" w:fill="auto"/>
            <w:vAlign w:val="center"/>
          </w:tcPr>
          <w:p w14:paraId="03AE120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p>
        </w:tc>
      </w:tr>
      <w:tr w14:paraId="2D43C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1" w:type="pct"/>
            <w:shd w:val="clear" w:color="auto" w:fill="auto"/>
            <w:vAlign w:val="center"/>
          </w:tcPr>
          <w:p w14:paraId="0B250C5E">
            <w:pPr>
              <w:keepNext w:val="0"/>
              <w:keepLines w:val="0"/>
              <w:pageBreakBefore w:val="0"/>
              <w:widowControl w:val="0"/>
              <w:numPr>
                <w:ilvl w:val="0"/>
                <w:numId w:val="31"/>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000000" w:themeColor="text1"/>
                <w:sz w:val="21"/>
                <w:szCs w:val="21"/>
                <w:highlight w:val="none"/>
              </w:rPr>
            </w:pPr>
          </w:p>
        </w:tc>
        <w:tc>
          <w:tcPr>
            <w:tcW w:w="595" w:type="pct"/>
            <w:shd w:val="clear" w:color="auto" w:fill="auto"/>
            <w:vAlign w:val="center"/>
          </w:tcPr>
          <w:p w14:paraId="3492C08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rPr>
              <w:t>次氯酸钠</w:t>
            </w:r>
            <w:r>
              <w:rPr>
                <w:rFonts w:hint="eastAsia" w:ascii="宋体" w:hAnsi="宋体" w:eastAsia="宋体" w:cs="宋体"/>
                <w:color w:val="000000" w:themeColor="text1"/>
                <w:sz w:val="21"/>
                <w:szCs w:val="21"/>
                <w:highlight w:val="none"/>
                <w:lang w:eastAsia="zh-CN"/>
              </w:rPr>
              <w:t>溶液</w:t>
            </w:r>
          </w:p>
        </w:tc>
        <w:tc>
          <w:tcPr>
            <w:tcW w:w="1318" w:type="dxa"/>
            <w:shd w:val="clear" w:color="auto" w:fill="auto"/>
            <w:vAlign w:val="center"/>
          </w:tcPr>
          <w:p w14:paraId="5B2F988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7681-52-9</w:t>
            </w:r>
          </w:p>
        </w:tc>
        <w:tc>
          <w:tcPr>
            <w:tcW w:w="454" w:type="pct"/>
            <w:shd w:val="clear" w:color="auto" w:fill="auto"/>
            <w:vAlign w:val="center"/>
          </w:tcPr>
          <w:p w14:paraId="2A0313F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166</w:t>
            </w:r>
          </w:p>
        </w:tc>
        <w:tc>
          <w:tcPr>
            <w:tcW w:w="467" w:type="pct"/>
            <w:shd w:val="clear" w:color="auto" w:fill="auto"/>
            <w:vAlign w:val="center"/>
          </w:tcPr>
          <w:p w14:paraId="35C07CD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467" w:type="pct"/>
            <w:vAlign w:val="center"/>
          </w:tcPr>
          <w:p w14:paraId="6884ED6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467" w:type="pct"/>
            <w:shd w:val="clear" w:color="auto" w:fill="auto"/>
            <w:vAlign w:val="center"/>
          </w:tcPr>
          <w:p w14:paraId="31E594A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467" w:type="pct"/>
            <w:shd w:val="clear" w:color="auto" w:fill="auto"/>
            <w:vAlign w:val="center"/>
          </w:tcPr>
          <w:p w14:paraId="5BDDCE8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467" w:type="pct"/>
            <w:vAlign w:val="center"/>
          </w:tcPr>
          <w:p w14:paraId="2042F67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467" w:type="pct"/>
            <w:vAlign w:val="center"/>
          </w:tcPr>
          <w:p w14:paraId="0CF808C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c>
          <w:tcPr>
            <w:tcW w:w="469" w:type="pct"/>
            <w:shd w:val="clear" w:color="auto" w:fill="auto"/>
            <w:vAlign w:val="center"/>
          </w:tcPr>
          <w:p w14:paraId="35AA8C9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tc>
      </w:tr>
      <w:bookmarkEnd w:id="486"/>
      <w:bookmarkEnd w:id="487"/>
    </w:tbl>
    <w:p w14:paraId="76A75D77">
      <w:pPr>
        <w:keepNext w:val="0"/>
        <w:keepLines w:val="0"/>
        <w:pageBreakBefore w:val="0"/>
        <w:widowControl w:val="0"/>
        <w:numPr>
          <w:ilvl w:val="0"/>
          <w:numId w:val="29"/>
        </w:numPr>
        <w:kinsoku/>
        <w:wordWrap/>
        <w:overflowPunct/>
        <w:topLinePunct w:val="0"/>
        <w:autoSpaceDE/>
        <w:autoSpaceDN/>
        <w:bidi w:val="0"/>
        <w:adjustRightInd w:val="0"/>
        <w:snapToGrid w:val="0"/>
        <w:spacing w:before="157" w:beforeLines="50" w:afterLines="0" w:line="360" w:lineRule="auto"/>
        <w:ind w:left="0" w:firstLine="560" w:firstLineChars="200"/>
        <w:textAlignment w:val="auto"/>
        <w:outlineLvl w:val="9"/>
        <w:rPr>
          <w:rFonts w:hint="eastAsia" w:ascii="宋体" w:hAnsi="宋体" w:eastAsia="宋体" w:cs="宋体"/>
          <w:b w:val="0"/>
          <w:bCs w:val="0"/>
          <w:color w:val="000000" w:themeColor="text1"/>
          <w:kern w:val="0"/>
          <w:sz w:val="28"/>
          <w:szCs w:val="28"/>
          <w:highlight w:val="none"/>
          <w:lang w:val="en-GB"/>
        </w:rPr>
      </w:pPr>
      <w:bookmarkStart w:id="488" w:name="_Toc5818"/>
      <w:bookmarkStart w:id="489" w:name="_Toc10845"/>
      <w:bookmarkStart w:id="490" w:name="_Toc3962"/>
      <w:bookmarkStart w:id="491" w:name="_Toc3287"/>
      <w:bookmarkStart w:id="492" w:name="_Toc17101"/>
      <w:bookmarkStart w:id="493" w:name="_Toc22322"/>
      <w:bookmarkStart w:id="494" w:name="_Toc27037"/>
      <w:bookmarkStart w:id="495" w:name="_Toc42415915"/>
      <w:bookmarkStart w:id="496" w:name="_Toc29641"/>
      <w:r>
        <w:rPr>
          <w:rFonts w:hint="eastAsia" w:ascii="宋体" w:hAnsi="宋体" w:eastAsia="宋体" w:cs="宋体"/>
          <w:b w:val="0"/>
          <w:bCs w:val="0"/>
          <w:color w:val="000000" w:themeColor="text1"/>
          <w:kern w:val="0"/>
          <w:sz w:val="28"/>
          <w:szCs w:val="28"/>
          <w:highlight w:val="none"/>
          <w:lang w:val="en-GB" w:eastAsia="zh-CN"/>
        </w:rPr>
        <w:t>物料</w:t>
      </w:r>
      <w:r>
        <w:rPr>
          <w:rFonts w:hint="eastAsia" w:ascii="宋体" w:hAnsi="宋体" w:eastAsia="宋体" w:cs="宋体"/>
          <w:b w:val="0"/>
          <w:bCs w:val="0"/>
          <w:color w:val="000000" w:themeColor="text1"/>
          <w:kern w:val="0"/>
          <w:sz w:val="28"/>
          <w:szCs w:val="28"/>
          <w:highlight w:val="none"/>
          <w:lang w:val="en-GB"/>
        </w:rPr>
        <w:t>的危险、有害因素分析</w:t>
      </w:r>
      <w:bookmarkEnd w:id="488"/>
      <w:bookmarkEnd w:id="489"/>
      <w:bookmarkEnd w:id="490"/>
      <w:bookmarkEnd w:id="491"/>
      <w:bookmarkEnd w:id="492"/>
      <w:bookmarkEnd w:id="493"/>
      <w:bookmarkEnd w:id="494"/>
      <w:bookmarkEnd w:id="495"/>
      <w:bookmarkEnd w:id="496"/>
    </w:p>
    <w:p w14:paraId="66C83FA3">
      <w:pPr>
        <w:pStyle w:val="18"/>
        <w:widowControl w:val="0"/>
        <w:adjustRightInd w:val="0"/>
        <w:snapToGrid w:val="0"/>
        <w:spacing w:line="360" w:lineRule="auto"/>
        <w:ind w:firstLine="560" w:firstLineChars="200"/>
        <w:rPr>
          <w:rFonts w:hint="eastAsia" w:ascii="宋体" w:hAnsi="宋体" w:eastAsia="宋体" w:cs="宋体"/>
          <w:bCs/>
          <w:color w:val="000000" w:themeColor="text1"/>
          <w:kern w:val="0"/>
          <w:sz w:val="28"/>
          <w:szCs w:val="28"/>
          <w:highlight w:val="none"/>
        </w:rPr>
      </w:pPr>
      <w:r>
        <w:rPr>
          <w:rFonts w:hint="eastAsia" w:ascii="宋体" w:hAnsi="宋体" w:eastAsia="宋体" w:cs="宋体"/>
          <w:bCs/>
          <w:color w:val="000000" w:themeColor="text1"/>
          <w:sz w:val="28"/>
          <w:szCs w:val="28"/>
          <w:highlight w:val="none"/>
        </w:rPr>
        <w:t xml:space="preserve">    华美线业</w:t>
      </w:r>
      <w:r>
        <w:rPr>
          <w:rFonts w:hint="eastAsia" w:ascii="宋体" w:hAnsi="宋体" w:eastAsia="宋体" w:cs="宋体"/>
          <w:bCs/>
          <w:color w:val="000000" w:themeColor="text1"/>
          <w:sz w:val="28"/>
          <w:szCs w:val="28"/>
          <w:highlight w:val="none"/>
          <w:lang w:eastAsia="zh-CN"/>
        </w:rPr>
        <w:t>储存</w:t>
      </w:r>
      <w:r>
        <w:rPr>
          <w:rFonts w:hint="eastAsia" w:ascii="宋体" w:hAnsi="宋体" w:eastAsia="宋体" w:cs="宋体"/>
          <w:bCs/>
          <w:color w:val="000000" w:themeColor="text1"/>
          <w:sz w:val="28"/>
          <w:szCs w:val="28"/>
          <w:highlight w:val="none"/>
        </w:rPr>
        <w:t>使用的</w:t>
      </w:r>
      <w:r>
        <w:rPr>
          <w:rFonts w:hint="eastAsia" w:ascii="宋体" w:hAnsi="宋体" w:eastAsia="宋体" w:cs="宋体"/>
          <w:bCs/>
          <w:color w:val="000000" w:themeColor="text1"/>
          <w:kern w:val="0"/>
          <w:sz w:val="28"/>
          <w:szCs w:val="28"/>
          <w:highlight w:val="none"/>
        </w:rPr>
        <w:t>危险化学品的危险性类别见下表，</w:t>
      </w:r>
      <w:r>
        <w:rPr>
          <w:rFonts w:hint="eastAsia" w:ascii="宋体" w:hAnsi="宋体" w:eastAsia="宋体" w:cs="宋体"/>
          <w:color w:val="000000" w:themeColor="text1"/>
          <w:kern w:val="0"/>
          <w:sz w:val="28"/>
          <w:szCs w:val="28"/>
          <w:highlight w:val="none"/>
        </w:rPr>
        <w:t>理化及危险特性见附件</w:t>
      </w:r>
      <w:r>
        <w:rPr>
          <w:rFonts w:hint="eastAsia" w:ascii="宋体" w:hAnsi="宋体" w:eastAsia="宋体" w:cs="宋体"/>
          <w:bCs/>
          <w:color w:val="000000" w:themeColor="text1"/>
          <w:kern w:val="0"/>
          <w:sz w:val="28"/>
          <w:szCs w:val="28"/>
          <w:highlight w:val="none"/>
        </w:rPr>
        <w:t>。</w:t>
      </w:r>
    </w:p>
    <w:p w14:paraId="63A4A51B">
      <w:pPr>
        <w:widowControl w:val="0"/>
        <w:adjustRightInd w:val="0"/>
        <w:snapToGrid w:val="0"/>
        <w:spacing w:line="360" w:lineRule="auto"/>
        <w:ind w:firstLine="0"/>
        <w:jc w:val="center"/>
        <w:rPr>
          <w:rFonts w:ascii="黑体" w:hAnsi="黑体" w:eastAsia="黑体" w:cs="Times New Roman"/>
          <w:b/>
          <w:bCs/>
          <w:color w:val="000000" w:themeColor="text1"/>
          <w:sz w:val="24"/>
          <w:szCs w:val="24"/>
          <w:highlight w:val="none"/>
        </w:rPr>
      </w:pPr>
      <w:r>
        <w:rPr>
          <w:rFonts w:hint="eastAsia" w:ascii="黑体" w:hAnsi="黑体" w:eastAsia="黑体" w:cs="Times New Roman"/>
          <w:b/>
          <w:bCs/>
          <w:color w:val="000000" w:themeColor="text1"/>
          <w:sz w:val="24"/>
          <w:szCs w:val="24"/>
          <w:highlight w:val="none"/>
          <w:lang w:eastAsia="zh-CN"/>
        </w:rPr>
        <w:t>表</w:t>
      </w:r>
      <w:r>
        <w:rPr>
          <w:rFonts w:hint="eastAsia" w:ascii="黑体" w:hAnsi="黑体" w:eastAsia="黑体" w:cs="Times New Roman"/>
          <w:b/>
          <w:bCs/>
          <w:color w:val="000000" w:themeColor="text1"/>
          <w:sz w:val="24"/>
          <w:szCs w:val="24"/>
          <w:highlight w:val="none"/>
          <w:lang w:val="en-US" w:eastAsia="zh-CN"/>
        </w:rPr>
        <w:t xml:space="preserve">3.2-2 </w:t>
      </w:r>
      <w:r>
        <w:rPr>
          <w:rFonts w:ascii="黑体" w:hAnsi="黑体" w:eastAsia="黑体" w:cs="Times New Roman"/>
          <w:b/>
          <w:bCs/>
          <w:color w:val="000000" w:themeColor="text1"/>
          <w:sz w:val="24"/>
          <w:szCs w:val="24"/>
          <w:highlight w:val="none"/>
        </w:rPr>
        <w:t>物料的危险特性表</w:t>
      </w:r>
    </w:p>
    <w:tbl>
      <w:tblPr>
        <w:tblStyle w:val="61"/>
        <w:tblW w:w="4996" w:type="pct"/>
        <w:tblInd w:w="0"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540"/>
        <w:gridCol w:w="1233"/>
        <w:gridCol w:w="3143"/>
        <w:gridCol w:w="933"/>
        <w:gridCol w:w="1490"/>
        <w:gridCol w:w="903"/>
        <w:gridCol w:w="1004"/>
        <w:gridCol w:w="1060"/>
        <w:gridCol w:w="977"/>
        <w:gridCol w:w="2169"/>
        <w:gridCol w:w="1038"/>
      </w:tblGrid>
      <w:tr w14:paraId="0F952EBE">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185" w:type="pct"/>
            <w:vMerge w:val="restart"/>
            <w:tcBorders>
              <w:tl2br w:val="nil"/>
              <w:tr2bl w:val="nil"/>
            </w:tcBorders>
            <w:vAlign w:val="center"/>
          </w:tcPr>
          <w:p w14:paraId="0C7E3035">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序号</w:t>
            </w:r>
          </w:p>
        </w:tc>
        <w:tc>
          <w:tcPr>
            <w:tcW w:w="425" w:type="pct"/>
            <w:vMerge w:val="restart"/>
            <w:tcBorders>
              <w:tl2br w:val="nil"/>
              <w:tr2bl w:val="nil"/>
            </w:tcBorders>
            <w:vAlign w:val="center"/>
          </w:tcPr>
          <w:p w14:paraId="63FF6E47">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危化品名称</w:t>
            </w:r>
          </w:p>
        </w:tc>
        <w:tc>
          <w:tcPr>
            <w:tcW w:w="1085" w:type="pct"/>
            <w:vMerge w:val="restart"/>
            <w:tcBorders>
              <w:tl2br w:val="nil"/>
              <w:tr2bl w:val="nil"/>
            </w:tcBorders>
            <w:vAlign w:val="center"/>
          </w:tcPr>
          <w:p w14:paraId="2A4CEC40">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危险性类别</w:t>
            </w:r>
          </w:p>
        </w:tc>
        <w:tc>
          <w:tcPr>
            <w:tcW w:w="322" w:type="pct"/>
            <w:vMerge w:val="restart"/>
            <w:tcBorders>
              <w:tl2br w:val="nil"/>
              <w:tr2bl w:val="nil"/>
            </w:tcBorders>
            <w:vAlign w:val="center"/>
          </w:tcPr>
          <w:p w14:paraId="59945A38">
            <w:pPr>
              <w:widowControl w:val="0"/>
              <w:overflowPunct w:val="0"/>
              <w:adjustRightInd w:val="0"/>
              <w:snapToGrid w:val="0"/>
              <w:spacing w:line="240" w:lineRule="auto"/>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闪点</w:t>
            </w:r>
          </w:p>
          <w:p w14:paraId="0966F452">
            <w:pPr>
              <w:widowControl w:val="0"/>
              <w:overflowPunct w:val="0"/>
              <w:adjustRightInd w:val="0"/>
              <w:snapToGrid w:val="0"/>
              <w:spacing w:line="240" w:lineRule="auto"/>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w:t>
            </w:r>
          </w:p>
        </w:tc>
        <w:tc>
          <w:tcPr>
            <w:tcW w:w="514" w:type="pct"/>
            <w:vMerge w:val="restart"/>
            <w:tcBorders>
              <w:tl2br w:val="nil"/>
              <w:tr2bl w:val="nil"/>
            </w:tcBorders>
            <w:vAlign w:val="center"/>
          </w:tcPr>
          <w:p w14:paraId="153E25B5">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爆炸极限v%</w:t>
            </w:r>
          </w:p>
        </w:tc>
        <w:tc>
          <w:tcPr>
            <w:tcW w:w="311" w:type="pct"/>
            <w:vMerge w:val="restart"/>
            <w:tcBorders>
              <w:tl2br w:val="nil"/>
              <w:tr2bl w:val="nil"/>
            </w:tcBorders>
            <w:vAlign w:val="center"/>
          </w:tcPr>
          <w:p w14:paraId="558739A3">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火灾危险分类</w:t>
            </w:r>
          </w:p>
        </w:tc>
        <w:tc>
          <w:tcPr>
            <w:tcW w:w="1048" w:type="pct"/>
            <w:gridSpan w:val="3"/>
            <w:tcBorders>
              <w:tl2br w:val="nil"/>
              <w:tr2bl w:val="nil"/>
            </w:tcBorders>
            <w:vAlign w:val="center"/>
          </w:tcPr>
          <w:p w14:paraId="13F36F73">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vertAlign w:val="superscript"/>
              </w:rPr>
            </w:pPr>
            <w:r>
              <w:rPr>
                <w:rFonts w:hint="eastAsia" w:ascii="宋体" w:hAnsi="宋体" w:eastAsia="宋体" w:cs="宋体"/>
                <w:b/>
                <w:bCs/>
                <w:color w:val="000000" w:themeColor="text1"/>
                <w:sz w:val="21"/>
                <w:szCs w:val="21"/>
                <w:highlight w:val="none"/>
              </w:rPr>
              <w:t>职业接触限值mg/m</w:t>
            </w:r>
            <w:r>
              <w:rPr>
                <w:rFonts w:hint="eastAsia" w:ascii="宋体" w:hAnsi="宋体" w:eastAsia="宋体" w:cs="宋体"/>
                <w:b/>
                <w:bCs/>
                <w:color w:val="000000" w:themeColor="text1"/>
                <w:sz w:val="21"/>
                <w:szCs w:val="21"/>
                <w:highlight w:val="none"/>
                <w:vertAlign w:val="superscript"/>
              </w:rPr>
              <w:t>3</w:t>
            </w:r>
          </w:p>
        </w:tc>
        <w:tc>
          <w:tcPr>
            <w:tcW w:w="748" w:type="pct"/>
            <w:vMerge w:val="restart"/>
            <w:tcBorders>
              <w:tl2br w:val="nil"/>
              <w:tr2bl w:val="nil"/>
            </w:tcBorders>
            <w:vAlign w:val="center"/>
          </w:tcPr>
          <w:p w14:paraId="266C1FBD">
            <w:pPr>
              <w:widowControl w:val="0"/>
              <w:adjustRightInd w:val="0"/>
              <w:snapToGrid w:val="0"/>
              <w:spacing w:line="240" w:lineRule="auto"/>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毒理学</w:t>
            </w:r>
          </w:p>
          <w:p w14:paraId="1B20867A">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数据</w:t>
            </w:r>
          </w:p>
        </w:tc>
        <w:tc>
          <w:tcPr>
            <w:tcW w:w="358" w:type="pct"/>
            <w:vMerge w:val="restart"/>
            <w:tcBorders>
              <w:tl2br w:val="nil"/>
              <w:tr2bl w:val="nil"/>
            </w:tcBorders>
            <w:vAlign w:val="center"/>
          </w:tcPr>
          <w:p w14:paraId="57E2C11C">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毒性</w:t>
            </w:r>
          </w:p>
          <w:p w14:paraId="6FBD1BF4">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等级</w:t>
            </w:r>
          </w:p>
        </w:tc>
      </w:tr>
      <w:tr w14:paraId="45564AC7">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185" w:type="pct"/>
            <w:vMerge w:val="continue"/>
            <w:tcBorders>
              <w:tl2br w:val="nil"/>
              <w:tr2bl w:val="nil"/>
            </w:tcBorders>
            <w:vAlign w:val="center"/>
          </w:tcPr>
          <w:p w14:paraId="08B17389">
            <w:pPr>
              <w:pStyle w:val="58"/>
              <w:widowControl w:val="0"/>
              <w:overflowPunct w:val="0"/>
              <w:adjustRightInd w:val="0"/>
              <w:snapToGrid w:val="0"/>
              <w:spacing w:before="0" w:beforeAutospacing="0" w:after="0" w:afterAutospacing="0" w:line="240" w:lineRule="auto"/>
              <w:jc w:val="center"/>
              <w:outlineLvl w:val="0"/>
              <w:rPr>
                <w:rFonts w:hint="eastAsia" w:ascii="宋体" w:hAnsi="宋体" w:eastAsia="宋体" w:cs="宋体"/>
                <w:color w:val="000000" w:themeColor="text1"/>
                <w:sz w:val="21"/>
                <w:szCs w:val="21"/>
                <w:highlight w:val="none"/>
              </w:rPr>
            </w:pPr>
          </w:p>
        </w:tc>
        <w:tc>
          <w:tcPr>
            <w:tcW w:w="425" w:type="pct"/>
            <w:vMerge w:val="continue"/>
            <w:tcBorders>
              <w:tl2br w:val="nil"/>
              <w:tr2bl w:val="nil"/>
            </w:tcBorders>
            <w:vAlign w:val="center"/>
          </w:tcPr>
          <w:p w14:paraId="302D4710">
            <w:pPr>
              <w:pStyle w:val="58"/>
              <w:widowControl w:val="0"/>
              <w:overflowPunct w:val="0"/>
              <w:adjustRightInd w:val="0"/>
              <w:snapToGrid w:val="0"/>
              <w:spacing w:before="0" w:beforeAutospacing="0" w:after="0" w:afterAutospacing="0" w:line="240" w:lineRule="auto"/>
              <w:jc w:val="center"/>
              <w:outlineLvl w:val="0"/>
              <w:rPr>
                <w:rFonts w:hint="eastAsia" w:ascii="宋体" w:hAnsi="宋体" w:eastAsia="宋体" w:cs="宋体"/>
                <w:color w:val="000000" w:themeColor="text1"/>
                <w:sz w:val="21"/>
                <w:szCs w:val="21"/>
                <w:highlight w:val="none"/>
              </w:rPr>
            </w:pPr>
          </w:p>
        </w:tc>
        <w:tc>
          <w:tcPr>
            <w:tcW w:w="1085" w:type="pct"/>
            <w:vMerge w:val="continue"/>
            <w:tcBorders>
              <w:tl2br w:val="nil"/>
              <w:tr2bl w:val="nil"/>
            </w:tcBorders>
            <w:vAlign w:val="center"/>
          </w:tcPr>
          <w:p w14:paraId="18A783B0">
            <w:pPr>
              <w:pStyle w:val="58"/>
              <w:widowControl w:val="0"/>
              <w:overflowPunct w:val="0"/>
              <w:adjustRightInd w:val="0"/>
              <w:snapToGrid w:val="0"/>
              <w:spacing w:before="0" w:beforeAutospacing="0" w:after="0" w:afterAutospacing="0" w:line="240" w:lineRule="auto"/>
              <w:jc w:val="center"/>
              <w:outlineLvl w:val="0"/>
              <w:rPr>
                <w:rFonts w:hint="eastAsia" w:ascii="宋体" w:hAnsi="宋体" w:eastAsia="宋体" w:cs="宋体"/>
                <w:color w:val="000000" w:themeColor="text1"/>
                <w:sz w:val="21"/>
                <w:szCs w:val="21"/>
                <w:highlight w:val="none"/>
              </w:rPr>
            </w:pPr>
          </w:p>
        </w:tc>
        <w:tc>
          <w:tcPr>
            <w:tcW w:w="322" w:type="pct"/>
            <w:vMerge w:val="continue"/>
            <w:tcBorders>
              <w:tl2br w:val="nil"/>
              <w:tr2bl w:val="nil"/>
            </w:tcBorders>
            <w:vAlign w:val="center"/>
          </w:tcPr>
          <w:p w14:paraId="4FE53C55">
            <w:pPr>
              <w:pStyle w:val="58"/>
              <w:widowControl w:val="0"/>
              <w:overflowPunct w:val="0"/>
              <w:adjustRightInd w:val="0"/>
              <w:snapToGrid w:val="0"/>
              <w:spacing w:before="0" w:beforeAutospacing="0" w:after="0" w:afterAutospacing="0" w:line="240" w:lineRule="auto"/>
              <w:jc w:val="center"/>
              <w:outlineLvl w:val="0"/>
              <w:rPr>
                <w:rFonts w:hint="eastAsia" w:ascii="宋体" w:hAnsi="宋体" w:eastAsia="宋体" w:cs="宋体"/>
                <w:color w:val="000000" w:themeColor="text1"/>
                <w:sz w:val="21"/>
                <w:szCs w:val="21"/>
                <w:highlight w:val="none"/>
              </w:rPr>
            </w:pPr>
          </w:p>
        </w:tc>
        <w:tc>
          <w:tcPr>
            <w:tcW w:w="514" w:type="pct"/>
            <w:vMerge w:val="continue"/>
            <w:tcBorders>
              <w:tl2br w:val="nil"/>
              <w:tr2bl w:val="nil"/>
            </w:tcBorders>
            <w:vAlign w:val="center"/>
          </w:tcPr>
          <w:p w14:paraId="68A8503A">
            <w:pPr>
              <w:pStyle w:val="58"/>
              <w:widowControl w:val="0"/>
              <w:overflowPunct w:val="0"/>
              <w:adjustRightInd w:val="0"/>
              <w:snapToGrid w:val="0"/>
              <w:spacing w:before="0" w:beforeAutospacing="0" w:after="0" w:afterAutospacing="0" w:line="240" w:lineRule="auto"/>
              <w:jc w:val="center"/>
              <w:outlineLvl w:val="0"/>
              <w:rPr>
                <w:rFonts w:hint="eastAsia" w:ascii="宋体" w:hAnsi="宋体" w:eastAsia="宋体" w:cs="宋体"/>
                <w:color w:val="000000" w:themeColor="text1"/>
                <w:sz w:val="21"/>
                <w:szCs w:val="21"/>
                <w:highlight w:val="none"/>
              </w:rPr>
            </w:pPr>
          </w:p>
        </w:tc>
        <w:tc>
          <w:tcPr>
            <w:tcW w:w="311" w:type="pct"/>
            <w:vMerge w:val="continue"/>
            <w:tcBorders>
              <w:tl2br w:val="nil"/>
              <w:tr2bl w:val="nil"/>
            </w:tcBorders>
            <w:vAlign w:val="center"/>
          </w:tcPr>
          <w:p w14:paraId="618286F2">
            <w:pPr>
              <w:pStyle w:val="58"/>
              <w:widowControl w:val="0"/>
              <w:overflowPunct w:val="0"/>
              <w:adjustRightInd w:val="0"/>
              <w:snapToGrid w:val="0"/>
              <w:spacing w:before="0" w:beforeAutospacing="0" w:after="0" w:afterAutospacing="0" w:line="240" w:lineRule="auto"/>
              <w:jc w:val="center"/>
              <w:outlineLvl w:val="0"/>
              <w:rPr>
                <w:rFonts w:hint="eastAsia" w:ascii="宋体" w:hAnsi="宋体" w:eastAsia="宋体" w:cs="宋体"/>
                <w:color w:val="000000" w:themeColor="text1"/>
                <w:sz w:val="21"/>
                <w:szCs w:val="21"/>
                <w:highlight w:val="none"/>
              </w:rPr>
            </w:pPr>
          </w:p>
        </w:tc>
        <w:tc>
          <w:tcPr>
            <w:tcW w:w="346" w:type="pct"/>
            <w:tcBorders>
              <w:tl2br w:val="nil"/>
              <w:tr2bl w:val="nil"/>
            </w:tcBorders>
            <w:vAlign w:val="center"/>
          </w:tcPr>
          <w:p w14:paraId="5B851C30">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MAC</w:t>
            </w:r>
          </w:p>
        </w:tc>
        <w:tc>
          <w:tcPr>
            <w:tcW w:w="365" w:type="pct"/>
            <w:tcBorders>
              <w:tl2br w:val="nil"/>
              <w:tr2bl w:val="nil"/>
            </w:tcBorders>
            <w:vAlign w:val="center"/>
          </w:tcPr>
          <w:p w14:paraId="564C2C81">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TWA</w:t>
            </w:r>
          </w:p>
        </w:tc>
        <w:tc>
          <w:tcPr>
            <w:tcW w:w="337" w:type="pct"/>
            <w:tcBorders>
              <w:tl2br w:val="nil"/>
              <w:tr2bl w:val="nil"/>
            </w:tcBorders>
            <w:vAlign w:val="center"/>
          </w:tcPr>
          <w:p w14:paraId="5EEAA6D0">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STEL</w:t>
            </w:r>
          </w:p>
        </w:tc>
        <w:tc>
          <w:tcPr>
            <w:tcW w:w="748" w:type="pct"/>
            <w:vMerge w:val="continue"/>
            <w:tcBorders>
              <w:tl2br w:val="nil"/>
              <w:tr2bl w:val="nil"/>
            </w:tcBorders>
            <w:vAlign w:val="center"/>
          </w:tcPr>
          <w:p w14:paraId="3F2326FB">
            <w:pPr>
              <w:pStyle w:val="58"/>
              <w:widowControl w:val="0"/>
              <w:overflowPunct w:val="0"/>
              <w:adjustRightInd w:val="0"/>
              <w:snapToGrid w:val="0"/>
              <w:spacing w:before="0" w:beforeAutospacing="0" w:after="0" w:afterAutospacing="0" w:line="240" w:lineRule="auto"/>
              <w:jc w:val="center"/>
              <w:outlineLvl w:val="0"/>
              <w:rPr>
                <w:rFonts w:hint="eastAsia" w:ascii="宋体" w:hAnsi="宋体" w:eastAsia="宋体" w:cs="宋体"/>
                <w:color w:val="000000" w:themeColor="text1"/>
                <w:sz w:val="21"/>
                <w:szCs w:val="21"/>
                <w:highlight w:val="none"/>
              </w:rPr>
            </w:pPr>
          </w:p>
        </w:tc>
        <w:tc>
          <w:tcPr>
            <w:tcW w:w="358" w:type="pct"/>
            <w:vMerge w:val="continue"/>
            <w:tcBorders>
              <w:tl2br w:val="nil"/>
              <w:tr2bl w:val="nil"/>
            </w:tcBorders>
            <w:vAlign w:val="center"/>
          </w:tcPr>
          <w:p w14:paraId="05C88B65">
            <w:pPr>
              <w:pStyle w:val="58"/>
              <w:widowControl w:val="0"/>
              <w:overflowPunct w:val="0"/>
              <w:adjustRightInd w:val="0"/>
              <w:snapToGrid w:val="0"/>
              <w:spacing w:before="0" w:beforeAutospacing="0" w:after="0" w:afterAutospacing="0" w:line="240" w:lineRule="auto"/>
              <w:jc w:val="center"/>
              <w:outlineLvl w:val="0"/>
              <w:rPr>
                <w:rFonts w:hint="eastAsia" w:ascii="宋体" w:hAnsi="宋体" w:eastAsia="宋体" w:cs="宋体"/>
                <w:color w:val="000000" w:themeColor="text1"/>
                <w:sz w:val="21"/>
                <w:szCs w:val="21"/>
                <w:highlight w:val="none"/>
              </w:rPr>
            </w:pPr>
          </w:p>
        </w:tc>
      </w:tr>
      <w:tr w14:paraId="008657E0">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69082044">
            <w:pPr>
              <w:widowControl w:val="0"/>
              <w:numPr>
                <w:ilvl w:val="0"/>
                <w:numId w:val="32"/>
              </w:numPr>
              <w:bidi w:val="0"/>
              <w:adjustRightInd w:val="0"/>
              <w:snapToGrid w:val="0"/>
              <w:jc w:val="center"/>
              <w:rPr>
                <w:rFonts w:hint="eastAsia" w:ascii="宋体" w:hAnsi="宋体" w:eastAsia="宋体" w:cs="宋体"/>
                <w:color w:val="000000" w:themeColor="text1"/>
                <w:sz w:val="21"/>
                <w:szCs w:val="21"/>
                <w:highlight w:val="none"/>
              </w:rPr>
            </w:pPr>
          </w:p>
        </w:tc>
        <w:tc>
          <w:tcPr>
            <w:tcW w:w="1233" w:type="dxa"/>
            <w:tcBorders>
              <w:tl2br w:val="nil"/>
              <w:tr2bl w:val="nil"/>
            </w:tcBorders>
            <w:vAlign w:val="center"/>
          </w:tcPr>
          <w:p w14:paraId="748DCE6A">
            <w:pPr>
              <w:widowControl w:val="0"/>
              <w:adjustRightInd w:val="0"/>
              <w:snapToGrid w:val="0"/>
              <w:spacing w:line="240" w:lineRule="auto"/>
              <w:jc w:val="center"/>
              <w:rPr>
                <w:rFonts w:hint="eastAsia" w:ascii="宋体" w:hAnsi="宋体" w:eastAsia="宋体" w:cs="宋体"/>
                <w:bCs/>
                <w:color w:val="000000" w:themeColor="text1"/>
                <w:kern w:val="0"/>
                <w:sz w:val="21"/>
                <w:szCs w:val="21"/>
                <w:highlight w:val="none"/>
              </w:rPr>
            </w:pPr>
            <w:r>
              <w:rPr>
                <w:rFonts w:hint="eastAsia" w:ascii="宋体" w:hAnsi="宋体" w:eastAsia="宋体" w:cs="宋体"/>
                <w:color w:val="000000" w:themeColor="text1"/>
                <w:sz w:val="21"/>
                <w:szCs w:val="21"/>
                <w:highlight w:val="none"/>
                <w:lang w:val="en-US" w:eastAsia="zh-CN"/>
              </w:rPr>
              <w:t>氢氧化钠溶液</w:t>
            </w:r>
          </w:p>
        </w:tc>
        <w:tc>
          <w:tcPr>
            <w:tcW w:w="1085" w:type="pct"/>
            <w:tcBorders>
              <w:tl2br w:val="nil"/>
              <w:tr2bl w:val="nil"/>
            </w:tcBorders>
            <w:vAlign w:val="center"/>
          </w:tcPr>
          <w:p w14:paraId="4E09DCA1">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皮肤腐蚀/刺激</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类别1A</w:t>
            </w:r>
          </w:p>
          <w:p w14:paraId="6ED08972">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严重眼损伤/眼刺激</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w:t>
            </w:r>
          </w:p>
        </w:tc>
        <w:tc>
          <w:tcPr>
            <w:tcW w:w="322" w:type="pct"/>
            <w:tcBorders>
              <w:tl2br w:val="nil"/>
              <w:tr2bl w:val="nil"/>
            </w:tcBorders>
            <w:vAlign w:val="center"/>
          </w:tcPr>
          <w:p w14:paraId="7A26A013">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无意义</w:t>
            </w:r>
          </w:p>
        </w:tc>
        <w:tc>
          <w:tcPr>
            <w:tcW w:w="514" w:type="pct"/>
            <w:tcBorders>
              <w:tl2br w:val="nil"/>
              <w:tr2bl w:val="nil"/>
            </w:tcBorders>
            <w:vAlign w:val="center"/>
          </w:tcPr>
          <w:p w14:paraId="13B34118">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无意义</w:t>
            </w:r>
          </w:p>
        </w:tc>
        <w:tc>
          <w:tcPr>
            <w:tcW w:w="311" w:type="pct"/>
            <w:tcBorders>
              <w:tl2br w:val="nil"/>
              <w:tr2bl w:val="nil"/>
            </w:tcBorders>
            <w:vAlign w:val="center"/>
          </w:tcPr>
          <w:p w14:paraId="4EB1E481">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戊</w:t>
            </w:r>
          </w:p>
        </w:tc>
        <w:tc>
          <w:tcPr>
            <w:tcW w:w="346" w:type="pct"/>
            <w:tcBorders>
              <w:tl2br w:val="nil"/>
              <w:tr2bl w:val="nil"/>
            </w:tcBorders>
            <w:vAlign w:val="center"/>
          </w:tcPr>
          <w:p w14:paraId="5B736DDD">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2</w:t>
            </w:r>
          </w:p>
        </w:tc>
        <w:tc>
          <w:tcPr>
            <w:tcW w:w="365" w:type="pct"/>
            <w:tcBorders>
              <w:tl2br w:val="nil"/>
              <w:tr2bl w:val="nil"/>
            </w:tcBorders>
            <w:vAlign w:val="center"/>
          </w:tcPr>
          <w:p w14:paraId="3918FC9A">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无资料</w:t>
            </w:r>
          </w:p>
        </w:tc>
        <w:tc>
          <w:tcPr>
            <w:tcW w:w="337" w:type="pct"/>
            <w:tcBorders>
              <w:tl2br w:val="nil"/>
              <w:tr2bl w:val="nil"/>
            </w:tcBorders>
            <w:vAlign w:val="center"/>
          </w:tcPr>
          <w:p w14:paraId="561D934C">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无资料</w:t>
            </w:r>
          </w:p>
        </w:tc>
        <w:tc>
          <w:tcPr>
            <w:tcW w:w="748" w:type="pct"/>
            <w:tcBorders>
              <w:tl2br w:val="nil"/>
              <w:tr2bl w:val="nil"/>
            </w:tcBorders>
            <w:vAlign w:val="center"/>
          </w:tcPr>
          <w:p w14:paraId="4B239347">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 xml:space="preserve">LD50  40mg/kg（小鼠腹腔）                     </w:t>
            </w:r>
          </w:p>
          <w:p w14:paraId="29E2D7DF">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 xml:space="preserve">LDLo  1.57mg/kg（人经口） </w:t>
            </w:r>
          </w:p>
        </w:tc>
        <w:tc>
          <w:tcPr>
            <w:tcW w:w="358" w:type="pct"/>
            <w:tcBorders>
              <w:tl2br w:val="nil"/>
              <w:tr2bl w:val="nil"/>
            </w:tcBorders>
            <w:vAlign w:val="center"/>
          </w:tcPr>
          <w:p w14:paraId="4D8DA5FF">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轻度危害</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Ⅳ级</w:t>
            </w:r>
            <w:r>
              <w:rPr>
                <w:rFonts w:hint="eastAsia" w:ascii="宋体" w:hAnsi="宋体" w:eastAsia="宋体" w:cs="宋体"/>
                <w:color w:val="000000" w:themeColor="text1"/>
                <w:sz w:val="21"/>
                <w:szCs w:val="21"/>
                <w:highlight w:val="none"/>
                <w:lang w:eastAsia="zh-CN"/>
              </w:rPr>
              <w:t>）</w:t>
            </w:r>
          </w:p>
        </w:tc>
      </w:tr>
      <w:tr w14:paraId="6D44F3A2">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7775028A">
            <w:pPr>
              <w:widowControl w:val="0"/>
              <w:numPr>
                <w:ilvl w:val="0"/>
                <w:numId w:val="32"/>
              </w:numPr>
              <w:bidi w:val="0"/>
              <w:adjustRightInd w:val="0"/>
              <w:snapToGrid w:val="0"/>
              <w:jc w:val="center"/>
              <w:rPr>
                <w:rFonts w:hint="eastAsia" w:ascii="宋体" w:hAnsi="宋体" w:eastAsia="宋体" w:cs="宋体"/>
                <w:color w:val="000000" w:themeColor="text1"/>
                <w:sz w:val="21"/>
                <w:szCs w:val="21"/>
                <w:highlight w:val="none"/>
              </w:rPr>
            </w:pPr>
            <w:bookmarkStart w:id="497" w:name="_Toc3924"/>
            <w:bookmarkEnd w:id="497"/>
            <w:bookmarkStart w:id="498" w:name="_Toc27746"/>
            <w:bookmarkEnd w:id="498"/>
            <w:bookmarkStart w:id="499" w:name="_Toc7656"/>
            <w:bookmarkEnd w:id="499"/>
            <w:bookmarkStart w:id="500" w:name="_Toc21967"/>
            <w:bookmarkEnd w:id="500"/>
            <w:bookmarkStart w:id="501" w:name="_Toc26020"/>
            <w:bookmarkEnd w:id="501"/>
            <w:bookmarkStart w:id="502" w:name="_Toc24741"/>
            <w:bookmarkEnd w:id="502"/>
            <w:bookmarkStart w:id="503" w:name="_Toc27096"/>
            <w:bookmarkEnd w:id="503"/>
            <w:bookmarkStart w:id="504" w:name="_Toc21730"/>
            <w:bookmarkEnd w:id="504"/>
            <w:bookmarkStart w:id="505" w:name="_Toc30785"/>
            <w:bookmarkEnd w:id="505"/>
            <w:bookmarkStart w:id="506" w:name="_Toc6915"/>
            <w:bookmarkEnd w:id="506"/>
          </w:p>
        </w:tc>
        <w:tc>
          <w:tcPr>
            <w:tcW w:w="1233" w:type="dxa"/>
            <w:tcBorders>
              <w:tl2br w:val="nil"/>
              <w:tr2bl w:val="nil"/>
            </w:tcBorders>
            <w:vAlign w:val="center"/>
          </w:tcPr>
          <w:p w14:paraId="4C4B60A2">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vertAlign w:val="baseline"/>
                <w:lang w:val="en-US" w:eastAsia="zh-CN"/>
              </w:rPr>
              <w:t>乙酸</w:t>
            </w:r>
          </w:p>
        </w:tc>
        <w:tc>
          <w:tcPr>
            <w:tcW w:w="1085" w:type="pct"/>
            <w:tcBorders>
              <w:tl2br w:val="nil"/>
              <w:tr2bl w:val="nil"/>
            </w:tcBorders>
            <w:vAlign w:val="center"/>
          </w:tcPr>
          <w:p w14:paraId="1D97ADD7">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易燃液体</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类别3</w:t>
            </w:r>
          </w:p>
          <w:p w14:paraId="3B44E26D">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皮肤腐蚀/刺激</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类别1A</w:t>
            </w:r>
          </w:p>
          <w:p w14:paraId="467AE6FC">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严重眼损伤/眼刺激</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w:t>
            </w:r>
          </w:p>
        </w:tc>
        <w:tc>
          <w:tcPr>
            <w:tcW w:w="322" w:type="pct"/>
            <w:tcBorders>
              <w:tl2br w:val="nil"/>
              <w:tr2bl w:val="nil"/>
            </w:tcBorders>
            <w:vAlign w:val="center"/>
          </w:tcPr>
          <w:p w14:paraId="3879BED4">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39</w:t>
            </w:r>
          </w:p>
        </w:tc>
        <w:tc>
          <w:tcPr>
            <w:tcW w:w="514" w:type="pct"/>
            <w:tcBorders>
              <w:tl2br w:val="nil"/>
              <w:tr2bl w:val="nil"/>
            </w:tcBorders>
            <w:vAlign w:val="center"/>
          </w:tcPr>
          <w:p w14:paraId="5A0FB17C">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val="en-US" w:eastAsia="zh-CN"/>
              </w:rPr>
            </w:pPr>
            <w:r>
              <w:rPr>
                <w:rFonts w:hint="eastAsia" w:cs="宋体"/>
                <w:color w:val="000000" w:themeColor="text1"/>
                <w:kern w:val="0"/>
                <w:sz w:val="21"/>
                <w:szCs w:val="21"/>
                <w:highlight w:val="none"/>
                <w:lang w:val="en-US" w:eastAsia="zh-CN"/>
              </w:rPr>
              <w:t>6</w:t>
            </w:r>
            <w:r>
              <w:rPr>
                <w:rFonts w:hint="eastAsia" w:ascii="宋体" w:hAnsi="宋体" w:eastAsia="宋体" w:cs="宋体"/>
                <w:color w:val="000000" w:themeColor="text1"/>
                <w:kern w:val="0"/>
                <w:sz w:val="21"/>
                <w:szCs w:val="21"/>
                <w:highlight w:val="none"/>
                <w:lang w:val="en-US" w:eastAsia="zh-CN"/>
              </w:rPr>
              <w:t>-1</w:t>
            </w:r>
            <w:r>
              <w:rPr>
                <w:rFonts w:hint="eastAsia" w:cs="宋体"/>
                <w:color w:val="000000" w:themeColor="text1"/>
                <w:kern w:val="0"/>
                <w:sz w:val="21"/>
                <w:szCs w:val="21"/>
                <w:highlight w:val="none"/>
                <w:lang w:val="en-US" w:eastAsia="zh-CN"/>
              </w:rPr>
              <w:t>7</w:t>
            </w:r>
          </w:p>
        </w:tc>
        <w:tc>
          <w:tcPr>
            <w:tcW w:w="311" w:type="pct"/>
            <w:tcBorders>
              <w:tl2br w:val="nil"/>
              <w:tr2bl w:val="nil"/>
            </w:tcBorders>
            <w:vAlign w:val="center"/>
          </w:tcPr>
          <w:p w14:paraId="6DDC1D0C">
            <w:pPr>
              <w:widowControl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乙</w:t>
            </w:r>
          </w:p>
        </w:tc>
        <w:tc>
          <w:tcPr>
            <w:tcW w:w="346" w:type="pct"/>
            <w:tcBorders>
              <w:tl2br w:val="nil"/>
              <w:tr2bl w:val="nil"/>
            </w:tcBorders>
            <w:vAlign w:val="center"/>
          </w:tcPr>
          <w:p w14:paraId="4F4E0310">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无资料</w:t>
            </w:r>
          </w:p>
        </w:tc>
        <w:tc>
          <w:tcPr>
            <w:tcW w:w="365" w:type="pct"/>
            <w:tcBorders>
              <w:tl2br w:val="nil"/>
              <w:tr2bl w:val="nil"/>
            </w:tcBorders>
            <w:vAlign w:val="center"/>
          </w:tcPr>
          <w:p w14:paraId="4E7BE020">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10</w:t>
            </w:r>
          </w:p>
        </w:tc>
        <w:tc>
          <w:tcPr>
            <w:tcW w:w="337" w:type="pct"/>
            <w:tcBorders>
              <w:tl2br w:val="nil"/>
              <w:tr2bl w:val="nil"/>
            </w:tcBorders>
            <w:vAlign w:val="center"/>
          </w:tcPr>
          <w:p w14:paraId="127C1458">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20</w:t>
            </w:r>
          </w:p>
        </w:tc>
        <w:tc>
          <w:tcPr>
            <w:tcW w:w="748" w:type="pct"/>
            <w:tcBorders>
              <w:tl2br w:val="nil"/>
              <w:tr2bl w:val="nil"/>
            </w:tcBorders>
            <w:vAlign w:val="center"/>
          </w:tcPr>
          <w:p w14:paraId="78148D98">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LD50：</w:t>
            </w:r>
            <w:r>
              <w:rPr>
                <w:rFonts w:hint="eastAsia"/>
                <w:color w:val="000000" w:themeColor="text1"/>
                <w:sz w:val="21"/>
                <w:szCs w:val="21"/>
                <w:highlight w:val="none"/>
              </w:rPr>
              <w:t>3310mg/kg</w:t>
            </w:r>
            <w:r>
              <w:rPr>
                <w:rFonts w:hint="eastAsia"/>
                <w:color w:val="000000" w:themeColor="text1"/>
                <w:sz w:val="21"/>
                <w:szCs w:val="21"/>
                <w:highlight w:val="none"/>
                <w:lang w:eastAsia="zh-CN"/>
              </w:rPr>
              <w:t>（</w:t>
            </w:r>
            <w:r>
              <w:rPr>
                <w:rFonts w:hint="eastAsia"/>
                <w:color w:val="000000" w:themeColor="text1"/>
                <w:sz w:val="21"/>
                <w:szCs w:val="21"/>
                <w:highlight w:val="none"/>
              </w:rPr>
              <w:t>大鼠</w:t>
            </w:r>
            <w:r>
              <w:rPr>
                <w:rFonts w:hint="eastAsia"/>
                <w:color w:val="000000" w:themeColor="text1"/>
                <w:sz w:val="21"/>
                <w:szCs w:val="21"/>
                <w:highlight w:val="none"/>
                <w:lang w:eastAsia="zh-CN"/>
              </w:rPr>
              <w:t>）</w:t>
            </w:r>
          </w:p>
        </w:tc>
        <w:tc>
          <w:tcPr>
            <w:tcW w:w="358" w:type="pct"/>
            <w:tcBorders>
              <w:tl2br w:val="nil"/>
              <w:tr2bl w:val="nil"/>
            </w:tcBorders>
            <w:vAlign w:val="center"/>
          </w:tcPr>
          <w:p w14:paraId="2A7BACB2">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中度危害</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Ⅲ级</w:t>
            </w:r>
            <w:r>
              <w:rPr>
                <w:rFonts w:hint="eastAsia" w:ascii="宋体" w:hAnsi="宋体" w:eastAsia="宋体" w:cs="宋体"/>
                <w:color w:val="000000" w:themeColor="text1"/>
                <w:sz w:val="21"/>
                <w:szCs w:val="21"/>
                <w:highlight w:val="none"/>
                <w:lang w:eastAsia="zh-CN"/>
              </w:rPr>
              <w:t>）</w:t>
            </w:r>
          </w:p>
        </w:tc>
      </w:tr>
      <w:tr w14:paraId="74EC4ED5">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3FF522F8">
            <w:pPr>
              <w:widowControl w:val="0"/>
              <w:numPr>
                <w:ilvl w:val="0"/>
                <w:numId w:val="32"/>
              </w:numPr>
              <w:bidi w:val="0"/>
              <w:adjustRightInd w:val="0"/>
              <w:snapToGrid w:val="0"/>
              <w:jc w:val="center"/>
              <w:rPr>
                <w:rFonts w:hint="eastAsia" w:ascii="宋体" w:hAnsi="宋体" w:eastAsia="宋体" w:cs="宋体"/>
                <w:color w:val="000000" w:themeColor="text1"/>
                <w:sz w:val="21"/>
                <w:szCs w:val="21"/>
                <w:highlight w:val="none"/>
              </w:rPr>
            </w:pPr>
          </w:p>
        </w:tc>
        <w:tc>
          <w:tcPr>
            <w:tcW w:w="1233" w:type="dxa"/>
            <w:tcBorders>
              <w:tl2br w:val="nil"/>
              <w:tr2bl w:val="nil"/>
            </w:tcBorders>
            <w:vAlign w:val="center"/>
          </w:tcPr>
          <w:p w14:paraId="3A9C404D">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保险粉</w:t>
            </w:r>
          </w:p>
        </w:tc>
        <w:tc>
          <w:tcPr>
            <w:tcW w:w="1085" w:type="pct"/>
            <w:tcBorders>
              <w:tl2br w:val="nil"/>
              <w:tr2bl w:val="nil"/>
            </w:tcBorders>
            <w:vAlign w:val="center"/>
          </w:tcPr>
          <w:p w14:paraId="466B5C22">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自热物质和混合物</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w:t>
            </w:r>
          </w:p>
        </w:tc>
        <w:tc>
          <w:tcPr>
            <w:tcW w:w="322" w:type="pct"/>
            <w:tcBorders>
              <w:tl2br w:val="nil"/>
              <w:tr2bl w:val="nil"/>
            </w:tcBorders>
            <w:vAlign w:val="center"/>
          </w:tcPr>
          <w:p w14:paraId="42AAF4DD">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无意义</w:t>
            </w:r>
          </w:p>
        </w:tc>
        <w:tc>
          <w:tcPr>
            <w:tcW w:w="514" w:type="pct"/>
            <w:tcBorders>
              <w:tl2br w:val="nil"/>
              <w:tr2bl w:val="nil"/>
            </w:tcBorders>
            <w:vAlign w:val="center"/>
          </w:tcPr>
          <w:p w14:paraId="2F293305">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无意义</w:t>
            </w:r>
          </w:p>
        </w:tc>
        <w:tc>
          <w:tcPr>
            <w:tcW w:w="311" w:type="pct"/>
            <w:tcBorders>
              <w:tl2br w:val="nil"/>
              <w:tr2bl w:val="nil"/>
            </w:tcBorders>
            <w:vAlign w:val="center"/>
          </w:tcPr>
          <w:p w14:paraId="696DE843">
            <w:pPr>
              <w:widowControl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val="en-US" w:eastAsia="zh-CN"/>
              </w:rPr>
              <w:t>乙</w:t>
            </w:r>
          </w:p>
        </w:tc>
        <w:tc>
          <w:tcPr>
            <w:tcW w:w="346" w:type="pct"/>
            <w:tcBorders>
              <w:tl2br w:val="nil"/>
              <w:tr2bl w:val="nil"/>
            </w:tcBorders>
            <w:vAlign w:val="center"/>
          </w:tcPr>
          <w:p w14:paraId="16819B78">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无资料</w:t>
            </w:r>
          </w:p>
        </w:tc>
        <w:tc>
          <w:tcPr>
            <w:tcW w:w="365" w:type="pct"/>
            <w:tcBorders>
              <w:tl2br w:val="nil"/>
              <w:tr2bl w:val="nil"/>
            </w:tcBorders>
            <w:vAlign w:val="center"/>
          </w:tcPr>
          <w:p w14:paraId="69BCB7BD">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无资料</w:t>
            </w:r>
          </w:p>
        </w:tc>
        <w:tc>
          <w:tcPr>
            <w:tcW w:w="337" w:type="pct"/>
            <w:tcBorders>
              <w:tl2br w:val="nil"/>
              <w:tr2bl w:val="nil"/>
            </w:tcBorders>
            <w:vAlign w:val="center"/>
          </w:tcPr>
          <w:p w14:paraId="6F74BBD2">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无资料</w:t>
            </w:r>
          </w:p>
        </w:tc>
        <w:tc>
          <w:tcPr>
            <w:tcW w:w="748" w:type="pct"/>
            <w:tcBorders>
              <w:tl2br w:val="nil"/>
              <w:tr2bl w:val="nil"/>
            </w:tcBorders>
            <w:vAlign w:val="center"/>
          </w:tcPr>
          <w:p w14:paraId="7F761D39">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LD50：＞</w:t>
            </w:r>
            <w:r>
              <w:rPr>
                <w:rFonts w:hint="eastAsia" w:cs="宋体"/>
                <w:color w:val="000000" w:themeColor="text1"/>
                <w:kern w:val="0"/>
                <w:sz w:val="21"/>
                <w:szCs w:val="21"/>
                <w:highlight w:val="none"/>
                <w:lang w:val="en-US" w:eastAsia="zh-CN"/>
              </w:rPr>
              <w:t>2000</w:t>
            </w:r>
            <w:r>
              <w:rPr>
                <w:rFonts w:hint="eastAsia" w:ascii="宋体" w:hAnsi="宋体" w:eastAsia="宋体" w:cs="宋体"/>
                <w:color w:val="000000" w:themeColor="text1"/>
                <w:kern w:val="0"/>
                <w:sz w:val="21"/>
                <w:szCs w:val="21"/>
                <w:highlight w:val="none"/>
              </w:rPr>
              <w:t>mg/kg</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兔经皮</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w:t>
            </w:r>
            <w:r>
              <w:rPr>
                <w:rFonts w:hint="eastAsia" w:cs="宋体"/>
                <w:color w:val="000000" w:themeColor="text1"/>
                <w:kern w:val="0"/>
                <w:sz w:val="21"/>
                <w:szCs w:val="21"/>
                <w:highlight w:val="none"/>
                <w:lang w:val="en-US" w:eastAsia="zh-CN"/>
              </w:rPr>
              <w:t>5.5</w:t>
            </w:r>
            <w:r>
              <w:rPr>
                <w:rFonts w:hint="eastAsia" w:ascii="宋体" w:hAnsi="宋体" w:eastAsia="宋体" w:cs="宋体"/>
                <w:color w:val="000000" w:themeColor="text1"/>
                <w:kern w:val="0"/>
                <w:sz w:val="21"/>
                <w:szCs w:val="21"/>
                <w:highlight w:val="none"/>
              </w:rPr>
              <w:t>mg/</w:t>
            </w:r>
            <w:r>
              <w:rPr>
                <w:rFonts w:hint="eastAsia" w:cs="宋体"/>
                <w:color w:val="000000" w:themeColor="text1"/>
                <w:kern w:val="0"/>
                <w:sz w:val="21"/>
                <w:szCs w:val="21"/>
                <w:highlight w:val="none"/>
                <w:lang w:val="en-US" w:eastAsia="zh-CN"/>
              </w:rPr>
              <w:t>L</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大鼠经口</w:t>
            </w:r>
            <w:r>
              <w:rPr>
                <w:rFonts w:hint="eastAsia" w:ascii="宋体" w:hAnsi="宋体" w:eastAsia="宋体" w:cs="宋体"/>
                <w:color w:val="000000" w:themeColor="text1"/>
                <w:kern w:val="0"/>
                <w:sz w:val="21"/>
                <w:szCs w:val="21"/>
                <w:highlight w:val="none"/>
                <w:lang w:eastAsia="zh-CN"/>
              </w:rPr>
              <w:t>）</w:t>
            </w:r>
          </w:p>
        </w:tc>
        <w:tc>
          <w:tcPr>
            <w:tcW w:w="358" w:type="pct"/>
            <w:tcBorders>
              <w:tl2br w:val="nil"/>
              <w:tr2bl w:val="nil"/>
            </w:tcBorders>
            <w:vAlign w:val="center"/>
          </w:tcPr>
          <w:p w14:paraId="5FBEEF69">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轻度危害</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Ⅳ级</w:t>
            </w:r>
            <w:r>
              <w:rPr>
                <w:rFonts w:hint="eastAsia" w:ascii="宋体" w:hAnsi="宋体" w:eastAsia="宋体" w:cs="宋体"/>
                <w:color w:val="000000" w:themeColor="text1"/>
                <w:sz w:val="21"/>
                <w:szCs w:val="21"/>
                <w:highlight w:val="none"/>
                <w:lang w:eastAsia="zh-CN"/>
              </w:rPr>
              <w:t>）</w:t>
            </w:r>
          </w:p>
        </w:tc>
      </w:tr>
      <w:tr w14:paraId="7EC32D09">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6EFEC077">
            <w:pPr>
              <w:widowControl w:val="0"/>
              <w:numPr>
                <w:ilvl w:val="0"/>
                <w:numId w:val="32"/>
              </w:numPr>
              <w:bidi w:val="0"/>
              <w:adjustRightInd w:val="0"/>
              <w:snapToGrid w:val="0"/>
              <w:jc w:val="center"/>
              <w:rPr>
                <w:rFonts w:hint="eastAsia" w:ascii="宋体" w:hAnsi="宋体" w:eastAsia="宋体" w:cs="宋体"/>
                <w:color w:val="000000" w:themeColor="text1"/>
                <w:sz w:val="21"/>
                <w:szCs w:val="21"/>
                <w:highlight w:val="none"/>
              </w:rPr>
            </w:pPr>
          </w:p>
        </w:tc>
        <w:tc>
          <w:tcPr>
            <w:tcW w:w="1233" w:type="dxa"/>
            <w:tcBorders>
              <w:tl2br w:val="nil"/>
              <w:tr2bl w:val="nil"/>
            </w:tcBorders>
            <w:vAlign w:val="center"/>
          </w:tcPr>
          <w:p w14:paraId="79567F57">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过碳酸钠</w:t>
            </w:r>
          </w:p>
        </w:tc>
        <w:tc>
          <w:tcPr>
            <w:tcW w:w="1085" w:type="pct"/>
            <w:tcBorders>
              <w:tl2br w:val="nil"/>
              <w:tr2bl w:val="nil"/>
            </w:tcBorders>
            <w:vAlign w:val="center"/>
          </w:tcPr>
          <w:p w14:paraId="50D55C45">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氧化性固体</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类别3*</w:t>
            </w:r>
          </w:p>
        </w:tc>
        <w:tc>
          <w:tcPr>
            <w:tcW w:w="933" w:type="dxa"/>
            <w:tcBorders>
              <w:tl2br w:val="nil"/>
              <w:tr2bl w:val="nil"/>
            </w:tcBorders>
            <w:vAlign w:val="center"/>
          </w:tcPr>
          <w:p w14:paraId="4B63FD03">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无意义</w:t>
            </w:r>
          </w:p>
        </w:tc>
        <w:tc>
          <w:tcPr>
            <w:tcW w:w="1490" w:type="dxa"/>
            <w:tcBorders>
              <w:tl2br w:val="nil"/>
              <w:tr2bl w:val="nil"/>
            </w:tcBorders>
            <w:vAlign w:val="center"/>
          </w:tcPr>
          <w:p w14:paraId="0F4E098F">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无意义</w:t>
            </w:r>
          </w:p>
        </w:tc>
        <w:tc>
          <w:tcPr>
            <w:tcW w:w="311" w:type="pct"/>
            <w:tcBorders>
              <w:tl2br w:val="nil"/>
              <w:tr2bl w:val="nil"/>
            </w:tcBorders>
            <w:vAlign w:val="center"/>
          </w:tcPr>
          <w:p w14:paraId="3BDBDBC4">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cs="宋体"/>
                <w:color w:val="000000" w:themeColor="text1"/>
                <w:sz w:val="21"/>
                <w:szCs w:val="21"/>
                <w:highlight w:val="none"/>
                <w:lang w:eastAsia="zh-CN"/>
              </w:rPr>
              <w:t>乙</w:t>
            </w:r>
          </w:p>
        </w:tc>
        <w:tc>
          <w:tcPr>
            <w:tcW w:w="346" w:type="pct"/>
            <w:tcBorders>
              <w:tl2br w:val="nil"/>
              <w:tr2bl w:val="nil"/>
            </w:tcBorders>
            <w:vAlign w:val="center"/>
          </w:tcPr>
          <w:p w14:paraId="6C76C2EF">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无资料</w:t>
            </w:r>
          </w:p>
        </w:tc>
        <w:tc>
          <w:tcPr>
            <w:tcW w:w="365" w:type="pct"/>
            <w:tcBorders>
              <w:tl2br w:val="nil"/>
              <w:tr2bl w:val="nil"/>
            </w:tcBorders>
            <w:vAlign w:val="center"/>
          </w:tcPr>
          <w:p w14:paraId="7D2FCD50">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无资料</w:t>
            </w:r>
          </w:p>
        </w:tc>
        <w:tc>
          <w:tcPr>
            <w:tcW w:w="337" w:type="pct"/>
            <w:tcBorders>
              <w:tl2br w:val="nil"/>
              <w:tr2bl w:val="nil"/>
            </w:tcBorders>
            <w:vAlign w:val="center"/>
          </w:tcPr>
          <w:p w14:paraId="230C707E">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无资料</w:t>
            </w:r>
          </w:p>
        </w:tc>
        <w:tc>
          <w:tcPr>
            <w:tcW w:w="748" w:type="pct"/>
            <w:tcBorders>
              <w:tl2br w:val="nil"/>
              <w:tr2bl w:val="nil"/>
            </w:tcBorders>
            <w:vAlign w:val="center"/>
          </w:tcPr>
          <w:p w14:paraId="7156C8D9">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 xml:space="preserve"> </w:t>
            </w:r>
            <w:r>
              <w:rPr>
                <w:rFonts w:hint="eastAsia" w:ascii="宋体" w:hAnsi="宋体" w:eastAsia="宋体" w:cs="宋体"/>
                <w:color w:val="000000" w:themeColor="text1"/>
                <w:kern w:val="0"/>
                <w:sz w:val="21"/>
                <w:szCs w:val="21"/>
                <w:highlight w:val="none"/>
              </w:rPr>
              <w:t>LD50：</w:t>
            </w:r>
            <w:r>
              <w:rPr>
                <w:rFonts w:hint="eastAsia" w:ascii="宋体" w:hAnsi="宋体" w:eastAsia="宋体" w:cs="宋体"/>
                <w:color w:val="000000" w:themeColor="text1"/>
                <w:kern w:val="0"/>
                <w:sz w:val="21"/>
                <w:szCs w:val="21"/>
                <w:highlight w:val="none"/>
                <w:lang w:eastAsia="zh-CN"/>
              </w:rPr>
              <w:t>2000 mg/kg</w:t>
            </w:r>
          </w:p>
          <w:p w14:paraId="698C3BC7">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LC50：4.58 mg/L/1 hour</w:t>
            </w:r>
          </w:p>
        </w:tc>
        <w:tc>
          <w:tcPr>
            <w:tcW w:w="358" w:type="pct"/>
            <w:tcBorders>
              <w:tl2br w:val="nil"/>
              <w:tr2bl w:val="nil"/>
            </w:tcBorders>
            <w:vAlign w:val="center"/>
          </w:tcPr>
          <w:p w14:paraId="072E2CD8">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轻度危害</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Ⅳ级</w:t>
            </w:r>
            <w:r>
              <w:rPr>
                <w:rFonts w:hint="eastAsia" w:ascii="宋体" w:hAnsi="宋体" w:eastAsia="宋体" w:cs="宋体"/>
                <w:color w:val="000000" w:themeColor="text1"/>
                <w:sz w:val="21"/>
                <w:szCs w:val="21"/>
                <w:highlight w:val="none"/>
                <w:lang w:eastAsia="zh-CN"/>
              </w:rPr>
              <w:t>）</w:t>
            </w:r>
          </w:p>
        </w:tc>
      </w:tr>
      <w:tr w14:paraId="00CC2E27">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85" w:type="pct"/>
            <w:tcBorders>
              <w:tl2br w:val="nil"/>
              <w:tr2bl w:val="nil"/>
            </w:tcBorders>
            <w:vAlign w:val="center"/>
          </w:tcPr>
          <w:p w14:paraId="6A7ACC2E">
            <w:pPr>
              <w:widowControl w:val="0"/>
              <w:numPr>
                <w:ilvl w:val="0"/>
                <w:numId w:val="32"/>
              </w:numPr>
              <w:bidi w:val="0"/>
              <w:adjustRightInd w:val="0"/>
              <w:snapToGrid w:val="0"/>
              <w:jc w:val="center"/>
              <w:rPr>
                <w:rFonts w:hint="eastAsia" w:ascii="宋体" w:hAnsi="宋体" w:eastAsia="宋体" w:cs="宋体"/>
                <w:color w:val="000000" w:themeColor="text1"/>
                <w:sz w:val="21"/>
                <w:szCs w:val="21"/>
                <w:highlight w:val="none"/>
              </w:rPr>
            </w:pPr>
          </w:p>
        </w:tc>
        <w:tc>
          <w:tcPr>
            <w:tcW w:w="1233" w:type="dxa"/>
            <w:tcBorders>
              <w:tl2br w:val="nil"/>
              <w:tr2bl w:val="nil"/>
            </w:tcBorders>
            <w:vAlign w:val="center"/>
          </w:tcPr>
          <w:p w14:paraId="673405C1">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次氯酸钠</w:t>
            </w:r>
            <w:r>
              <w:rPr>
                <w:rFonts w:hint="eastAsia" w:ascii="宋体" w:hAnsi="宋体" w:eastAsia="宋体" w:cs="宋体"/>
                <w:color w:val="000000" w:themeColor="text1"/>
                <w:kern w:val="0"/>
                <w:sz w:val="21"/>
                <w:szCs w:val="21"/>
                <w:highlight w:val="none"/>
                <w:lang w:eastAsia="zh-CN"/>
              </w:rPr>
              <w:t>溶液</w:t>
            </w:r>
          </w:p>
        </w:tc>
        <w:tc>
          <w:tcPr>
            <w:tcW w:w="1085" w:type="pct"/>
            <w:tcBorders>
              <w:tl2br w:val="nil"/>
              <w:tr2bl w:val="nil"/>
            </w:tcBorders>
            <w:vAlign w:val="center"/>
          </w:tcPr>
          <w:p w14:paraId="52C65BE9">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皮肤腐蚀/刺激</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类别1B</w:t>
            </w:r>
          </w:p>
          <w:p w14:paraId="0344CD08">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严重眼损伤/眼刺激</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w:t>
            </w:r>
          </w:p>
          <w:p w14:paraId="38F7D58D">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危害水生环境</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急性危害</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w:t>
            </w:r>
          </w:p>
          <w:p w14:paraId="5DD4FAB0">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危害水生环境</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长期危害</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w:t>
            </w:r>
          </w:p>
        </w:tc>
        <w:tc>
          <w:tcPr>
            <w:tcW w:w="322" w:type="pct"/>
            <w:tcBorders>
              <w:tl2br w:val="nil"/>
              <w:tr2bl w:val="nil"/>
            </w:tcBorders>
            <w:vAlign w:val="center"/>
          </w:tcPr>
          <w:p w14:paraId="37DAC8C9">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无意义</w:t>
            </w:r>
          </w:p>
        </w:tc>
        <w:tc>
          <w:tcPr>
            <w:tcW w:w="514" w:type="pct"/>
            <w:tcBorders>
              <w:tl2br w:val="nil"/>
              <w:tr2bl w:val="nil"/>
            </w:tcBorders>
            <w:vAlign w:val="center"/>
          </w:tcPr>
          <w:p w14:paraId="0743CB88">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无意义</w:t>
            </w:r>
          </w:p>
        </w:tc>
        <w:tc>
          <w:tcPr>
            <w:tcW w:w="311" w:type="pct"/>
            <w:tcBorders>
              <w:tl2br w:val="nil"/>
              <w:tr2bl w:val="nil"/>
            </w:tcBorders>
            <w:vAlign w:val="center"/>
          </w:tcPr>
          <w:p w14:paraId="005CF8D3">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CN"/>
              </w:rPr>
              <w:t>戊</w:t>
            </w:r>
          </w:p>
        </w:tc>
        <w:tc>
          <w:tcPr>
            <w:tcW w:w="346" w:type="pct"/>
            <w:tcBorders>
              <w:tl2br w:val="nil"/>
              <w:tr2bl w:val="nil"/>
            </w:tcBorders>
            <w:vAlign w:val="center"/>
          </w:tcPr>
          <w:p w14:paraId="7E605249">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无资料</w:t>
            </w:r>
          </w:p>
        </w:tc>
        <w:tc>
          <w:tcPr>
            <w:tcW w:w="365" w:type="pct"/>
            <w:tcBorders>
              <w:tl2br w:val="nil"/>
              <w:tr2bl w:val="nil"/>
            </w:tcBorders>
            <w:vAlign w:val="center"/>
          </w:tcPr>
          <w:p w14:paraId="0C53470C">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无资料</w:t>
            </w:r>
          </w:p>
        </w:tc>
        <w:tc>
          <w:tcPr>
            <w:tcW w:w="337" w:type="pct"/>
            <w:tcBorders>
              <w:tl2br w:val="nil"/>
              <w:tr2bl w:val="nil"/>
            </w:tcBorders>
            <w:vAlign w:val="center"/>
          </w:tcPr>
          <w:p w14:paraId="3655879D">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无资料</w:t>
            </w:r>
          </w:p>
        </w:tc>
        <w:tc>
          <w:tcPr>
            <w:tcW w:w="748" w:type="pct"/>
            <w:tcBorders>
              <w:tl2br w:val="nil"/>
              <w:tr2bl w:val="nil"/>
            </w:tcBorders>
            <w:vAlign w:val="center"/>
          </w:tcPr>
          <w:p w14:paraId="115A317B">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8500mg/kg（</w:t>
            </w:r>
            <w:r>
              <w:rPr>
                <w:rFonts w:hint="eastAsia" w:ascii="宋体" w:hAnsi="宋体" w:eastAsia="宋体" w:cs="宋体"/>
                <w:color w:val="000000" w:themeColor="text1"/>
                <w:sz w:val="21"/>
                <w:szCs w:val="21"/>
                <w:highlight w:val="none"/>
                <w:lang w:eastAsia="zh-CN"/>
              </w:rPr>
              <w:t>大</w:t>
            </w:r>
            <w:r>
              <w:rPr>
                <w:rFonts w:hint="eastAsia" w:ascii="宋体" w:hAnsi="宋体" w:eastAsia="宋体" w:cs="宋体"/>
                <w:color w:val="000000" w:themeColor="text1"/>
                <w:sz w:val="21"/>
                <w:szCs w:val="21"/>
                <w:highlight w:val="none"/>
              </w:rPr>
              <w:t>鼠经口）</w:t>
            </w:r>
          </w:p>
        </w:tc>
        <w:tc>
          <w:tcPr>
            <w:tcW w:w="358" w:type="pct"/>
            <w:tcBorders>
              <w:tl2br w:val="nil"/>
              <w:tr2bl w:val="nil"/>
            </w:tcBorders>
            <w:vAlign w:val="center"/>
          </w:tcPr>
          <w:p w14:paraId="0AC2612B">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轻度危害</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Ⅳ级</w:t>
            </w:r>
            <w:r>
              <w:rPr>
                <w:rFonts w:hint="eastAsia" w:ascii="宋体" w:hAnsi="宋体" w:eastAsia="宋体" w:cs="宋体"/>
                <w:color w:val="000000" w:themeColor="text1"/>
                <w:sz w:val="21"/>
                <w:szCs w:val="21"/>
                <w:highlight w:val="none"/>
                <w:lang w:eastAsia="zh-CN"/>
              </w:rPr>
              <w:t>）</w:t>
            </w:r>
          </w:p>
        </w:tc>
      </w:tr>
    </w:tbl>
    <w:p w14:paraId="59DA2DDB">
      <w:pPr>
        <w:pStyle w:val="744"/>
        <w:keepNext w:val="0"/>
        <w:keepLines w:val="0"/>
        <w:pageBreakBefore w:val="0"/>
        <w:widowControl w:val="0"/>
        <w:numPr>
          <w:ilvl w:val="0"/>
          <w:numId w:val="33"/>
        </w:numPr>
        <w:kinsoku/>
        <w:wordWrap/>
        <w:overflowPunct/>
        <w:topLinePunct w:val="0"/>
        <w:autoSpaceDE/>
        <w:autoSpaceDN/>
        <w:bidi w:val="0"/>
        <w:adjustRightInd w:val="0"/>
        <w:snapToGrid w:val="0"/>
        <w:spacing w:before="157" w:beforeLines="50" w:line="360" w:lineRule="auto"/>
        <w:ind w:left="0" w:right="0" w:rightChars="0" w:firstLine="420" w:firstLineChars="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火灾、爆炸</w:t>
      </w:r>
    </w:p>
    <w:p w14:paraId="31C3056F">
      <w:pPr>
        <w:keepNext w:val="0"/>
        <w:keepLines w:val="0"/>
        <w:pageBreakBefore w:val="0"/>
        <w:widowControl w:val="0"/>
        <w:tabs>
          <w:tab w:val="left" w:pos="5060"/>
        </w:tabs>
        <w:kinsoku/>
        <w:wordWrap/>
        <w:overflowPunct/>
        <w:topLinePunct w:val="0"/>
        <w:autoSpaceDE/>
        <w:autoSpaceDN/>
        <w:bidi w:val="0"/>
        <w:adjustRightInd w:val="0"/>
        <w:snapToGrid w:val="0"/>
        <w:spacing w:line="360" w:lineRule="auto"/>
        <w:ind w:left="0" w:right="0" w:righ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fldChar w:fldCharType="begin"/>
      </w:r>
      <w:r>
        <w:rPr>
          <w:rFonts w:hint="eastAsia" w:ascii="宋体" w:hAnsi="宋体" w:eastAsia="宋体" w:cs="宋体"/>
          <w:color w:val="000000" w:themeColor="text1"/>
          <w:sz w:val="28"/>
          <w:szCs w:val="28"/>
          <w:highlight w:val="none"/>
        </w:rPr>
        <w:instrText xml:space="preserve"> = 1 \* GB3 </w:instrText>
      </w:r>
      <w:r>
        <w:rPr>
          <w:rFonts w:hint="eastAsia" w:ascii="宋体" w:hAnsi="宋体" w:eastAsia="宋体" w:cs="宋体"/>
          <w:color w:val="000000" w:themeColor="text1"/>
          <w:sz w:val="28"/>
          <w:szCs w:val="28"/>
          <w:highlight w:val="none"/>
        </w:rPr>
        <w:fldChar w:fldCharType="separate"/>
      </w:r>
      <w:r>
        <w:rPr>
          <w:rFonts w:hint="eastAsia" w:ascii="宋体" w:hAnsi="宋体" w:eastAsia="宋体" w:cs="宋体"/>
          <w:color w:val="000000" w:themeColor="text1"/>
          <w:sz w:val="28"/>
          <w:szCs w:val="28"/>
          <w:highlight w:val="none"/>
        </w:rPr>
        <w:t>①</w:t>
      </w:r>
      <w:r>
        <w:rPr>
          <w:rFonts w:hint="eastAsia" w:ascii="宋体" w:hAnsi="宋体" w:eastAsia="宋体" w:cs="宋体"/>
          <w:color w:val="000000" w:themeColor="text1"/>
          <w:sz w:val="28"/>
          <w:szCs w:val="28"/>
          <w:highlight w:val="none"/>
        </w:rPr>
        <w:fldChar w:fldCharType="end"/>
      </w:r>
      <w:r>
        <w:rPr>
          <w:rFonts w:hint="eastAsia" w:ascii="宋体" w:hAnsi="宋体" w:eastAsia="宋体" w:cs="宋体"/>
          <w:color w:val="000000" w:themeColor="text1"/>
          <w:sz w:val="28"/>
          <w:szCs w:val="28"/>
          <w:highlight w:val="none"/>
        </w:rPr>
        <w:t>保险粉</w:t>
      </w:r>
      <w:r>
        <w:rPr>
          <w:rFonts w:hint="eastAsia" w:ascii="宋体" w:hAnsi="宋体" w:eastAsia="宋体" w:cs="宋体"/>
          <w:color w:val="000000" w:themeColor="text1"/>
          <w:sz w:val="28"/>
          <w:szCs w:val="28"/>
          <w:highlight w:val="none"/>
          <w:lang w:eastAsia="zh-CN"/>
        </w:rPr>
        <w:t>、过碳酸钠</w:t>
      </w:r>
      <w:r>
        <w:rPr>
          <w:rFonts w:hint="eastAsia"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lang w:eastAsia="zh-CN"/>
        </w:rPr>
        <w:t>乙酸</w:t>
      </w:r>
      <w:r>
        <w:rPr>
          <w:rFonts w:hint="eastAsia" w:ascii="宋体" w:hAnsi="宋体" w:eastAsia="宋体" w:cs="宋体"/>
          <w:color w:val="000000" w:themeColor="text1"/>
          <w:sz w:val="28"/>
          <w:szCs w:val="28"/>
          <w:highlight w:val="none"/>
        </w:rPr>
        <w:t>火灾危险类别为乙类。</w:t>
      </w:r>
    </w:p>
    <w:p w14:paraId="35749447">
      <w:pPr>
        <w:keepNext w:val="0"/>
        <w:keepLines w:val="0"/>
        <w:pageBreakBefore w:val="0"/>
        <w:widowControl w:val="0"/>
        <w:tabs>
          <w:tab w:val="left" w:pos="5060"/>
        </w:tabs>
        <w:kinsoku/>
        <w:wordWrap/>
        <w:overflowPunct/>
        <w:topLinePunct w:val="0"/>
        <w:autoSpaceDE/>
        <w:autoSpaceDN/>
        <w:bidi w:val="0"/>
        <w:adjustRightInd w:val="0"/>
        <w:snapToGrid w:val="0"/>
        <w:spacing w:line="360" w:lineRule="auto"/>
        <w:ind w:left="0" w:right="0" w:righ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fldChar w:fldCharType="begin"/>
      </w:r>
      <w:r>
        <w:rPr>
          <w:rFonts w:hint="eastAsia" w:ascii="宋体" w:hAnsi="宋体" w:eastAsia="宋体" w:cs="宋体"/>
          <w:color w:val="000000" w:themeColor="text1"/>
          <w:sz w:val="28"/>
          <w:szCs w:val="28"/>
          <w:highlight w:val="none"/>
        </w:rPr>
        <w:instrText xml:space="preserve">= 2 \* GB3</w:instrText>
      </w:r>
      <w:r>
        <w:rPr>
          <w:rFonts w:hint="eastAsia" w:ascii="宋体" w:hAnsi="宋体" w:eastAsia="宋体" w:cs="宋体"/>
          <w:color w:val="000000" w:themeColor="text1"/>
          <w:sz w:val="28"/>
          <w:szCs w:val="28"/>
          <w:highlight w:val="none"/>
        </w:rPr>
        <w:fldChar w:fldCharType="separate"/>
      </w:r>
      <w:r>
        <w:rPr>
          <w:rFonts w:hint="eastAsia" w:ascii="宋体" w:hAnsi="宋体" w:eastAsia="宋体" w:cs="宋体"/>
          <w:color w:val="000000" w:themeColor="text1"/>
          <w:sz w:val="28"/>
          <w:szCs w:val="28"/>
          <w:highlight w:val="none"/>
        </w:rPr>
        <w:t>②</w:t>
      </w:r>
      <w:r>
        <w:rPr>
          <w:rFonts w:hint="eastAsia" w:ascii="宋体" w:hAnsi="宋体" w:eastAsia="宋体" w:cs="宋体"/>
          <w:color w:val="000000" w:themeColor="text1"/>
          <w:sz w:val="28"/>
          <w:szCs w:val="28"/>
          <w:highlight w:val="none"/>
        </w:rPr>
        <w:fldChar w:fldCharType="end"/>
      </w:r>
      <w:r>
        <w:rPr>
          <w:rFonts w:hint="eastAsia" w:ascii="宋体" w:hAnsi="宋体" w:eastAsia="宋体" w:cs="宋体"/>
          <w:color w:val="000000" w:themeColor="text1"/>
          <w:sz w:val="28"/>
          <w:szCs w:val="28"/>
          <w:highlight w:val="none"/>
          <w:lang w:eastAsia="zh-CN"/>
        </w:rPr>
        <w:t>乙酸</w:t>
      </w:r>
      <w:r>
        <w:rPr>
          <w:rFonts w:hint="eastAsia" w:ascii="宋体" w:hAnsi="宋体" w:eastAsia="宋体" w:cs="宋体"/>
          <w:color w:val="000000" w:themeColor="text1"/>
          <w:sz w:val="28"/>
          <w:szCs w:val="28"/>
          <w:highlight w:val="none"/>
        </w:rPr>
        <w:t>易燃。蒸气与空气能形成混合性爆炸物。遇明火、高热能引起燃烧爆炸。与铬酸、过氧化钠，硝酸或其他氧化剂接触，有引起爆炸的危险。具有腐蚀性。</w:t>
      </w:r>
      <w:r>
        <w:rPr>
          <w:rFonts w:hint="eastAsia" w:ascii="宋体" w:hAnsi="宋体" w:eastAsia="宋体" w:cs="宋体"/>
          <w:color w:val="000000" w:themeColor="text1"/>
          <w:sz w:val="28"/>
          <w:szCs w:val="28"/>
          <w:highlight w:val="none"/>
          <w:lang w:eastAsia="zh-CN"/>
        </w:rPr>
        <w:t>燃烧生成有害的一氧化碳</w:t>
      </w:r>
      <w:r>
        <w:rPr>
          <w:rFonts w:hint="eastAsia" w:cs="宋体"/>
          <w:color w:val="000000" w:themeColor="text1"/>
          <w:sz w:val="28"/>
          <w:szCs w:val="28"/>
          <w:highlight w:val="none"/>
          <w:lang w:val="en-US" w:eastAsia="zh-CN"/>
        </w:rPr>
        <w:t>和二氧化碳</w:t>
      </w:r>
      <w:r>
        <w:rPr>
          <w:rFonts w:hint="eastAsia" w:ascii="宋体" w:hAnsi="宋体" w:eastAsia="宋体" w:cs="宋体"/>
          <w:color w:val="000000" w:themeColor="text1"/>
          <w:sz w:val="28"/>
          <w:szCs w:val="28"/>
          <w:highlight w:val="none"/>
        </w:rPr>
        <w:t>。</w:t>
      </w:r>
    </w:p>
    <w:p w14:paraId="048E9FD6">
      <w:pPr>
        <w:keepNext w:val="0"/>
        <w:keepLines w:val="0"/>
        <w:pageBreakBefore w:val="0"/>
        <w:widowControl w:val="0"/>
        <w:tabs>
          <w:tab w:val="left" w:pos="5060"/>
        </w:tabs>
        <w:kinsoku/>
        <w:wordWrap/>
        <w:overflowPunct/>
        <w:topLinePunct w:val="0"/>
        <w:autoSpaceDE/>
        <w:autoSpaceDN/>
        <w:bidi w:val="0"/>
        <w:adjustRightInd w:val="0"/>
        <w:snapToGrid w:val="0"/>
        <w:spacing w:line="360" w:lineRule="auto"/>
        <w:ind w:left="0" w:right="0" w:righ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fldChar w:fldCharType="begin"/>
      </w:r>
      <w:r>
        <w:rPr>
          <w:rFonts w:hint="eastAsia" w:ascii="宋体" w:hAnsi="宋体" w:eastAsia="宋体" w:cs="宋体"/>
          <w:color w:val="000000" w:themeColor="text1"/>
          <w:sz w:val="28"/>
          <w:szCs w:val="28"/>
          <w:highlight w:val="none"/>
        </w:rPr>
        <w:instrText xml:space="preserve">= 3 \* GB3</w:instrText>
      </w:r>
      <w:r>
        <w:rPr>
          <w:rFonts w:hint="eastAsia" w:ascii="宋体" w:hAnsi="宋体" w:eastAsia="宋体" w:cs="宋体"/>
          <w:color w:val="000000" w:themeColor="text1"/>
          <w:sz w:val="28"/>
          <w:szCs w:val="28"/>
          <w:highlight w:val="none"/>
        </w:rPr>
        <w:fldChar w:fldCharType="separate"/>
      </w:r>
      <w:r>
        <w:rPr>
          <w:rFonts w:hint="eastAsia" w:ascii="宋体" w:hAnsi="宋体" w:eastAsia="宋体" w:cs="宋体"/>
          <w:color w:val="000000" w:themeColor="text1"/>
          <w:sz w:val="28"/>
          <w:szCs w:val="28"/>
          <w:highlight w:val="none"/>
        </w:rPr>
        <w:t>③</w:t>
      </w:r>
      <w:r>
        <w:rPr>
          <w:rFonts w:hint="eastAsia" w:ascii="宋体" w:hAnsi="宋体" w:eastAsia="宋体" w:cs="宋体"/>
          <w:color w:val="000000" w:themeColor="text1"/>
          <w:sz w:val="28"/>
          <w:szCs w:val="28"/>
          <w:highlight w:val="none"/>
        </w:rPr>
        <w:fldChar w:fldCharType="end"/>
      </w:r>
      <w:r>
        <w:rPr>
          <w:rFonts w:hint="eastAsia" w:ascii="宋体" w:hAnsi="宋体" w:eastAsia="宋体" w:cs="宋体"/>
          <w:color w:val="000000" w:themeColor="text1"/>
          <w:sz w:val="28"/>
          <w:szCs w:val="28"/>
          <w:highlight w:val="none"/>
        </w:rPr>
        <w:t>保险粉</w:t>
      </w:r>
      <w:r>
        <w:rPr>
          <w:rFonts w:hint="eastAsia" w:ascii="宋体" w:hAnsi="宋体" w:eastAsia="宋体" w:cs="宋体"/>
          <w:color w:val="000000" w:themeColor="text1"/>
          <w:sz w:val="28"/>
          <w:szCs w:val="28"/>
          <w:highlight w:val="none"/>
          <w:lang w:eastAsia="zh-CN"/>
        </w:rPr>
        <w:t>为</w:t>
      </w:r>
      <w:r>
        <w:rPr>
          <w:rFonts w:hint="eastAsia" w:ascii="宋体" w:hAnsi="宋体" w:eastAsia="宋体" w:cs="宋体"/>
          <w:color w:val="000000" w:themeColor="text1"/>
          <w:sz w:val="28"/>
          <w:szCs w:val="28"/>
          <w:highlight w:val="none"/>
        </w:rPr>
        <w:t>强还原剂。250℃时能自燃。加热或接触明火会引起燃烧。暴露在空气中会被氧化而变质。遇水、酸类或与有机物、氧化剂接触，都可放出大量热而引起剧烈燃烧，并放出有毒和易燃的二氧化硫。</w:t>
      </w:r>
      <w:r>
        <w:rPr>
          <w:rFonts w:hint="eastAsia" w:ascii="宋体" w:hAnsi="宋体" w:eastAsia="宋体" w:cs="宋体"/>
          <w:color w:val="000000" w:themeColor="text1"/>
          <w:sz w:val="28"/>
          <w:szCs w:val="28"/>
          <w:highlight w:val="none"/>
          <w:lang w:eastAsia="zh-CN"/>
        </w:rPr>
        <w:t>燃烧生成有害的硫化物</w:t>
      </w:r>
      <w:r>
        <w:rPr>
          <w:rFonts w:hint="eastAsia" w:cs="宋体"/>
          <w:color w:val="000000" w:themeColor="text1"/>
          <w:sz w:val="28"/>
          <w:szCs w:val="28"/>
          <w:highlight w:val="none"/>
          <w:lang w:eastAsia="zh-CN"/>
        </w:rPr>
        <w:t>。</w:t>
      </w:r>
    </w:p>
    <w:p w14:paraId="32E24814">
      <w:pPr>
        <w:keepNext w:val="0"/>
        <w:keepLines w:val="0"/>
        <w:pageBreakBefore w:val="0"/>
        <w:widowControl w:val="0"/>
        <w:tabs>
          <w:tab w:val="left" w:pos="5060"/>
        </w:tabs>
        <w:kinsoku/>
        <w:wordWrap/>
        <w:overflowPunct/>
        <w:topLinePunct w:val="0"/>
        <w:autoSpaceDE/>
        <w:autoSpaceDN/>
        <w:bidi w:val="0"/>
        <w:adjustRightInd w:val="0"/>
        <w:snapToGrid w:val="0"/>
        <w:spacing w:line="360" w:lineRule="auto"/>
        <w:ind w:left="0" w:right="0" w:righ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④</w:t>
      </w:r>
      <w:r>
        <w:rPr>
          <w:rFonts w:hint="eastAsia" w:ascii="宋体" w:hAnsi="宋体" w:eastAsia="宋体" w:cs="宋体"/>
          <w:color w:val="000000" w:themeColor="text1"/>
          <w:sz w:val="28"/>
          <w:szCs w:val="28"/>
          <w:highlight w:val="none"/>
          <w:lang w:eastAsia="zh-CN"/>
        </w:rPr>
        <w:t>过碳酸钠不可燃，但可助长其他物质燃烧。有着火和爆炸的危险。</w:t>
      </w:r>
      <w:r>
        <w:rPr>
          <w:rFonts w:hint="eastAsia" w:ascii="宋体" w:hAnsi="宋体" w:eastAsia="宋体" w:cs="宋体"/>
          <w:color w:val="000000" w:themeColor="text1"/>
          <w:sz w:val="28"/>
          <w:szCs w:val="28"/>
          <w:highlight w:val="none"/>
        </w:rPr>
        <w:t>与水接触时物质分解，有着火和爆炸危险。水溶液是一种弱碱。与金属及其盐、有机物酸类和还原剂发生反应。</w:t>
      </w:r>
    </w:p>
    <w:p w14:paraId="57099570">
      <w:pPr>
        <w:pStyle w:val="744"/>
        <w:keepNext w:val="0"/>
        <w:keepLines w:val="0"/>
        <w:pageBreakBefore w:val="0"/>
        <w:widowControl w:val="0"/>
        <w:numPr>
          <w:ilvl w:val="0"/>
          <w:numId w:val="33"/>
        </w:numPr>
        <w:kinsoku/>
        <w:wordWrap/>
        <w:overflowPunct/>
        <w:topLinePunct w:val="0"/>
        <w:autoSpaceDE/>
        <w:autoSpaceDN/>
        <w:bidi w:val="0"/>
        <w:adjustRightInd w:val="0"/>
        <w:snapToGrid w:val="0"/>
        <w:spacing w:line="360" w:lineRule="auto"/>
        <w:ind w:left="0" w:right="0" w:rightChars="0" w:firstLine="560" w:firstLineChars="200"/>
        <w:textAlignment w:val="auto"/>
        <w:rPr>
          <w:color w:val="000000" w:themeColor="text1"/>
          <w:sz w:val="28"/>
          <w:szCs w:val="28"/>
          <w:highlight w:val="none"/>
        </w:rPr>
      </w:pPr>
      <w:r>
        <w:rPr>
          <w:rFonts w:hint="eastAsia"/>
          <w:color w:val="000000" w:themeColor="text1"/>
          <w:sz w:val="28"/>
          <w:szCs w:val="28"/>
          <w:highlight w:val="none"/>
        </w:rPr>
        <w:t>中毒</w:t>
      </w:r>
    </w:p>
    <w:p w14:paraId="307BEEBD">
      <w:pPr>
        <w:pStyle w:val="744"/>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560" w:firstLineChars="200"/>
        <w:textAlignment w:val="auto"/>
        <w:rPr>
          <w:color w:val="000000" w:themeColor="text1"/>
          <w:sz w:val="28"/>
          <w:szCs w:val="28"/>
          <w:highlight w:val="none"/>
        </w:rPr>
      </w:pPr>
      <w:r>
        <w:rPr>
          <w:rFonts w:hint="eastAsia"/>
          <w:color w:val="000000" w:themeColor="text1"/>
          <w:sz w:val="28"/>
          <w:szCs w:val="28"/>
          <w:highlight w:val="none"/>
          <w:lang w:eastAsia="zh-CN"/>
        </w:rPr>
        <w:t>乙酸</w:t>
      </w:r>
      <w:r>
        <w:rPr>
          <w:rFonts w:hint="eastAsia"/>
          <w:color w:val="000000" w:themeColor="text1"/>
          <w:sz w:val="28"/>
          <w:szCs w:val="28"/>
          <w:highlight w:val="none"/>
        </w:rPr>
        <w:t>的毒害性等级为III级中度危害</w:t>
      </w:r>
      <w:r>
        <w:rPr>
          <w:rFonts w:hint="eastAsia"/>
          <w:color w:val="000000" w:themeColor="text1"/>
          <w:sz w:val="28"/>
          <w:szCs w:val="28"/>
          <w:highlight w:val="none"/>
          <w:lang w:eastAsia="zh-CN"/>
        </w:rPr>
        <w:t>，</w:t>
      </w:r>
      <w:r>
        <w:rPr>
          <w:rFonts w:hint="eastAsia"/>
          <w:color w:val="000000" w:themeColor="text1"/>
          <w:sz w:val="28"/>
          <w:szCs w:val="28"/>
          <w:highlight w:val="none"/>
        </w:rPr>
        <w:t>有一定的毒性，若人体长期吸入、接触可能会导致疾病。</w:t>
      </w:r>
    </w:p>
    <w:p w14:paraId="0295FD42">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color w:val="000000" w:themeColor="text1"/>
          <w:highlight w:val="none"/>
        </w:rPr>
        <w:sectPr>
          <w:footerReference r:id="rId22" w:type="default"/>
          <w:pgSz w:w="16838" w:h="11906" w:orient="landscape"/>
          <w:pgMar w:top="1588" w:right="1418" w:bottom="1134" w:left="1134" w:header="794" w:footer="794" w:gutter="0"/>
          <w:pgBorders>
            <w:top w:val="none" w:sz="0" w:space="0"/>
            <w:left w:val="none" w:sz="0" w:space="0"/>
            <w:bottom w:val="none" w:sz="0" w:space="0"/>
            <w:right w:val="none" w:sz="0" w:space="0"/>
          </w:pgBorders>
          <w:cols w:space="425" w:num="1"/>
          <w:docGrid w:linePitch="312" w:charSpace="0"/>
        </w:sectPr>
      </w:pPr>
    </w:p>
    <w:p w14:paraId="613DC3CA">
      <w:pPr>
        <w:pStyle w:val="744"/>
        <w:keepNext w:val="0"/>
        <w:keepLines w:val="0"/>
        <w:pageBreakBefore w:val="0"/>
        <w:widowControl w:val="0"/>
        <w:numPr>
          <w:ilvl w:val="0"/>
          <w:numId w:val="33"/>
        </w:numPr>
        <w:kinsoku/>
        <w:wordWrap/>
        <w:overflowPunct/>
        <w:topLinePunct w:val="0"/>
        <w:autoSpaceDE/>
        <w:autoSpaceDN/>
        <w:bidi w:val="0"/>
        <w:adjustRightInd w:val="0"/>
        <w:snapToGrid w:val="0"/>
        <w:spacing w:line="360" w:lineRule="auto"/>
        <w:ind w:left="0" w:right="0" w:rightChars="0" w:firstLine="560" w:firstLineChars="200"/>
        <w:textAlignment w:val="auto"/>
        <w:rPr>
          <w:color w:val="000000" w:themeColor="text1"/>
          <w:sz w:val="28"/>
          <w:szCs w:val="28"/>
          <w:highlight w:val="none"/>
        </w:rPr>
      </w:pPr>
      <w:bookmarkStart w:id="507" w:name="_Toc234394492"/>
      <w:bookmarkStart w:id="508" w:name="_Toc190762563"/>
      <w:bookmarkStart w:id="509" w:name="_Toc198457563"/>
      <w:bookmarkStart w:id="510" w:name="_Toc198521491"/>
      <w:r>
        <w:rPr>
          <w:rFonts w:hint="eastAsia"/>
          <w:color w:val="000000" w:themeColor="text1"/>
          <w:sz w:val="28"/>
          <w:szCs w:val="28"/>
          <w:highlight w:val="none"/>
        </w:rPr>
        <w:t>化学品灼烫</w:t>
      </w:r>
    </w:p>
    <w:p w14:paraId="232F786E">
      <w:pPr>
        <w:keepNext w:val="0"/>
        <w:keepLines w:val="0"/>
        <w:pageBreakBefore w:val="0"/>
        <w:widowControl w:val="0"/>
        <w:kinsoku/>
        <w:wordWrap/>
        <w:overflowPunct/>
        <w:topLinePunct w:val="0"/>
        <w:autoSpaceDE/>
        <w:autoSpaceDN/>
        <w:bidi w:val="0"/>
        <w:adjustRightInd w:val="0"/>
        <w:snapToGrid w:val="0"/>
        <w:spacing w:line="360" w:lineRule="auto"/>
        <w:ind w:left="0" w:right="0" w:rightChars="0" w:firstLine="560" w:firstLineChars="200"/>
        <w:textAlignment w:val="auto"/>
        <w:rPr>
          <w:color w:val="000000" w:themeColor="text1"/>
          <w:sz w:val="28"/>
          <w:szCs w:val="28"/>
          <w:highlight w:val="none"/>
        </w:rPr>
      </w:pPr>
      <w:r>
        <w:rPr>
          <w:rFonts w:hint="eastAsia"/>
          <w:color w:val="000000" w:themeColor="text1"/>
          <w:sz w:val="28"/>
          <w:szCs w:val="28"/>
          <w:highlight w:val="none"/>
        </w:rPr>
        <w:t>液碱</w:t>
      </w:r>
      <w:r>
        <w:rPr>
          <w:rFonts w:hint="eastAsia"/>
          <w:color w:val="000000" w:themeColor="text1"/>
          <w:sz w:val="28"/>
          <w:szCs w:val="28"/>
          <w:highlight w:val="none"/>
          <w:lang w:eastAsia="zh-CN"/>
        </w:rPr>
        <w:t>、</w:t>
      </w:r>
      <w:r>
        <w:rPr>
          <w:rFonts w:hint="eastAsia" w:ascii="宋体" w:hAnsi="宋体" w:cs="宋体"/>
          <w:color w:val="000000" w:themeColor="text1"/>
          <w:kern w:val="0"/>
          <w:sz w:val="28"/>
          <w:szCs w:val="28"/>
          <w:highlight w:val="none"/>
        </w:rPr>
        <w:t>次氯酸钠</w:t>
      </w:r>
      <w:r>
        <w:rPr>
          <w:rFonts w:hint="eastAsia" w:ascii="宋体" w:hAnsi="宋体" w:cs="宋体"/>
          <w:color w:val="000000" w:themeColor="text1"/>
          <w:kern w:val="0"/>
          <w:sz w:val="28"/>
          <w:szCs w:val="28"/>
          <w:highlight w:val="none"/>
          <w:lang w:eastAsia="zh-CN"/>
        </w:rPr>
        <w:t>溶液</w:t>
      </w:r>
      <w:r>
        <w:rPr>
          <w:rFonts w:hint="eastAsia"/>
          <w:color w:val="000000" w:themeColor="text1"/>
          <w:sz w:val="28"/>
          <w:szCs w:val="28"/>
          <w:highlight w:val="none"/>
        </w:rPr>
        <w:t>属于腐蚀品，</w:t>
      </w:r>
      <w:r>
        <w:rPr>
          <w:rFonts w:hint="eastAsia"/>
          <w:color w:val="000000" w:themeColor="text1"/>
          <w:sz w:val="28"/>
          <w:szCs w:val="28"/>
          <w:highlight w:val="none"/>
          <w:lang w:eastAsia="zh-CN"/>
        </w:rPr>
        <w:t>乙酸</w:t>
      </w:r>
      <w:r>
        <w:rPr>
          <w:rFonts w:hint="eastAsia"/>
          <w:color w:val="000000" w:themeColor="text1"/>
          <w:sz w:val="28"/>
          <w:szCs w:val="28"/>
          <w:highlight w:val="none"/>
        </w:rPr>
        <w:t>具有腐蚀性，</w:t>
      </w:r>
      <w:r>
        <w:rPr>
          <w:color w:val="000000" w:themeColor="text1"/>
          <w:sz w:val="28"/>
          <w:szCs w:val="28"/>
          <w:highlight w:val="none"/>
        </w:rPr>
        <w:t>会对人体产生腐蚀性伤害即化学灼伤。如在装卸作业</w:t>
      </w:r>
      <w:r>
        <w:rPr>
          <w:rFonts w:hint="eastAsia"/>
          <w:color w:val="000000" w:themeColor="text1"/>
          <w:sz w:val="28"/>
          <w:szCs w:val="28"/>
          <w:highlight w:val="none"/>
        </w:rPr>
        <w:t>、投料</w:t>
      </w:r>
      <w:r>
        <w:rPr>
          <w:color w:val="000000" w:themeColor="text1"/>
          <w:sz w:val="28"/>
          <w:szCs w:val="28"/>
          <w:highlight w:val="none"/>
        </w:rPr>
        <w:t>时发生泄漏</w:t>
      </w:r>
      <w:r>
        <w:rPr>
          <w:rFonts w:hint="eastAsia"/>
          <w:color w:val="000000" w:themeColor="text1"/>
          <w:sz w:val="28"/>
          <w:szCs w:val="28"/>
          <w:highlight w:val="none"/>
        </w:rPr>
        <w:t>或飞溅</w:t>
      </w:r>
      <w:r>
        <w:rPr>
          <w:color w:val="000000" w:themeColor="text1"/>
          <w:sz w:val="28"/>
          <w:szCs w:val="28"/>
          <w:highlight w:val="none"/>
        </w:rPr>
        <w:t>，操作人员接触后均会造成对人体的损害。</w:t>
      </w:r>
    </w:p>
    <w:p w14:paraId="25F70ABB">
      <w:pPr>
        <w:pStyle w:val="744"/>
        <w:keepNext w:val="0"/>
        <w:keepLines w:val="0"/>
        <w:pageBreakBefore w:val="0"/>
        <w:widowControl w:val="0"/>
        <w:numPr>
          <w:ilvl w:val="0"/>
          <w:numId w:val="33"/>
        </w:numPr>
        <w:kinsoku/>
        <w:wordWrap/>
        <w:overflowPunct/>
        <w:topLinePunct w:val="0"/>
        <w:autoSpaceDE/>
        <w:autoSpaceDN/>
        <w:bidi w:val="0"/>
        <w:adjustRightInd w:val="0"/>
        <w:snapToGrid w:val="0"/>
        <w:spacing w:line="360" w:lineRule="auto"/>
        <w:ind w:left="0" w:right="0" w:rightChars="0" w:firstLine="560" w:firstLineChars="200"/>
        <w:textAlignment w:val="auto"/>
        <w:rPr>
          <w:color w:val="000000" w:themeColor="text1"/>
          <w:sz w:val="28"/>
          <w:szCs w:val="28"/>
          <w:highlight w:val="none"/>
        </w:rPr>
      </w:pPr>
      <w:r>
        <w:rPr>
          <w:rFonts w:hint="eastAsia"/>
          <w:color w:val="000000" w:themeColor="text1"/>
          <w:sz w:val="28"/>
          <w:szCs w:val="28"/>
          <w:highlight w:val="none"/>
        </w:rPr>
        <w:t>易泄漏</w:t>
      </w:r>
    </w:p>
    <w:p w14:paraId="635E61E6">
      <w:pPr>
        <w:keepNext w:val="0"/>
        <w:keepLines w:val="0"/>
        <w:pageBreakBefore w:val="0"/>
        <w:widowControl w:val="0"/>
        <w:kinsoku/>
        <w:wordWrap/>
        <w:overflowPunct/>
        <w:topLinePunct w:val="0"/>
        <w:autoSpaceDE/>
        <w:autoSpaceDN/>
        <w:bidi w:val="0"/>
        <w:adjustRightInd w:val="0"/>
        <w:snapToGrid w:val="0"/>
        <w:spacing w:line="360" w:lineRule="auto"/>
        <w:ind w:left="0" w:right="0" w:rightChars="0" w:firstLine="560" w:firstLineChars="200"/>
        <w:textAlignment w:val="auto"/>
        <w:rPr>
          <w:rFonts w:hint="eastAsia"/>
          <w:color w:val="000000" w:themeColor="text1"/>
          <w:sz w:val="28"/>
          <w:szCs w:val="28"/>
          <w:highlight w:val="none"/>
        </w:rPr>
      </w:pPr>
      <w:r>
        <w:rPr>
          <w:rFonts w:hint="eastAsia"/>
          <w:color w:val="000000" w:themeColor="text1"/>
          <w:sz w:val="28"/>
          <w:szCs w:val="28"/>
          <w:highlight w:val="none"/>
        </w:rPr>
        <w:t>若</w:t>
      </w:r>
      <w:r>
        <w:rPr>
          <w:rFonts w:hint="eastAsia"/>
          <w:color w:val="000000" w:themeColor="text1"/>
          <w:sz w:val="28"/>
          <w:szCs w:val="28"/>
          <w:highlight w:val="none"/>
          <w:lang w:eastAsia="zh-CN"/>
        </w:rPr>
        <w:t>乙酸</w:t>
      </w:r>
      <w:r>
        <w:rPr>
          <w:rFonts w:hint="eastAsia"/>
          <w:color w:val="000000" w:themeColor="text1"/>
          <w:sz w:val="28"/>
          <w:szCs w:val="28"/>
          <w:highlight w:val="none"/>
        </w:rPr>
        <w:t>包装桶存在缺陷，很容易发生泄漏或渗漏，进而可能导致火灾、爆炸等事故。</w:t>
      </w:r>
    </w:p>
    <w:p w14:paraId="3B354E86">
      <w:pPr>
        <w:pStyle w:val="744"/>
        <w:keepNext w:val="0"/>
        <w:keepLines w:val="0"/>
        <w:pageBreakBefore w:val="0"/>
        <w:widowControl w:val="0"/>
        <w:numPr>
          <w:ilvl w:val="0"/>
          <w:numId w:val="33"/>
        </w:numPr>
        <w:kinsoku/>
        <w:wordWrap/>
        <w:overflowPunct/>
        <w:topLinePunct w:val="0"/>
        <w:autoSpaceDE/>
        <w:autoSpaceDN/>
        <w:bidi w:val="0"/>
        <w:adjustRightInd w:val="0"/>
        <w:snapToGrid w:val="0"/>
        <w:spacing w:line="360" w:lineRule="auto"/>
        <w:ind w:left="0" w:right="0" w:rightChars="0" w:firstLine="560" w:firstLineChars="200"/>
        <w:textAlignment w:val="auto"/>
        <w:rPr>
          <w:rFonts w:hint="eastAsia"/>
          <w:color w:val="000000" w:themeColor="text1"/>
          <w:sz w:val="28"/>
          <w:szCs w:val="28"/>
          <w:highlight w:val="none"/>
        </w:rPr>
      </w:pPr>
      <w:bookmarkStart w:id="511" w:name="_Toc60846607"/>
      <w:bookmarkStart w:id="512" w:name="_Toc498075589"/>
      <w:r>
        <w:rPr>
          <w:rFonts w:hint="eastAsia"/>
          <w:color w:val="000000" w:themeColor="text1"/>
          <w:sz w:val="28"/>
          <w:szCs w:val="28"/>
          <w:highlight w:val="none"/>
        </w:rPr>
        <w:t>静电易积聚性</w:t>
      </w:r>
      <w:bookmarkEnd w:id="511"/>
      <w:bookmarkEnd w:id="512"/>
    </w:p>
    <w:p w14:paraId="3E885D2E">
      <w:pPr>
        <w:keepNext w:val="0"/>
        <w:keepLines w:val="0"/>
        <w:pageBreakBefore w:val="0"/>
        <w:widowControl w:val="0"/>
        <w:kinsoku/>
        <w:wordWrap/>
        <w:overflowPunct/>
        <w:topLinePunct w:val="0"/>
        <w:autoSpaceDE/>
        <w:autoSpaceDN/>
        <w:bidi w:val="0"/>
        <w:adjustRightInd w:val="0"/>
        <w:snapToGrid w:val="0"/>
        <w:spacing w:line="360" w:lineRule="auto"/>
        <w:ind w:left="0" w:right="0" w:rightChars="0" w:firstLine="560" w:firstLineChars="200"/>
        <w:textAlignment w:val="auto"/>
        <w:rPr>
          <w:rFonts w:hint="eastAsia" w:ascii="宋体" w:hAnsi="宋体" w:cs="宋体"/>
          <w:bCs/>
          <w:color w:val="000000" w:themeColor="text1"/>
          <w:sz w:val="28"/>
          <w:szCs w:val="28"/>
          <w:highlight w:val="none"/>
        </w:rPr>
      </w:pPr>
      <w:r>
        <w:rPr>
          <w:rFonts w:hint="eastAsia" w:ascii="宋体" w:hAnsi="宋体" w:cs="宋体"/>
          <w:bCs/>
          <w:color w:val="000000" w:themeColor="text1"/>
          <w:sz w:val="28"/>
          <w:szCs w:val="28"/>
          <w:highlight w:val="none"/>
          <w:lang w:eastAsia="zh-CN"/>
        </w:rPr>
        <w:t>乙酸</w:t>
      </w:r>
      <w:r>
        <w:rPr>
          <w:rFonts w:hint="eastAsia" w:ascii="宋体" w:hAnsi="宋体" w:cs="宋体"/>
          <w:bCs/>
          <w:color w:val="000000" w:themeColor="text1"/>
          <w:sz w:val="28"/>
          <w:szCs w:val="28"/>
          <w:highlight w:val="none"/>
        </w:rPr>
        <w:t>容易产生和积聚静电。流速过快，可以产生高电位静电，特别是气体中含有其他微粒物质时，其静电危险性更大，遇闪火而引起爆炸。</w:t>
      </w:r>
    </w:p>
    <w:p w14:paraId="47924A5B">
      <w:pPr>
        <w:widowControl w:val="0"/>
        <w:adjustRightInd w:val="0"/>
        <w:snapToGrid w:val="0"/>
        <w:spacing w:beforeLines="0" w:afterLines="0" w:line="360" w:lineRule="auto"/>
        <w:jc w:val="left"/>
        <w:outlineLvl w:val="2"/>
        <w:rPr>
          <w:rFonts w:hint="eastAsia" w:ascii="黑体" w:hAnsi="黑体" w:eastAsia="黑体" w:cs="黑体"/>
          <w:b/>
          <w:bCs/>
          <w:color w:val="000000" w:themeColor="text1"/>
          <w:kern w:val="0"/>
          <w:sz w:val="28"/>
          <w:szCs w:val="28"/>
          <w:highlight w:val="none"/>
          <w:lang w:val="en-GB"/>
        </w:rPr>
      </w:pPr>
      <w:bookmarkStart w:id="513" w:name="_Toc3399"/>
      <w:bookmarkStart w:id="514" w:name="_Toc17916"/>
      <w:bookmarkStart w:id="515" w:name="_Toc15901"/>
      <w:bookmarkStart w:id="516" w:name="_Toc516861690"/>
      <w:bookmarkStart w:id="517" w:name="_Toc10720"/>
      <w:bookmarkStart w:id="518" w:name="_Toc32272"/>
      <w:bookmarkStart w:id="519" w:name="_Toc13355"/>
      <w:bookmarkStart w:id="520" w:name="_Toc11391"/>
      <w:bookmarkStart w:id="521" w:name="_Toc24514"/>
      <w:bookmarkStart w:id="522" w:name="_Toc11756"/>
      <w:bookmarkStart w:id="523" w:name="_Toc1716"/>
      <w:bookmarkStart w:id="524" w:name="_Toc25963"/>
      <w:bookmarkStart w:id="525" w:name="_Toc10290"/>
      <w:bookmarkStart w:id="526" w:name="_Toc22126"/>
      <w:bookmarkStart w:id="527" w:name="_Toc15011"/>
      <w:bookmarkStart w:id="528" w:name="_Toc19245"/>
      <w:r>
        <w:rPr>
          <w:rFonts w:hint="eastAsia" w:ascii="黑体" w:hAnsi="黑体" w:eastAsia="黑体" w:cs="黑体"/>
          <w:b/>
          <w:bCs/>
          <w:color w:val="000000" w:themeColor="text1"/>
          <w:kern w:val="0"/>
          <w:sz w:val="28"/>
          <w:szCs w:val="28"/>
          <w:highlight w:val="none"/>
          <w:lang w:val="en-GB"/>
        </w:rPr>
        <w:t>3.</w:t>
      </w:r>
      <w:r>
        <w:rPr>
          <w:rFonts w:hint="eastAsia" w:ascii="黑体" w:hAnsi="黑体" w:eastAsia="黑体" w:cs="黑体"/>
          <w:b/>
          <w:bCs/>
          <w:color w:val="000000" w:themeColor="text1"/>
          <w:kern w:val="0"/>
          <w:sz w:val="28"/>
          <w:szCs w:val="28"/>
          <w:highlight w:val="none"/>
          <w:lang w:val="en-US" w:eastAsia="zh-CN"/>
        </w:rPr>
        <w:t xml:space="preserve">2.2 </w:t>
      </w:r>
      <w:r>
        <w:rPr>
          <w:rFonts w:hint="eastAsia" w:ascii="黑体" w:hAnsi="黑体" w:eastAsia="黑体" w:cs="黑体"/>
          <w:b/>
          <w:bCs/>
          <w:color w:val="000000" w:themeColor="text1"/>
          <w:kern w:val="0"/>
          <w:sz w:val="28"/>
          <w:szCs w:val="28"/>
          <w:highlight w:val="none"/>
          <w:lang w:val="en-GB" w:eastAsia="zh-CN"/>
        </w:rPr>
        <w:t>危险化学品</w:t>
      </w:r>
      <w:r>
        <w:rPr>
          <w:rFonts w:hint="eastAsia" w:ascii="黑体" w:hAnsi="黑体" w:eastAsia="黑体" w:cs="黑体"/>
          <w:b/>
          <w:bCs/>
          <w:color w:val="000000" w:themeColor="text1"/>
          <w:kern w:val="0"/>
          <w:sz w:val="28"/>
          <w:szCs w:val="28"/>
          <w:highlight w:val="none"/>
          <w:lang w:val="en-GB"/>
        </w:rPr>
        <w:t>装卸过程危险、有害因素分析</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p>
    <w:p w14:paraId="037916B2">
      <w:pPr>
        <w:widowControl w:val="0"/>
        <w:numPr>
          <w:ilvl w:val="0"/>
          <w:numId w:val="34"/>
        </w:numPr>
        <w:adjustRightInd w:val="0"/>
        <w:snapToGrid w:val="0"/>
        <w:spacing w:line="360" w:lineRule="auto"/>
        <w:ind w:left="0" w:firstLine="560" w:firstLineChars="200"/>
        <w:rPr>
          <w:rFonts w:ascii="宋体" w:hAnsi="宋体"/>
          <w:color w:val="000000" w:themeColor="text1"/>
          <w:kern w:val="0"/>
          <w:sz w:val="28"/>
          <w:szCs w:val="28"/>
          <w:highlight w:val="none"/>
        </w:rPr>
      </w:pPr>
      <w:r>
        <w:rPr>
          <w:rFonts w:hint="eastAsia" w:ascii="宋体" w:hAnsi="宋体"/>
          <w:color w:val="000000" w:themeColor="text1"/>
          <w:kern w:val="0"/>
          <w:sz w:val="28"/>
          <w:szCs w:val="28"/>
          <w:highlight w:val="none"/>
        </w:rPr>
        <w:t>若</w:t>
      </w:r>
      <w:r>
        <w:rPr>
          <w:rFonts w:hint="eastAsia"/>
          <w:color w:val="000000" w:themeColor="text1"/>
          <w:kern w:val="0"/>
          <w:sz w:val="28"/>
          <w:szCs w:val="28"/>
          <w:highlight w:val="none"/>
          <w:lang w:eastAsia="zh-CN"/>
        </w:rPr>
        <w:t>供应商</w:t>
      </w:r>
      <w:r>
        <w:rPr>
          <w:rFonts w:hint="eastAsia" w:ascii="宋体" w:hAnsi="宋体"/>
          <w:color w:val="000000" w:themeColor="text1"/>
          <w:kern w:val="0"/>
          <w:sz w:val="28"/>
          <w:szCs w:val="28"/>
          <w:highlight w:val="none"/>
        </w:rPr>
        <w:t>危险化学品</w:t>
      </w:r>
      <w:r>
        <w:rPr>
          <w:rFonts w:hint="eastAsia" w:ascii="宋体" w:hAnsi="宋体"/>
          <w:color w:val="000000" w:themeColor="text1"/>
          <w:kern w:val="0"/>
          <w:sz w:val="28"/>
          <w:szCs w:val="28"/>
          <w:highlight w:val="none"/>
          <w:lang w:eastAsia="zh-CN"/>
        </w:rPr>
        <w:t>运输车辆</w:t>
      </w:r>
      <w:r>
        <w:rPr>
          <w:rFonts w:hint="eastAsia" w:ascii="宋体" w:hAnsi="宋体"/>
          <w:color w:val="000000" w:themeColor="text1"/>
          <w:kern w:val="0"/>
          <w:sz w:val="28"/>
          <w:szCs w:val="28"/>
          <w:highlight w:val="none"/>
        </w:rPr>
        <w:t>没有运输资质</w:t>
      </w:r>
      <w:r>
        <w:rPr>
          <w:rFonts w:hint="eastAsia"/>
          <w:color w:val="000000" w:themeColor="text1"/>
          <w:kern w:val="0"/>
          <w:sz w:val="28"/>
          <w:szCs w:val="28"/>
          <w:highlight w:val="none"/>
          <w:lang w:eastAsia="zh-CN"/>
        </w:rPr>
        <w:t>，</w:t>
      </w:r>
      <w:r>
        <w:rPr>
          <w:rFonts w:hint="eastAsia" w:ascii="宋体" w:hAnsi="宋体"/>
          <w:color w:val="000000" w:themeColor="text1"/>
          <w:kern w:val="0"/>
          <w:sz w:val="28"/>
          <w:szCs w:val="28"/>
          <w:highlight w:val="none"/>
        </w:rPr>
        <w:t>易产生运输安全事故。</w:t>
      </w:r>
    </w:p>
    <w:p w14:paraId="676931DC">
      <w:pPr>
        <w:widowControl w:val="0"/>
        <w:numPr>
          <w:ilvl w:val="0"/>
          <w:numId w:val="34"/>
        </w:numPr>
        <w:adjustRightInd w:val="0"/>
        <w:snapToGrid w:val="0"/>
        <w:spacing w:line="360" w:lineRule="auto"/>
        <w:ind w:left="0" w:firstLine="560" w:firstLineChars="200"/>
        <w:rPr>
          <w:rFonts w:ascii="宋体" w:hAnsi="宋体"/>
          <w:color w:val="000000" w:themeColor="text1"/>
          <w:kern w:val="0"/>
          <w:sz w:val="28"/>
          <w:szCs w:val="28"/>
          <w:highlight w:val="none"/>
        </w:rPr>
      </w:pPr>
      <w:r>
        <w:rPr>
          <w:rFonts w:hint="eastAsia" w:ascii="宋体" w:hAnsi="宋体"/>
          <w:color w:val="000000" w:themeColor="text1"/>
          <w:kern w:val="0"/>
          <w:sz w:val="28"/>
          <w:szCs w:val="28"/>
          <w:highlight w:val="none"/>
        </w:rPr>
        <w:t>危险化学品运输车辆超载、超速在</w:t>
      </w:r>
      <w:r>
        <w:rPr>
          <w:rFonts w:hint="eastAsia" w:cs="宋体"/>
          <w:color w:val="000000" w:themeColor="text1"/>
          <w:sz w:val="28"/>
          <w:szCs w:val="28"/>
          <w:highlight w:val="none"/>
          <w:lang w:eastAsia="zh-CN"/>
        </w:rPr>
        <w:t>华美线业</w:t>
      </w:r>
      <w:r>
        <w:rPr>
          <w:rFonts w:hint="eastAsia" w:ascii="宋体" w:hAnsi="宋体"/>
          <w:color w:val="000000" w:themeColor="text1"/>
          <w:kern w:val="0"/>
          <w:sz w:val="28"/>
          <w:szCs w:val="28"/>
          <w:highlight w:val="none"/>
        </w:rPr>
        <w:t>厂区内行驶，可能导致车辆伤害事故发生。</w:t>
      </w:r>
    </w:p>
    <w:p w14:paraId="7D164546">
      <w:pPr>
        <w:widowControl w:val="0"/>
        <w:numPr>
          <w:ilvl w:val="0"/>
          <w:numId w:val="34"/>
        </w:numPr>
        <w:adjustRightInd w:val="0"/>
        <w:snapToGrid w:val="0"/>
        <w:spacing w:line="360" w:lineRule="auto"/>
        <w:ind w:left="0" w:firstLine="560" w:firstLineChars="200"/>
        <w:rPr>
          <w:rFonts w:ascii="宋体" w:hAnsi="宋体"/>
          <w:color w:val="000000" w:themeColor="text1"/>
          <w:kern w:val="0"/>
          <w:sz w:val="28"/>
          <w:szCs w:val="28"/>
          <w:highlight w:val="none"/>
        </w:rPr>
      </w:pPr>
      <w:r>
        <w:rPr>
          <w:rFonts w:hint="eastAsia" w:ascii="宋体" w:hAnsi="宋体"/>
          <w:color w:val="000000" w:themeColor="text1"/>
          <w:kern w:val="0"/>
          <w:sz w:val="28"/>
          <w:szCs w:val="28"/>
          <w:highlight w:val="none"/>
        </w:rPr>
        <w:t>若未制定装卸作业安全操作规程或未对作业人员进行相关知识培训，作业人员不熟悉装卸作业程序及注意事项，可能因误操作而导致装卸事故的发生。</w:t>
      </w:r>
    </w:p>
    <w:p w14:paraId="78319A26">
      <w:pPr>
        <w:widowControl w:val="0"/>
        <w:numPr>
          <w:ilvl w:val="0"/>
          <w:numId w:val="34"/>
        </w:numPr>
        <w:adjustRightInd w:val="0"/>
        <w:snapToGrid w:val="0"/>
        <w:spacing w:line="360" w:lineRule="auto"/>
        <w:ind w:left="0" w:firstLine="560" w:firstLineChars="200"/>
        <w:rPr>
          <w:rFonts w:ascii="宋体" w:hAnsi="宋体"/>
          <w:color w:val="000000" w:themeColor="text1"/>
          <w:kern w:val="0"/>
          <w:sz w:val="28"/>
          <w:szCs w:val="28"/>
          <w:highlight w:val="none"/>
        </w:rPr>
      </w:pPr>
      <w:r>
        <w:rPr>
          <w:rFonts w:hint="eastAsia" w:ascii="宋体" w:hAnsi="宋体"/>
          <w:color w:val="000000" w:themeColor="text1"/>
          <w:kern w:val="0"/>
          <w:sz w:val="28"/>
          <w:szCs w:val="28"/>
          <w:highlight w:val="none"/>
        </w:rPr>
        <w:t>装卸时需设置防车辆移动措施，如车辆轮胎设置三角木、设置装卸车辆钥匙柜等等，</w:t>
      </w:r>
      <w:r>
        <w:rPr>
          <w:rFonts w:hint="eastAsia"/>
          <w:color w:val="000000" w:themeColor="text1"/>
          <w:kern w:val="0"/>
          <w:sz w:val="28"/>
          <w:szCs w:val="28"/>
          <w:highlight w:val="none"/>
          <w:lang w:eastAsia="zh-CN"/>
        </w:rPr>
        <w:t>如果危险化学品</w:t>
      </w:r>
      <w:r>
        <w:rPr>
          <w:rFonts w:hint="eastAsia" w:ascii="宋体" w:hAnsi="宋体"/>
          <w:color w:val="000000" w:themeColor="text1"/>
          <w:kern w:val="0"/>
          <w:sz w:val="28"/>
          <w:szCs w:val="28"/>
          <w:highlight w:val="none"/>
        </w:rPr>
        <w:t>在装卸过程中的</w:t>
      </w:r>
      <w:r>
        <w:rPr>
          <w:rFonts w:hint="eastAsia"/>
          <w:color w:val="000000" w:themeColor="text1"/>
          <w:kern w:val="0"/>
          <w:sz w:val="28"/>
          <w:szCs w:val="28"/>
          <w:highlight w:val="none"/>
          <w:lang w:eastAsia="zh-CN"/>
        </w:rPr>
        <w:t>危险化学品</w:t>
      </w:r>
      <w:r>
        <w:rPr>
          <w:rFonts w:hint="eastAsia" w:ascii="宋体" w:hAnsi="宋体"/>
          <w:color w:val="000000" w:themeColor="text1"/>
          <w:kern w:val="0"/>
          <w:sz w:val="28"/>
          <w:szCs w:val="28"/>
          <w:highlight w:val="none"/>
        </w:rPr>
        <w:t>车辆移动，</w:t>
      </w:r>
      <w:r>
        <w:rPr>
          <w:rFonts w:hint="eastAsia"/>
          <w:color w:val="000000" w:themeColor="text1"/>
          <w:kern w:val="0"/>
          <w:sz w:val="28"/>
          <w:szCs w:val="28"/>
          <w:highlight w:val="none"/>
          <w:lang w:eastAsia="zh-CN"/>
        </w:rPr>
        <w:t>可能</w:t>
      </w:r>
      <w:r>
        <w:rPr>
          <w:rFonts w:hint="eastAsia" w:ascii="宋体" w:hAnsi="宋体"/>
          <w:color w:val="000000" w:themeColor="text1"/>
          <w:kern w:val="0"/>
          <w:sz w:val="28"/>
          <w:szCs w:val="28"/>
          <w:highlight w:val="none"/>
        </w:rPr>
        <w:t>导致危险化学品</w:t>
      </w:r>
      <w:r>
        <w:rPr>
          <w:rFonts w:hint="eastAsia"/>
          <w:color w:val="000000" w:themeColor="text1"/>
          <w:kern w:val="0"/>
          <w:sz w:val="28"/>
          <w:szCs w:val="28"/>
          <w:highlight w:val="none"/>
          <w:lang w:eastAsia="zh-CN"/>
        </w:rPr>
        <w:t>事故</w:t>
      </w:r>
      <w:r>
        <w:rPr>
          <w:rFonts w:hint="eastAsia" w:ascii="宋体" w:hAnsi="宋体"/>
          <w:color w:val="000000" w:themeColor="text1"/>
          <w:kern w:val="0"/>
          <w:sz w:val="28"/>
          <w:szCs w:val="28"/>
          <w:highlight w:val="none"/>
        </w:rPr>
        <w:t>。</w:t>
      </w:r>
    </w:p>
    <w:p w14:paraId="093E0270">
      <w:pPr>
        <w:widowControl w:val="0"/>
        <w:numPr>
          <w:ilvl w:val="0"/>
          <w:numId w:val="34"/>
        </w:numPr>
        <w:adjustRightInd w:val="0"/>
        <w:snapToGrid w:val="0"/>
        <w:spacing w:line="360" w:lineRule="auto"/>
        <w:ind w:left="0" w:firstLine="560" w:firstLineChars="200"/>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汽车装卸过程中，没有专人进行监护，造成物料满溢。</w:t>
      </w:r>
    </w:p>
    <w:p w14:paraId="6986957E">
      <w:pPr>
        <w:widowControl w:val="0"/>
        <w:numPr>
          <w:ilvl w:val="0"/>
          <w:numId w:val="34"/>
        </w:numPr>
        <w:adjustRightInd w:val="0"/>
        <w:snapToGrid w:val="0"/>
        <w:spacing w:line="360" w:lineRule="auto"/>
        <w:ind w:left="0" w:firstLine="560" w:firstLineChars="200"/>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操作人员未按操作规程操作，造成物料的渗漏、外溢、溅洒。</w:t>
      </w:r>
    </w:p>
    <w:p w14:paraId="413FCB8F">
      <w:pPr>
        <w:widowControl w:val="0"/>
        <w:numPr>
          <w:ilvl w:val="0"/>
          <w:numId w:val="34"/>
        </w:numPr>
        <w:adjustRightInd w:val="0"/>
        <w:snapToGrid w:val="0"/>
        <w:spacing w:line="360" w:lineRule="auto"/>
        <w:ind w:left="0" w:firstLine="560" w:firstLineChars="200"/>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槽车在装卸料时，如未停稳或停车后未实施车轮固定，车辆滑动，导致装卸接管脱落，造成物料泄漏事故。</w:t>
      </w:r>
    </w:p>
    <w:bookmarkEnd w:id="507"/>
    <w:bookmarkEnd w:id="508"/>
    <w:bookmarkEnd w:id="509"/>
    <w:bookmarkEnd w:id="510"/>
    <w:p w14:paraId="48CD8BDB">
      <w:pPr>
        <w:keepNext w:val="0"/>
        <w:keepLines w:val="0"/>
        <w:pageBreakBefore w:val="0"/>
        <w:widowControl w:val="0"/>
        <w:kinsoku/>
        <w:wordWrap/>
        <w:overflowPunct/>
        <w:topLinePunct w:val="0"/>
        <w:autoSpaceDE/>
        <w:autoSpaceDN/>
        <w:bidi w:val="0"/>
        <w:adjustRightInd w:val="0"/>
        <w:snapToGrid w:val="0"/>
        <w:spacing w:beforeLines="0" w:afterLines="0" w:line="360" w:lineRule="auto"/>
        <w:jc w:val="left"/>
        <w:textAlignment w:val="auto"/>
        <w:outlineLvl w:val="2"/>
        <w:rPr>
          <w:rFonts w:hint="eastAsia" w:ascii="黑体" w:hAnsi="黑体" w:eastAsia="黑体" w:cs="黑体"/>
          <w:b/>
          <w:bCs/>
          <w:color w:val="000000" w:themeColor="text1"/>
          <w:kern w:val="0"/>
          <w:sz w:val="28"/>
          <w:szCs w:val="28"/>
          <w:highlight w:val="none"/>
          <w:lang w:val="en-GB"/>
        </w:rPr>
      </w:pPr>
      <w:bookmarkStart w:id="529" w:name="_Toc8760"/>
      <w:bookmarkStart w:id="530" w:name="_Toc14143"/>
      <w:bookmarkStart w:id="531" w:name="_Toc3819"/>
      <w:bookmarkStart w:id="532" w:name="_Toc332807628"/>
      <w:bookmarkStart w:id="533" w:name="_Toc18267"/>
      <w:bookmarkStart w:id="534" w:name="_Toc14609"/>
      <w:bookmarkStart w:id="535" w:name="_Toc25935"/>
      <w:bookmarkStart w:id="536" w:name="_Toc449456807"/>
      <w:bookmarkStart w:id="537" w:name="_Toc449456898"/>
      <w:bookmarkStart w:id="538" w:name="_Toc190762569"/>
      <w:bookmarkStart w:id="539" w:name="_Toc198457566"/>
      <w:bookmarkStart w:id="540" w:name="_Toc198521494"/>
      <w:bookmarkStart w:id="541" w:name="_Toc234394499"/>
      <w:r>
        <w:rPr>
          <w:rFonts w:hint="eastAsia" w:ascii="黑体" w:hAnsi="黑体" w:eastAsia="黑体" w:cs="黑体"/>
          <w:b/>
          <w:bCs/>
          <w:color w:val="000000" w:themeColor="text1"/>
          <w:kern w:val="0"/>
          <w:sz w:val="28"/>
          <w:szCs w:val="28"/>
          <w:highlight w:val="none"/>
          <w:lang w:val="en-GB"/>
        </w:rPr>
        <w:t>3.</w:t>
      </w:r>
      <w:bookmarkStart w:id="542" w:name="_Toc313697263"/>
      <w:r>
        <w:rPr>
          <w:rFonts w:hint="eastAsia" w:ascii="黑体" w:hAnsi="黑体" w:eastAsia="黑体" w:cs="黑体"/>
          <w:b/>
          <w:bCs/>
          <w:color w:val="000000" w:themeColor="text1"/>
          <w:kern w:val="0"/>
          <w:sz w:val="28"/>
          <w:szCs w:val="28"/>
          <w:highlight w:val="none"/>
          <w:lang w:val="en-US" w:eastAsia="zh-CN"/>
        </w:rPr>
        <w:t>2.3</w:t>
      </w:r>
      <w:r>
        <w:rPr>
          <w:rFonts w:hint="eastAsia" w:ascii="黑体" w:hAnsi="黑体" w:eastAsia="黑体" w:cs="黑体"/>
          <w:b/>
          <w:bCs/>
          <w:color w:val="000000" w:themeColor="text1"/>
          <w:kern w:val="0"/>
          <w:sz w:val="28"/>
          <w:szCs w:val="28"/>
          <w:highlight w:val="none"/>
          <w:lang w:val="en-GB" w:eastAsia="zh-CN"/>
        </w:rPr>
        <w:t>危险化学品储存</w:t>
      </w:r>
      <w:r>
        <w:rPr>
          <w:rFonts w:hint="eastAsia" w:ascii="黑体" w:hAnsi="黑体" w:eastAsia="黑体" w:cs="黑体"/>
          <w:b/>
          <w:bCs/>
          <w:color w:val="000000" w:themeColor="text1"/>
          <w:kern w:val="0"/>
          <w:sz w:val="28"/>
          <w:szCs w:val="28"/>
          <w:highlight w:val="none"/>
          <w:lang w:val="en-GB"/>
        </w:rPr>
        <w:t>过程的主要危险、有害因素辨识</w:t>
      </w:r>
      <w:bookmarkEnd w:id="529"/>
      <w:bookmarkEnd w:id="530"/>
      <w:bookmarkEnd w:id="531"/>
      <w:bookmarkEnd w:id="532"/>
      <w:bookmarkEnd w:id="533"/>
      <w:bookmarkEnd w:id="534"/>
      <w:bookmarkEnd w:id="535"/>
      <w:bookmarkEnd w:id="542"/>
    </w:p>
    <w:p w14:paraId="7F15FEE0">
      <w:pPr>
        <w:keepNext w:val="0"/>
        <w:keepLines w:val="0"/>
        <w:pageBreakBefore w:val="0"/>
        <w:widowControl w:val="0"/>
        <w:numPr>
          <w:ilvl w:val="0"/>
          <w:numId w:val="35"/>
        </w:numPr>
        <w:kinsoku/>
        <w:wordWrap/>
        <w:overflowPunct/>
        <w:topLinePunct w:val="0"/>
        <w:autoSpaceDE/>
        <w:autoSpaceDN/>
        <w:bidi w:val="0"/>
        <w:adjustRightInd w:val="0"/>
        <w:snapToGrid w:val="0"/>
        <w:spacing w:line="360" w:lineRule="auto"/>
        <w:ind w:left="0" w:firstLine="560" w:firstLineChars="200"/>
        <w:textAlignment w:val="auto"/>
        <w:rPr>
          <w:rFonts w:ascii="宋体" w:hAnsi="宋体" w:cs="Times New Roman"/>
          <w:bCs/>
          <w:color w:val="000000" w:themeColor="text1"/>
          <w:sz w:val="28"/>
          <w:szCs w:val="28"/>
          <w:highlight w:val="none"/>
        </w:rPr>
      </w:pPr>
      <w:r>
        <w:rPr>
          <w:rFonts w:hint="eastAsia" w:cs="Times New Roman"/>
          <w:bCs/>
          <w:color w:val="000000" w:themeColor="text1"/>
          <w:sz w:val="28"/>
          <w:szCs w:val="28"/>
          <w:highlight w:val="none"/>
          <w:lang w:eastAsia="zh-CN"/>
        </w:rPr>
        <w:t>乙酸分装地点位于漂染车间内，分装过程操作缺乏安全措施，如未远离其他可能产生火源的作业区域或用耐火结构隔开、无防静电措施、乙酸泄漏会在地沟中积聚、使用铁质工作，存在火灾风险，</w:t>
      </w:r>
      <w:r>
        <w:rPr>
          <w:rFonts w:hint="eastAsia" w:cs="Times New Roman"/>
          <w:bCs/>
          <w:color w:val="000000" w:themeColor="text1"/>
          <w:sz w:val="28"/>
          <w:szCs w:val="28"/>
          <w:highlight w:val="none"/>
        </w:rPr>
        <w:t>建议取消漂染车间内乙酸分装作业</w:t>
      </w:r>
      <w:r>
        <w:rPr>
          <w:rFonts w:hint="eastAsia" w:cs="Times New Roman"/>
          <w:bCs/>
          <w:color w:val="000000" w:themeColor="text1"/>
          <w:sz w:val="28"/>
          <w:szCs w:val="28"/>
          <w:highlight w:val="none"/>
          <w:lang w:eastAsia="zh-CN"/>
        </w:rPr>
        <w:t>。</w:t>
      </w:r>
    </w:p>
    <w:p w14:paraId="28768606">
      <w:pPr>
        <w:keepNext w:val="0"/>
        <w:keepLines w:val="0"/>
        <w:pageBreakBefore w:val="0"/>
        <w:widowControl w:val="0"/>
        <w:numPr>
          <w:ilvl w:val="0"/>
          <w:numId w:val="35"/>
        </w:numPr>
        <w:kinsoku/>
        <w:wordWrap/>
        <w:overflowPunct/>
        <w:topLinePunct w:val="0"/>
        <w:autoSpaceDE/>
        <w:autoSpaceDN/>
        <w:bidi w:val="0"/>
        <w:adjustRightInd w:val="0"/>
        <w:snapToGrid w:val="0"/>
        <w:spacing w:line="360" w:lineRule="auto"/>
        <w:ind w:left="0" w:firstLine="560" w:firstLineChars="200"/>
        <w:textAlignment w:val="auto"/>
        <w:rPr>
          <w:rFonts w:ascii="宋体" w:hAnsi="宋体" w:cs="Times New Roman"/>
          <w:bCs/>
          <w:color w:val="000000" w:themeColor="text1"/>
          <w:sz w:val="28"/>
          <w:szCs w:val="28"/>
          <w:highlight w:val="none"/>
        </w:rPr>
      </w:pPr>
      <w:r>
        <w:rPr>
          <w:rFonts w:hint="eastAsia"/>
          <w:color w:val="000000" w:themeColor="text1"/>
          <w:sz w:val="28"/>
          <w:szCs w:val="28"/>
          <w:highlight w:val="none"/>
        </w:rPr>
        <w:t>如仓储养护管理不善，</w:t>
      </w:r>
      <w:r>
        <w:rPr>
          <w:rFonts w:ascii="宋体" w:hAnsi="宋体" w:cs="Times New Roman"/>
          <w:bCs/>
          <w:color w:val="000000" w:themeColor="text1"/>
          <w:sz w:val="28"/>
          <w:szCs w:val="28"/>
          <w:highlight w:val="none"/>
        </w:rPr>
        <w:t>危险化学品</w:t>
      </w:r>
      <w:r>
        <w:rPr>
          <w:rFonts w:hint="eastAsia" w:ascii="宋体" w:hAnsi="宋体" w:cs="Times New Roman"/>
          <w:bCs/>
          <w:color w:val="000000" w:themeColor="text1"/>
          <w:sz w:val="28"/>
          <w:szCs w:val="28"/>
          <w:highlight w:val="none"/>
          <w:lang w:eastAsia="zh-CN"/>
        </w:rPr>
        <w:t>备货库房、液碱储罐、</w:t>
      </w:r>
      <w:r>
        <w:rPr>
          <w:rFonts w:hint="eastAsia" w:cs="Times New Roman"/>
          <w:bCs/>
          <w:color w:val="000000" w:themeColor="text1"/>
          <w:sz w:val="28"/>
          <w:szCs w:val="28"/>
          <w:highlight w:val="none"/>
        </w:rPr>
        <w:t>废水处理站</w:t>
      </w:r>
      <w:r>
        <w:rPr>
          <w:rFonts w:hint="eastAsia" w:ascii="宋体" w:hAnsi="宋体" w:cs="Times New Roman"/>
          <w:bCs/>
          <w:color w:val="000000" w:themeColor="text1"/>
          <w:sz w:val="28"/>
          <w:szCs w:val="28"/>
          <w:highlight w:val="none"/>
          <w:lang w:eastAsia="zh-CN"/>
        </w:rPr>
        <w:t>药剂房</w:t>
      </w:r>
      <w:r>
        <w:rPr>
          <w:rFonts w:ascii="宋体" w:hAnsi="宋体" w:cs="Times New Roman"/>
          <w:bCs/>
          <w:color w:val="000000" w:themeColor="text1"/>
          <w:sz w:val="28"/>
          <w:szCs w:val="28"/>
          <w:highlight w:val="none"/>
        </w:rPr>
        <w:t>建筑条件</w:t>
      </w:r>
      <w:r>
        <w:rPr>
          <w:rFonts w:hint="eastAsia" w:ascii="宋体" w:hAnsi="宋体" w:cs="Times New Roman"/>
          <w:bCs/>
          <w:color w:val="000000" w:themeColor="text1"/>
          <w:sz w:val="28"/>
          <w:szCs w:val="28"/>
          <w:highlight w:val="none"/>
          <w:lang w:eastAsia="zh-CN"/>
        </w:rPr>
        <w:t>降低</w:t>
      </w:r>
      <w:r>
        <w:rPr>
          <w:rFonts w:ascii="宋体" w:hAnsi="宋体" w:cs="Times New Roman"/>
          <w:bCs/>
          <w:color w:val="000000" w:themeColor="text1"/>
          <w:sz w:val="28"/>
          <w:szCs w:val="28"/>
          <w:highlight w:val="none"/>
        </w:rPr>
        <w:t>，建筑设施不适应所储存物品的要求也往往导致火灾事故的发生。如通风不良、阳光直射，又不采取隔热、降温措施，使</w:t>
      </w:r>
      <w:r>
        <w:rPr>
          <w:rFonts w:hint="eastAsia" w:cs="Times New Roman"/>
          <w:bCs/>
          <w:color w:val="000000" w:themeColor="text1"/>
          <w:sz w:val="28"/>
          <w:szCs w:val="28"/>
          <w:highlight w:val="none"/>
          <w:lang w:eastAsia="zh-CN"/>
        </w:rPr>
        <w:t>乙酸、过碳酸钠、保险粉</w:t>
      </w:r>
      <w:r>
        <w:rPr>
          <w:rFonts w:ascii="宋体" w:hAnsi="宋体" w:cs="Times New Roman"/>
          <w:bCs/>
          <w:color w:val="000000" w:themeColor="text1"/>
          <w:sz w:val="28"/>
          <w:szCs w:val="28"/>
          <w:highlight w:val="none"/>
        </w:rPr>
        <w:t>受热造成库房内温度过高</w:t>
      </w:r>
      <w:r>
        <w:rPr>
          <w:rFonts w:hint="eastAsia" w:cs="Times New Roman"/>
          <w:bCs/>
          <w:color w:val="000000" w:themeColor="text1"/>
          <w:sz w:val="28"/>
          <w:szCs w:val="28"/>
          <w:highlight w:val="none"/>
          <w:lang w:eastAsia="zh-CN"/>
        </w:rPr>
        <w:t>，储存保险粉的</w:t>
      </w:r>
      <w:r>
        <w:rPr>
          <w:rFonts w:hint="eastAsia" w:cs="Times New Roman"/>
          <w:bCs/>
          <w:color w:val="000000" w:themeColor="text1"/>
          <w:sz w:val="28"/>
          <w:szCs w:val="28"/>
          <w:highlight w:val="none"/>
          <w:lang w:val="en-US" w:eastAsia="zh-CN"/>
        </w:rPr>
        <w:t>2#隔间湿度过大或进水</w:t>
      </w:r>
      <w:r>
        <w:rPr>
          <w:rFonts w:ascii="宋体" w:hAnsi="宋体" w:cs="Times New Roman"/>
          <w:bCs/>
          <w:color w:val="000000" w:themeColor="text1"/>
          <w:sz w:val="28"/>
          <w:szCs w:val="28"/>
          <w:highlight w:val="none"/>
        </w:rPr>
        <w:t>等。</w:t>
      </w:r>
    </w:p>
    <w:p w14:paraId="2695C0C0">
      <w:pPr>
        <w:keepNext w:val="0"/>
        <w:keepLines w:val="0"/>
        <w:pageBreakBefore w:val="0"/>
        <w:widowControl w:val="0"/>
        <w:numPr>
          <w:ilvl w:val="0"/>
          <w:numId w:val="35"/>
        </w:numPr>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cs="Times New Roman"/>
          <w:bCs/>
          <w:color w:val="000000" w:themeColor="text1"/>
          <w:sz w:val="28"/>
          <w:szCs w:val="28"/>
          <w:highlight w:val="none"/>
        </w:rPr>
      </w:pPr>
      <w:r>
        <w:rPr>
          <w:rFonts w:hint="eastAsia" w:ascii="宋体" w:hAnsi="宋体" w:cs="Times New Roman"/>
          <w:bCs/>
          <w:color w:val="000000" w:themeColor="text1"/>
          <w:sz w:val="28"/>
          <w:szCs w:val="28"/>
          <w:highlight w:val="none"/>
          <w:lang w:eastAsia="zh-CN"/>
        </w:rPr>
        <w:t>如果液碱</w:t>
      </w:r>
      <w:r>
        <w:rPr>
          <w:rFonts w:hint="eastAsia" w:ascii="宋体" w:hAnsi="宋体" w:cs="Times New Roman"/>
          <w:bCs/>
          <w:color w:val="000000" w:themeColor="text1"/>
          <w:sz w:val="28"/>
          <w:szCs w:val="28"/>
          <w:highlight w:val="none"/>
        </w:rPr>
        <w:t>储罐强度</w:t>
      </w:r>
      <w:r>
        <w:rPr>
          <w:rFonts w:hint="eastAsia" w:ascii="宋体" w:hAnsi="宋体" w:cs="Times New Roman"/>
          <w:bCs/>
          <w:color w:val="000000" w:themeColor="text1"/>
          <w:sz w:val="28"/>
          <w:szCs w:val="28"/>
          <w:highlight w:val="none"/>
          <w:lang w:eastAsia="zh-CN"/>
        </w:rPr>
        <w:t>降低、</w:t>
      </w:r>
      <w:r>
        <w:rPr>
          <w:rFonts w:hint="eastAsia" w:ascii="宋体" w:hAnsi="宋体" w:cs="Times New Roman"/>
          <w:bCs/>
          <w:color w:val="000000" w:themeColor="text1"/>
          <w:sz w:val="28"/>
          <w:szCs w:val="28"/>
          <w:highlight w:val="none"/>
        </w:rPr>
        <w:t>地基沉降造成连接口泄漏，可能引起液碱泄漏而发生灼烫事故。</w:t>
      </w:r>
    </w:p>
    <w:p w14:paraId="7AE7B5FC">
      <w:pPr>
        <w:keepNext w:val="0"/>
        <w:keepLines w:val="0"/>
        <w:pageBreakBefore w:val="0"/>
        <w:widowControl w:val="0"/>
        <w:numPr>
          <w:ilvl w:val="0"/>
          <w:numId w:val="35"/>
        </w:numPr>
        <w:kinsoku/>
        <w:wordWrap/>
        <w:overflowPunct/>
        <w:topLinePunct w:val="0"/>
        <w:autoSpaceDE/>
        <w:autoSpaceDN/>
        <w:bidi w:val="0"/>
        <w:adjustRightInd w:val="0"/>
        <w:snapToGrid w:val="0"/>
        <w:spacing w:line="360" w:lineRule="auto"/>
        <w:ind w:left="0" w:firstLine="560" w:firstLineChars="200"/>
        <w:textAlignment w:val="auto"/>
        <w:rPr>
          <w:rFonts w:ascii="宋体" w:hAnsi="宋体" w:cs="Times New Roman"/>
          <w:bCs/>
          <w:color w:val="000000" w:themeColor="text1"/>
          <w:sz w:val="28"/>
          <w:szCs w:val="28"/>
          <w:highlight w:val="none"/>
        </w:rPr>
      </w:pPr>
      <w:r>
        <w:rPr>
          <w:rFonts w:hint="eastAsia" w:cs="Times New Roman"/>
          <w:bCs/>
          <w:color w:val="000000" w:themeColor="text1"/>
          <w:sz w:val="28"/>
          <w:szCs w:val="28"/>
          <w:highlight w:val="none"/>
          <w:lang w:eastAsia="zh-CN"/>
        </w:rPr>
        <w:t>乙酸、过碳酸钠、保险粉、氢氧化钠溶液和次氯酸钠溶液</w:t>
      </w:r>
      <w:r>
        <w:rPr>
          <w:rFonts w:ascii="宋体" w:hAnsi="宋体" w:cs="Times New Roman"/>
          <w:bCs/>
          <w:color w:val="000000" w:themeColor="text1"/>
          <w:sz w:val="28"/>
          <w:szCs w:val="28"/>
          <w:highlight w:val="none"/>
        </w:rPr>
        <w:t>包装容器的损坏，或者包装不符合安全要求都可能发生物料泄漏，从而引起事故。</w:t>
      </w:r>
    </w:p>
    <w:p w14:paraId="43DEF038">
      <w:pPr>
        <w:widowControl w:val="0"/>
        <w:numPr>
          <w:ilvl w:val="0"/>
          <w:numId w:val="35"/>
        </w:numPr>
        <w:adjustRightInd w:val="0"/>
        <w:snapToGrid w:val="0"/>
        <w:spacing w:line="360" w:lineRule="auto"/>
        <w:ind w:left="0" w:firstLine="560" w:firstLineChars="200"/>
        <w:rPr>
          <w:rFonts w:ascii="宋体" w:hAnsi="宋体" w:cs="Times New Roman"/>
          <w:bCs/>
          <w:color w:val="000000" w:themeColor="text1"/>
          <w:sz w:val="28"/>
          <w:szCs w:val="28"/>
          <w:highlight w:val="none"/>
        </w:rPr>
      </w:pPr>
      <w:r>
        <w:rPr>
          <w:rFonts w:hint="eastAsia" w:ascii="宋体" w:hAnsi="宋体" w:cs="Times New Roman"/>
          <w:bCs/>
          <w:color w:val="000000" w:themeColor="text1"/>
          <w:sz w:val="28"/>
          <w:szCs w:val="28"/>
          <w:highlight w:val="none"/>
        </w:rPr>
        <w:t>若</w:t>
      </w:r>
      <w:r>
        <w:rPr>
          <w:rFonts w:hint="eastAsia" w:cs="Times New Roman"/>
          <w:bCs/>
          <w:color w:val="000000" w:themeColor="text1"/>
          <w:sz w:val="28"/>
          <w:szCs w:val="28"/>
          <w:highlight w:val="none"/>
          <w:lang w:eastAsia="zh-CN"/>
        </w:rPr>
        <w:t>乙酸、过碳酸钠、保险粉、氢氧化钠溶液和次氯酸钠溶液</w:t>
      </w:r>
      <w:r>
        <w:rPr>
          <w:rFonts w:hint="eastAsia" w:ascii="宋体" w:hAnsi="宋体" w:cs="Times New Roman"/>
          <w:bCs/>
          <w:color w:val="000000" w:themeColor="text1"/>
          <w:sz w:val="28"/>
          <w:szCs w:val="28"/>
          <w:highlight w:val="none"/>
        </w:rPr>
        <w:t>超量存放，堆放混乱，堆垛不稳等等，则存在安全隐患。</w:t>
      </w:r>
    </w:p>
    <w:p w14:paraId="58CC8402">
      <w:pPr>
        <w:widowControl w:val="0"/>
        <w:numPr>
          <w:ilvl w:val="0"/>
          <w:numId w:val="35"/>
        </w:numPr>
        <w:adjustRightInd w:val="0"/>
        <w:snapToGrid w:val="0"/>
        <w:spacing w:line="360" w:lineRule="auto"/>
        <w:ind w:left="0" w:firstLine="560" w:firstLineChars="200"/>
        <w:rPr>
          <w:rFonts w:ascii="宋体" w:hAnsi="宋体" w:cs="Times New Roman"/>
          <w:bCs/>
          <w:color w:val="000000" w:themeColor="text1"/>
          <w:sz w:val="28"/>
          <w:szCs w:val="28"/>
          <w:highlight w:val="none"/>
        </w:rPr>
      </w:pPr>
      <w:r>
        <w:rPr>
          <w:rFonts w:ascii="宋体" w:hAnsi="宋体" w:cs="Times New Roman"/>
          <w:bCs/>
          <w:color w:val="000000" w:themeColor="text1"/>
          <w:sz w:val="28"/>
          <w:szCs w:val="28"/>
          <w:highlight w:val="none"/>
        </w:rPr>
        <w:t>着火源控制不严，容易引起火灾爆炸事故</w:t>
      </w:r>
      <w:r>
        <w:rPr>
          <w:rFonts w:hint="eastAsia" w:ascii="宋体" w:hAnsi="宋体" w:cs="Times New Roman"/>
          <w:bCs/>
          <w:color w:val="000000" w:themeColor="text1"/>
          <w:sz w:val="28"/>
          <w:szCs w:val="28"/>
          <w:highlight w:val="none"/>
        </w:rPr>
        <w:t>。</w:t>
      </w:r>
    </w:p>
    <w:p w14:paraId="1C354ADB">
      <w:pPr>
        <w:widowControl w:val="0"/>
        <w:numPr>
          <w:ilvl w:val="0"/>
          <w:numId w:val="35"/>
        </w:numPr>
        <w:adjustRightInd w:val="0"/>
        <w:snapToGrid w:val="0"/>
        <w:spacing w:line="360" w:lineRule="auto"/>
        <w:ind w:left="0" w:firstLine="560" w:firstLineChars="200"/>
        <w:rPr>
          <w:rFonts w:ascii="宋体" w:hAnsi="宋体" w:cs="Times New Roman"/>
          <w:bCs/>
          <w:color w:val="000000" w:themeColor="text1"/>
          <w:sz w:val="28"/>
          <w:szCs w:val="28"/>
          <w:highlight w:val="none"/>
        </w:rPr>
      </w:pPr>
      <w:r>
        <w:rPr>
          <w:rFonts w:ascii="宋体" w:hAnsi="宋体" w:cs="Times New Roman"/>
          <w:bCs/>
          <w:color w:val="000000" w:themeColor="text1"/>
          <w:sz w:val="28"/>
          <w:szCs w:val="28"/>
          <w:highlight w:val="none"/>
        </w:rPr>
        <w:t xml:space="preserve">设备和照明电器不防爆，电气线路安装不当，或年久失修、绝缘老化、破损，有可能因电气产生火花而发生燃烧、爆炸事故。 </w:t>
      </w:r>
    </w:p>
    <w:p w14:paraId="7AF497CA">
      <w:pPr>
        <w:widowControl w:val="0"/>
        <w:numPr>
          <w:ilvl w:val="0"/>
          <w:numId w:val="35"/>
        </w:numPr>
        <w:adjustRightInd w:val="0"/>
        <w:snapToGrid w:val="0"/>
        <w:spacing w:line="360" w:lineRule="auto"/>
        <w:ind w:left="0" w:firstLine="560" w:firstLineChars="200"/>
        <w:rPr>
          <w:rFonts w:ascii="宋体" w:hAnsi="宋体" w:cs="Times New Roman"/>
          <w:bCs/>
          <w:color w:val="000000" w:themeColor="text1"/>
          <w:sz w:val="28"/>
          <w:szCs w:val="28"/>
          <w:highlight w:val="none"/>
        </w:rPr>
      </w:pPr>
      <w:r>
        <w:rPr>
          <w:rFonts w:ascii="宋体" w:hAnsi="宋体" w:cs="Times New Roman"/>
          <w:bCs/>
          <w:color w:val="000000" w:themeColor="text1"/>
          <w:sz w:val="28"/>
          <w:szCs w:val="28"/>
          <w:highlight w:val="none"/>
        </w:rPr>
        <w:t>由于危险化学品</w:t>
      </w:r>
      <w:r>
        <w:rPr>
          <w:rFonts w:hint="eastAsia" w:ascii="宋体" w:hAnsi="宋体" w:cs="Times New Roman"/>
          <w:bCs/>
          <w:color w:val="000000" w:themeColor="text1"/>
          <w:sz w:val="28"/>
          <w:szCs w:val="28"/>
          <w:highlight w:val="none"/>
          <w:lang w:eastAsia="zh-CN"/>
        </w:rPr>
        <w:t>备货库房</w:t>
      </w:r>
      <w:r>
        <w:rPr>
          <w:rFonts w:ascii="宋体" w:hAnsi="宋体" w:cs="Times New Roman"/>
          <w:bCs/>
          <w:color w:val="000000" w:themeColor="text1"/>
          <w:sz w:val="28"/>
          <w:szCs w:val="28"/>
          <w:highlight w:val="none"/>
        </w:rPr>
        <w:t>防雷、防静电设施缺少或有缺陷，因雷击放电或产生静电火花而发生火灾爆炸事故。</w:t>
      </w:r>
    </w:p>
    <w:p w14:paraId="0A14F3B6">
      <w:pPr>
        <w:widowControl w:val="0"/>
        <w:numPr>
          <w:ilvl w:val="0"/>
          <w:numId w:val="35"/>
        </w:numPr>
        <w:adjustRightInd w:val="0"/>
        <w:snapToGrid w:val="0"/>
        <w:spacing w:line="360" w:lineRule="auto"/>
        <w:ind w:left="0" w:firstLine="560" w:firstLineChars="200"/>
        <w:rPr>
          <w:rFonts w:ascii="宋体" w:hAnsi="宋体" w:cs="Times New Roman"/>
          <w:bCs/>
          <w:color w:val="000000" w:themeColor="text1"/>
          <w:sz w:val="28"/>
          <w:szCs w:val="28"/>
          <w:highlight w:val="none"/>
        </w:rPr>
      </w:pPr>
      <w:r>
        <w:rPr>
          <w:rFonts w:ascii="宋体" w:hAnsi="宋体" w:cs="Times New Roman"/>
          <w:bCs/>
          <w:color w:val="000000" w:themeColor="text1"/>
          <w:sz w:val="28"/>
          <w:szCs w:val="28"/>
          <w:highlight w:val="none"/>
        </w:rPr>
        <w:t>制度不严、措施不力、操作不当，禁忌物料混放等都有可能引起各类事故。</w:t>
      </w:r>
    </w:p>
    <w:p w14:paraId="66F47916">
      <w:pPr>
        <w:widowControl w:val="0"/>
        <w:numPr>
          <w:ilvl w:val="0"/>
          <w:numId w:val="35"/>
        </w:numPr>
        <w:adjustRightInd w:val="0"/>
        <w:snapToGrid w:val="0"/>
        <w:spacing w:line="360" w:lineRule="auto"/>
        <w:ind w:left="0" w:firstLine="560" w:firstLineChars="200"/>
        <w:rPr>
          <w:rFonts w:ascii="宋体" w:hAnsi="宋体" w:cs="Times New Roman"/>
          <w:bCs/>
          <w:color w:val="000000" w:themeColor="text1"/>
          <w:sz w:val="28"/>
          <w:szCs w:val="28"/>
          <w:highlight w:val="none"/>
        </w:rPr>
      </w:pPr>
      <w:r>
        <w:rPr>
          <w:rFonts w:ascii="宋体" w:hAnsi="宋体" w:cs="Times New Roman"/>
          <w:bCs/>
          <w:color w:val="000000" w:themeColor="text1"/>
          <w:sz w:val="28"/>
          <w:szCs w:val="28"/>
          <w:highlight w:val="none"/>
        </w:rPr>
        <w:t>若忽视对职工安全培训教育，对所储存的危化品的理化性质</w:t>
      </w:r>
      <w:r>
        <w:rPr>
          <w:rFonts w:hint="eastAsia" w:ascii="宋体" w:hAnsi="宋体" w:cs="Times New Roman"/>
          <w:bCs/>
          <w:color w:val="000000" w:themeColor="text1"/>
          <w:sz w:val="28"/>
          <w:szCs w:val="28"/>
          <w:highlight w:val="none"/>
          <w:lang w:eastAsia="zh-CN"/>
        </w:rPr>
        <w:t>、</w:t>
      </w:r>
      <w:r>
        <w:rPr>
          <w:rFonts w:ascii="宋体" w:hAnsi="宋体" w:cs="Times New Roman"/>
          <w:bCs/>
          <w:color w:val="000000" w:themeColor="text1"/>
          <w:sz w:val="28"/>
          <w:szCs w:val="28"/>
          <w:highlight w:val="none"/>
        </w:rPr>
        <w:t>事故的处理程序和方法</w:t>
      </w:r>
      <w:r>
        <w:rPr>
          <w:rFonts w:hint="eastAsia" w:ascii="宋体" w:hAnsi="宋体" w:cs="Times New Roman"/>
          <w:bCs/>
          <w:color w:val="000000" w:themeColor="text1"/>
          <w:sz w:val="28"/>
          <w:szCs w:val="28"/>
          <w:highlight w:val="none"/>
          <w:lang w:eastAsia="zh-CN"/>
        </w:rPr>
        <w:t>、</w:t>
      </w:r>
      <w:r>
        <w:rPr>
          <w:rFonts w:ascii="宋体" w:hAnsi="宋体" w:cs="Times New Roman"/>
          <w:bCs/>
          <w:color w:val="000000" w:themeColor="text1"/>
          <w:sz w:val="28"/>
          <w:szCs w:val="28"/>
          <w:highlight w:val="none"/>
        </w:rPr>
        <w:t>对相关</w:t>
      </w:r>
      <w:r>
        <w:rPr>
          <w:rFonts w:hint="eastAsia" w:ascii="宋体" w:hAnsi="宋体" w:cs="Times New Roman"/>
          <w:bCs/>
          <w:color w:val="000000" w:themeColor="text1"/>
          <w:sz w:val="28"/>
          <w:szCs w:val="28"/>
          <w:highlight w:val="none"/>
          <w:lang w:eastAsia="zh-CN"/>
        </w:rPr>
        <w:t>法律法规</w:t>
      </w:r>
      <w:r>
        <w:rPr>
          <w:rFonts w:ascii="宋体" w:hAnsi="宋体" w:cs="Times New Roman"/>
          <w:bCs/>
          <w:color w:val="000000" w:themeColor="text1"/>
          <w:sz w:val="28"/>
          <w:szCs w:val="28"/>
          <w:highlight w:val="none"/>
        </w:rPr>
        <w:t>、标准和规范缺乏足够的了解，易造成违章操作，而发生事故；</w:t>
      </w:r>
    </w:p>
    <w:p w14:paraId="15B9D964">
      <w:pPr>
        <w:widowControl w:val="0"/>
        <w:numPr>
          <w:ilvl w:val="0"/>
          <w:numId w:val="35"/>
        </w:numPr>
        <w:adjustRightInd w:val="0"/>
        <w:snapToGrid w:val="0"/>
        <w:spacing w:line="360" w:lineRule="auto"/>
        <w:ind w:left="0" w:firstLine="560" w:firstLineChars="200"/>
        <w:rPr>
          <w:rFonts w:ascii="宋体" w:hAnsi="宋体" w:cs="Times New Roman"/>
          <w:bCs/>
          <w:color w:val="000000" w:themeColor="text1"/>
          <w:sz w:val="28"/>
          <w:szCs w:val="28"/>
          <w:highlight w:val="none"/>
        </w:rPr>
      </w:pPr>
      <w:r>
        <w:rPr>
          <w:rFonts w:ascii="宋体" w:hAnsi="宋体" w:cs="Times New Roman"/>
          <w:bCs/>
          <w:color w:val="000000" w:themeColor="text1"/>
          <w:sz w:val="28"/>
          <w:szCs w:val="28"/>
          <w:highlight w:val="none"/>
        </w:rPr>
        <w:t>消防通道不畅通，也会延误灾情，造成危险、危害的扩大。</w:t>
      </w:r>
    </w:p>
    <w:p w14:paraId="3166CBBD">
      <w:pPr>
        <w:widowControl w:val="0"/>
        <w:numPr>
          <w:ilvl w:val="0"/>
          <w:numId w:val="35"/>
        </w:numPr>
        <w:adjustRightInd w:val="0"/>
        <w:snapToGrid w:val="0"/>
        <w:spacing w:line="360" w:lineRule="auto"/>
        <w:ind w:left="0" w:firstLine="560" w:firstLineChars="200"/>
        <w:rPr>
          <w:rFonts w:ascii="宋体" w:hAnsi="宋体" w:cs="Times New Roman"/>
          <w:bCs/>
          <w:color w:val="000000" w:themeColor="text1"/>
          <w:sz w:val="28"/>
          <w:szCs w:val="28"/>
          <w:highlight w:val="none"/>
        </w:rPr>
      </w:pPr>
      <w:r>
        <w:rPr>
          <w:rFonts w:ascii="宋体" w:hAnsi="宋体" w:cs="Times New Roman"/>
          <w:bCs/>
          <w:color w:val="000000" w:themeColor="text1"/>
          <w:sz w:val="28"/>
          <w:szCs w:val="28"/>
          <w:highlight w:val="none"/>
        </w:rPr>
        <w:t>危险化学品</w:t>
      </w:r>
      <w:r>
        <w:rPr>
          <w:rFonts w:hint="eastAsia" w:cs="Times New Roman"/>
          <w:bCs/>
          <w:color w:val="000000" w:themeColor="text1"/>
          <w:sz w:val="28"/>
          <w:szCs w:val="28"/>
          <w:highlight w:val="none"/>
          <w:lang w:eastAsia="zh-CN"/>
        </w:rPr>
        <w:t>备货库房、药剂房</w:t>
      </w:r>
      <w:r>
        <w:rPr>
          <w:rFonts w:ascii="宋体" w:hAnsi="宋体" w:cs="Times New Roman"/>
          <w:bCs/>
          <w:color w:val="000000" w:themeColor="text1"/>
          <w:sz w:val="28"/>
          <w:szCs w:val="28"/>
          <w:highlight w:val="none"/>
        </w:rPr>
        <w:t>配置的消防设施不符合要求，一旦出事，未能有效扑救而引起的危险、危害</w:t>
      </w:r>
      <w:r>
        <w:rPr>
          <w:rFonts w:hint="eastAsia" w:ascii="宋体" w:hAnsi="宋体" w:cs="Times New Roman"/>
          <w:bCs/>
          <w:color w:val="000000" w:themeColor="text1"/>
          <w:sz w:val="28"/>
          <w:szCs w:val="28"/>
          <w:highlight w:val="none"/>
        </w:rPr>
        <w:t>。</w:t>
      </w:r>
    </w:p>
    <w:p w14:paraId="63629C40">
      <w:pPr>
        <w:widowControl w:val="0"/>
        <w:numPr>
          <w:ilvl w:val="0"/>
          <w:numId w:val="35"/>
        </w:numPr>
        <w:adjustRightInd w:val="0"/>
        <w:snapToGrid w:val="0"/>
        <w:spacing w:line="360" w:lineRule="auto"/>
        <w:ind w:left="0" w:firstLine="560" w:firstLineChars="200"/>
        <w:rPr>
          <w:rFonts w:ascii="宋体" w:hAnsi="宋体" w:cs="Times New Roman"/>
          <w:bCs/>
          <w:color w:val="000000" w:themeColor="text1"/>
          <w:sz w:val="28"/>
          <w:szCs w:val="28"/>
          <w:highlight w:val="none"/>
        </w:rPr>
      </w:pPr>
      <w:r>
        <w:rPr>
          <w:rFonts w:ascii="宋体" w:hAnsi="宋体" w:cs="Times New Roman"/>
          <w:bCs/>
          <w:color w:val="000000" w:themeColor="text1"/>
          <w:sz w:val="28"/>
          <w:szCs w:val="28"/>
          <w:highlight w:val="none"/>
        </w:rPr>
        <w:t>着火时因不熟悉危险化学品的性能和灭火方法，使用不当的灭火剂使火灾扩大，常常是使小火造成大火的一个原因。</w:t>
      </w:r>
    </w:p>
    <w:p w14:paraId="22234D98">
      <w:pPr>
        <w:keepNext w:val="0"/>
        <w:keepLines w:val="0"/>
        <w:pageBreakBefore w:val="0"/>
        <w:widowControl w:val="0"/>
        <w:numPr>
          <w:ilvl w:val="0"/>
          <w:numId w:val="35"/>
        </w:numPr>
        <w:kinsoku/>
        <w:wordWrap/>
        <w:overflowPunct/>
        <w:topLinePunct w:val="0"/>
        <w:autoSpaceDE/>
        <w:autoSpaceDN/>
        <w:bidi w:val="0"/>
        <w:adjustRightInd w:val="0"/>
        <w:snapToGrid w:val="0"/>
        <w:spacing w:afterAutospacing="0" w:line="360" w:lineRule="auto"/>
        <w:ind w:left="0" w:firstLine="560" w:firstLineChars="200"/>
        <w:textAlignment w:val="auto"/>
        <w:outlineLvl w:val="9"/>
        <w:rPr>
          <w:rFonts w:hint="eastAsia" w:ascii="宋体" w:hAnsi="宋体" w:eastAsia="宋体" w:cs="Times New Roman"/>
          <w:b w:val="0"/>
          <w:bCs/>
          <w:color w:val="000000" w:themeColor="text1"/>
          <w:sz w:val="28"/>
          <w:szCs w:val="28"/>
          <w:highlight w:val="none"/>
        </w:rPr>
      </w:pPr>
      <w:bookmarkStart w:id="543" w:name="_Toc60846611"/>
      <w:bookmarkStart w:id="544" w:name="_Toc498075594"/>
      <w:r>
        <w:rPr>
          <w:rFonts w:hint="default" w:ascii="宋体" w:hAnsi="宋体" w:eastAsia="宋体" w:cs="Times New Roman"/>
          <w:b w:val="0"/>
          <w:bCs/>
          <w:color w:val="000000" w:themeColor="text1"/>
          <w:sz w:val="28"/>
          <w:szCs w:val="28"/>
          <w:highlight w:val="none"/>
        </w:rPr>
        <w:t>禁配物分析</w:t>
      </w:r>
      <w:bookmarkEnd w:id="543"/>
      <w:bookmarkEnd w:id="544"/>
    </w:p>
    <w:p w14:paraId="4CD29C6E">
      <w:pPr>
        <w:keepNext w:val="0"/>
        <w:keepLines w:val="0"/>
        <w:pageBreakBefore w:val="0"/>
        <w:widowControl w:val="0"/>
        <w:kinsoku/>
        <w:wordWrap/>
        <w:overflowPunct/>
        <w:topLinePunct w:val="0"/>
        <w:autoSpaceDE/>
        <w:autoSpaceDN/>
        <w:bidi w:val="0"/>
        <w:adjustRightInd w:val="0"/>
        <w:snapToGrid w:val="0"/>
        <w:spacing w:afterAutospacing="0" w:line="360" w:lineRule="auto"/>
        <w:ind w:firstLine="560" w:firstLineChars="200"/>
        <w:textAlignment w:val="auto"/>
        <w:rPr>
          <w:rFonts w:ascii="宋体" w:hAnsi="宋体" w:cs="Times New Roman"/>
          <w:bCs/>
          <w:color w:val="000000" w:themeColor="text1"/>
          <w:sz w:val="28"/>
          <w:szCs w:val="28"/>
          <w:highlight w:val="none"/>
        </w:rPr>
      </w:pPr>
      <w:r>
        <w:rPr>
          <w:rFonts w:hint="eastAsia" w:ascii="宋体" w:hAnsi="宋体" w:cs="Times New Roman"/>
          <w:bCs/>
          <w:color w:val="000000" w:themeColor="text1"/>
          <w:sz w:val="28"/>
          <w:szCs w:val="28"/>
          <w:highlight w:val="none"/>
        </w:rPr>
        <w:t>在储存危险化学品过程中，由于危险化学品混合接触，往往造成意外的火灾、爆炸事故。因此，对于危险化学品混合的危险性，应引起足够的重视，对禁忌物不得混放在一起。</w:t>
      </w:r>
    </w:p>
    <w:p w14:paraId="3343D018">
      <w:pPr>
        <w:keepNext w:val="0"/>
        <w:keepLines w:val="0"/>
        <w:pageBreakBefore w:val="0"/>
        <w:widowControl w:val="0"/>
        <w:kinsoku/>
        <w:wordWrap/>
        <w:overflowPunct/>
        <w:topLinePunct w:val="0"/>
        <w:autoSpaceDE/>
        <w:autoSpaceDN/>
        <w:bidi w:val="0"/>
        <w:adjustRightInd w:val="0"/>
        <w:snapToGrid w:val="0"/>
        <w:spacing w:afterAutospacing="0" w:line="360" w:lineRule="auto"/>
        <w:ind w:firstLine="560" w:firstLineChars="200"/>
        <w:textAlignment w:val="auto"/>
        <w:rPr>
          <w:rFonts w:ascii="宋体" w:hAnsi="宋体" w:cs="Times New Roman"/>
          <w:bCs/>
          <w:color w:val="000000" w:themeColor="text1"/>
          <w:sz w:val="28"/>
          <w:szCs w:val="28"/>
          <w:highlight w:val="none"/>
        </w:rPr>
      </w:pPr>
      <w:r>
        <w:rPr>
          <w:rFonts w:hint="eastAsia" w:ascii="宋体" w:hAnsi="宋体" w:cs="Times New Roman"/>
          <w:bCs/>
          <w:color w:val="000000" w:themeColor="text1"/>
          <w:sz w:val="28"/>
          <w:szCs w:val="28"/>
          <w:highlight w:val="none"/>
        </w:rPr>
        <w:t>两种</w:t>
      </w:r>
      <w:r>
        <w:rPr>
          <w:rFonts w:hint="eastAsia" w:ascii="宋体" w:hAnsi="宋体" w:cs="Times New Roman"/>
          <w:bCs/>
          <w:color w:val="000000" w:themeColor="text1"/>
          <w:sz w:val="28"/>
          <w:szCs w:val="28"/>
          <w:highlight w:val="none"/>
          <w:lang w:eastAsia="zh-CN"/>
        </w:rPr>
        <w:t>及</w:t>
      </w:r>
      <w:r>
        <w:rPr>
          <w:rFonts w:hint="eastAsia" w:ascii="宋体" w:hAnsi="宋体" w:cs="Times New Roman"/>
          <w:bCs/>
          <w:color w:val="000000" w:themeColor="text1"/>
          <w:sz w:val="28"/>
          <w:szCs w:val="28"/>
          <w:highlight w:val="none"/>
        </w:rPr>
        <w:t>以上的危险化学品混合或互相接触，在一定的条件下，会发生化学反应，产生高热，反应激烈，引起着火或爆炸。</w:t>
      </w:r>
    </w:p>
    <w:p w14:paraId="65C87949">
      <w:pPr>
        <w:keepNext w:val="0"/>
        <w:keepLines w:val="0"/>
        <w:pageBreakBefore w:val="0"/>
        <w:widowControl w:val="0"/>
        <w:kinsoku/>
        <w:wordWrap/>
        <w:overflowPunct/>
        <w:topLinePunct w:val="0"/>
        <w:autoSpaceDE/>
        <w:autoSpaceDN/>
        <w:bidi w:val="0"/>
        <w:adjustRightInd w:val="0"/>
        <w:snapToGrid w:val="0"/>
        <w:spacing w:afterAutospacing="0" w:line="360" w:lineRule="auto"/>
        <w:ind w:firstLine="560" w:firstLineChars="200"/>
        <w:jc w:val="both"/>
        <w:textAlignment w:val="auto"/>
        <w:rPr>
          <w:rFonts w:hint="eastAsia" w:ascii="宋体" w:hAnsi="宋体" w:cs="Times New Roman"/>
          <w:bCs/>
          <w:color w:val="000000" w:themeColor="text1"/>
          <w:sz w:val="28"/>
          <w:szCs w:val="28"/>
          <w:highlight w:val="none"/>
        </w:rPr>
      </w:pPr>
      <w:r>
        <w:rPr>
          <w:rFonts w:hint="eastAsia" w:ascii="宋体" w:hAnsi="宋体" w:cs="Times New Roman"/>
          <w:bCs/>
          <w:color w:val="000000" w:themeColor="text1"/>
          <w:sz w:val="28"/>
          <w:szCs w:val="28"/>
          <w:highlight w:val="none"/>
          <w:lang w:eastAsia="zh-CN"/>
        </w:rPr>
        <w:t>根据</w:t>
      </w:r>
      <w:r>
        <w:rPr>
          <w:rFonts w:hint="eastAsia" w:ascii="宋体" w:hAnsi="宋体" w:cs="Times New Roman"/>
          <w:bCs/>
          <w:color w:val="000000" w:themeColor="text1"/>
          <w:sz w:val="28"/>
          <w:szCs w:val="28"/>
          <w:highlight w:val="none"/>
        </w:rPr>
        <w:t>《危险化学品仓库储存通则》GB15603-2022</w:t>
      </w:r>
      <w:r>
        <w:rPr>
          <w:rFonts w:hint="eastAsia" w:ascii="宋体" w:hAnsi="宋体" w:cs="Times New Roman"/>
          <w:bCs/>
          <w:color w:val="000000" w:themeColor="text1"/>
          <w:sz w:val="28"/>
          <w:szCs w:val="28"/>
          <w:highlight w:val="none"/>
          <w:lang w:eastAsia="zh-CN"/>
        </w:rPr>
        <w:t>对本项目</w:t>
      </w:r>
      <w:r>
        <w:rPr>
          <w:rFonts w:hint="eastAsia" w:ascii="宋体" w:hAnsi="宋体" w:cs="Times New Roman"/>
          <w:bCs/>
          <w:color w:val="000000" w:themeColor="text1"/>
          <w:sz w:val="28"/>
          <w:szCs w:val="28"/>
          <w:highlight w:val="none"/>
        </w:rPr>
        <w:t>危化品进行禁配物分析，分析结果见下表。</w:t>
      </w:r>
    </w:p>
    <w:p w14:paraId="4DE37E93">
      <w:pPr>
        <w:widowControl w:val="0"/>
        <w:adjustRightInd w:val="0"/>
        <w:snapToGrid w:val="0"/>
        <w:spacing w:line="360" w:lineRule="auto"/>
        <w:ind w:firstLine="0"/>
        <w:jc w:val="center"/>
        <w:rPr>
          <w:rFonts w:hint="eastAsia" w:ascii="黑体" w:hAnsi="黑体" w:eastAsia="黑体" w:cs="Times New Roman"/>
          <w:b/>
          <w:bCs/>
          <w:color w:val="000000" w:themeColor="text1"/>
          <w:sz w:val="24"/>
          <w:szCs w:val="24"/>
          <w:highlight w:val="none"/>
          <w:lang w:val="en-US" w:eastAsia="zh-CN"/>
        </w:rPr>
      </w:pPr>
      <w:r>
        <w:rPr>
          <w:rFonts w:ascii="黑体" w:hAnsi="黑体" w:eastAsia="黑体" w:cs="Times New Roman"/>
          <w:b/>
          <w:bCs/>
          <w:color w:val="000000" w:themeColor="text1"/>
          <w:sz w:val="24"/>
          <w:szCs w:val="24"/>
          <w:highlight w:val="none"/>
        </w:rPr>
        <w:t>表3.</w:t>
      </w:r>
      <w:r>
        <w:rPr>
          <w:rFonts w:hint="eastAsia" w:ascii="黑体" w:hAnsi="黑体" w:eastAsia="黑体" w:cs="Times New Roman"/>
          <w:b/>
          <w:bCs/>
          <w:color w:val="000000" w:themeColor="text1"/>
          <w:sz w:val="24"/>
          <w:szCs w:val="24"/>
          <w:highlight w:val="none"/>
          <w:lang w:val="en-US" w:eastAsia="zh-CN"/>
        </w:rPr>
        <w:t>2</w:t>
      </w:r>
      <w:r>
        <w:rPr>
          <w:rFonts w:ascii="黑体" w:hAnsi="黑体" w:eastAsia="黑体" w:cs="Times New Roman"/>
          <w:b/>
          <w:bCs/>
          <w:color w:val="000000" w:themeColor="text1"/>
          <w:sz w:val="24"/>
          <w:szCs w:val="24"/>
          <w:highlight w:val="none"/>
        </w:rPr>
        <w:t>-</w:t>
      </w:r>
      <w:r>
        <w:rPr>
          <w:rFonts w:hint="eastAsia" w:ascii="黑体" w:hAnsi="黑体" w:eastAsia="黑体" w:cs="Times New Roman"/>
          <w:b/>
          <w:bCs/>
          <w:color w:val="000000" w:themeColor="text1"/>
          <w:sz w:val="24"/>
          <w:szCs w:val="24"/>
          <w:highlight w:val="none"/>
          <w:lang w:val="en-US" w:eastAsia="zh-CN"/>
        </w:rPr>
        <w:t xml:space="preserve">3 </w:t>
      </w:r>
      <w:r>
        <w:rPr>
          <w:rFonts w:hint="eastAsia" w:ascii="黑体" w:hAnsi="黑体" w:eastAsia="黑体" w:cs="Times New Roman"/>
          <w:b/>
          <w:bCs/>
          <w:color w:val="000000" w:themeColor="text1"/>
          <w:sz w:val="24"/>
          <w:szCs w:val="24"/>
          <w:highlight w:val="none"/>
        </w:rPr>
        <w:t>储存物料的禁忌分析</w:t>
      </w:r>
      <w:r>
        <w:rPr>
          <w:rFonts w:hint="eastAsia" w:ascii="黑体" w:hAnsi="黑体" w:eastAsia="黑体" w:cs="Times New Roman"/>
          <w:b/>
          <w:bCs/>
          <w:color w:val="000000" w:themeColor="text1"/>
          <w:sz w:val="24"/>
          <w:szCs w:val="24"/>
          <w:highlight w:val="none"/>
          <w:lang w:eastAsia="zh-CN"/>
        </w:rPr>
        <w:t>一览表</w:t>
      </w:r>
    </w:p>
    <w:tbl>
      <w:tblPr>
        <w:tblStyle w:val="61"/>
        <w:tblW w:w="4994" w:type="pct"/>
        <w:tblInd w:w="0"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484"/>
        <w:gridCol w:w="1607"/>
        <w:gridCol w:w="3244"/>
        <w:gridCol w:w="919"/>
        <w:gridCol w:w="712"/>
        <w:gridCol w:w="694"/>
        <w:gridCol w:w="787"/>
        <w:gridCol w:w="944"/>
      </w:tblGrid>
      <w:tr w14:paraId="6AE3926A">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257" w:type="pct"/>
            <w:tcBorders>
              <w:tl2br w:val="nil"/>
              <w:tr2bl w:val="nil"/>
            </w:tcBorders>
            <w:vAlign w:val="center"/>
          </w:tcPr>
          <w:p w14:paraId="67507C21">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bookmarkStart w:id="545" w:name="_Toc498075595"/>
            <w:r>
              <w:rPr>
                <w:rFonts w:hint="eastAsia" w:ascii="宋体" w:hAnsi="宋体" w:eastAsia="宋体" w:cs="宋体"/>
                <w:b/>
                <w:bCs/>
                <w:color w:val="000000" w:themeColor="text1"/>
                <w:sz w:val="21"/>
                <w:szCs w:val="21"/>
                <w:highlight w:val="none"/>
              </w:rPr>
              <w:t>序号</w:t>
            </w:r>
          </w:p>
        </w:tc>
        <w:tc>
          <w:tcPr>
            <w:tcW w:w="855" w:type="pct"/>
            <w:tcBorders>
              <w:tl2br w:val="nil"/>
              <w:tr2bl w:val="nil"/>
            </w:tcBorders>
            <w:vAlign w:val="center"/>
          </w:tcPr>
          <w:p w14:paraId="0597CCCD">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危化品名称</w:t>
            </w:r>
          </w:p>
        </w:tc>
        <w:tc>
          <w:tcPr>
            <w:tcW w:w="1727" w:type="pct"/>
            <w:tcBorders>
              <w:tl2br w:val="nil"/>
              <w:tr2bl w:val="nil"/>
            </w:tcBorders>
            <w:vAlign w:val="center"/>
          </w:tcPr>
          <w:p w14:paraId="3B122612">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危险性类别</w:t>
            </w:r>
          </w:p>
        </w:tc>
        <w:tc>
          <w:tcPr>
            <w:tcW w:w="489" w:type="pct"/>
            <w:tcBorders>
              <w:tl2br w:val="nil"/>
              <w:tr2bl w:val="nil"/>
            </w:tcBorders>
            <w:vAlign w:val="center"/>
          </w:tcPr>
          <w:p w14:paraId="2258DFF0">
            <w:pPr>
              <w:widowControl w:val="0"/>
              <w:overflowPunct w:val="0"/>
              <w:adjustRightInd w:val="0"/>
              <w:snapToGrid w:val="0"/>
              <w:spacing w:line="240" w:lineRule="auto"/>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sz w:val="21"/>
                <w:szCs w:val="21"/>
                <w:highlight w:val="none"/>
                <w:lang w:val="en-US" w:eastAsia="zh-CN"/>
              </w:rPr>
              <w:t>氢氧化钠溶液</w:t>
            </w:r>
          </w:p>
        </w:tc>
        <w:tc>
          <w:tcPr>
            <w:tcW w:w="379" w:type="pct"/>
            <w:tcBorders>
              <w:tl2br w:val="nil"/>
              <w:tr2bl w:val="nil"/>
            </w:tcBorders>
            <w:vAlign w:val="center"/>
          </w:tcPr>
          <w:p w14:paraId="41727DBF">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vertAlign w:val="baseline"/>
                <w:lang w:val="en-US" w:eastAsia="zh-CN"/>
              </w:rPr>
              <w:t>乙酸</w:t>
            </w:r>
          </w:p>
        </w:tc>
        <w:tc>
          <w:tcPr>
            <w:tcW w:w="369" w:type="pct"/>
            <w:tcBorders>
              <w:tl2br w:val="nil"/>
              <w:tr2bl w:val="nil"/>
            </w:tcBorders>
            <w:vAlign w:val="center"/>
          </w:tcPr>
          <w:p w14:paraId="6111ADFB">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kern w:val="0"/>
                <w:sz w:val="21"/>
                <w:szCs w:val="21"/>
                <w:highlight w:val="none"/>
              </w:rPr>
              <w:t>保险粉</w:t>
            </w:r>
          </w:p>
        </w:tc>
        <w:tc>
          <w:tcPr>
            <w:tcW w:w="419" w:type="pct"/>
            <w:tcBorders>
              <w:tl2br w:val="nil"/>
              <w:tr2bl w:val="nil"/>
            </w:tcBorders>
            <w:vAlign w:val="center"/>
          </w:tcPr>
          <w:p w14:paraId="6276093A">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kern w:val="0"/>
                <w:sz w:val="21"/>
                <w:szCs w:val="21"/>
                <w:highlight w:val="none"/>
              </w:rPr>
              <w:t>过碳酸钠</w:t>
            </w:r>
          </w:p>
        </w:tc>
        <w:tc>
          <w:tcPr>
            <w:tcW w:w="502" w:type="pct"/>
            <w:tcBorders>
              <w:tl2br w:val="nil"/>
              <w:tr2bl w:val="nil"/>
            </w:tcBorders>
            <w:vAlign w:val="center"/>
          </w:tcPr>
          <w:p w14:paraId="62E577AA">
            <w:pPr>
              <w:pStyle w:val="58"/>
              <w:widowControl w:val="0"/>
              <w:overflowPunct w:val="0"/>
              <w:adjustRightInd w:val="0"/>
              <w:snapToGrid w:val="0"/>
              <w:spacing w:before="0" w:beforeAutospacing="0" w:after="0" w:afterAutospacing="0" w:line="240" w:lineRule="auto"/>
              <w:jc w:val="center"/>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kern w:val="0"/>
                <w:sz w:val="21"/>
                <w:szCs w:val="21"/>
                <w:highlight w:val="none"/>
              </w:rPr>
              <w:t>次氯酸钠</w:t>
            </w:r>
            <w:r>
              <w:rPr>
                <w:rFonts w:hint="eastAsia" w:ascii="宋体" w:hAnsi="宋体" w:eastAsia="宋体" w:cs="宋体"/>
                <w:b/>
                <w:bCs/>
                <w:color w:val="000000" w:themeColor="text1"/>
                <w:kern w:val="0"/>
                <w:sz w:val="21"/>
                <w:szCs w:val="21"/>
                <w:highlight w:val="none"/>
                <w:lang w:eastAsia="zh-CN"/>
              </w:rPr>
              <w:t>溶液</w:t>
            </w:r>
          </w:p>
        </w:tc>
      </w:tr>
      <w:tr w14:paraId="3F317380">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257" w:type="pct"/>
            <w:tcBorders>
              <w:tl2br w:val="nil"/>
              <w:tr2bl w:val="nil"/>
            </w:tcBorders>
            <w:vAlign w:val="center"/>
          </w:tcPr>
          <w:p w14:paraId="0207A4E5">
            <w:pPr>
              <w:widowControl w:val="0"/>
              <w:numPr>
                <w:ilvl w:val="0"/>
                <w:numId w:val="36"/>
              </w:numPr>
              <w:bidi w:val="0"/>
              <w:adjustRightInd w:val="0"/>
              <w:snapToGrid w:val="0"/>
              <w:jc w:val="center"/>
              <w:rPr>
                <w:rFonts w:hint="eastAsia"/>
                <w:color w:val="000000" w:themeColor="text1"/>
                <w:sz w:val="21"/>
                <w:szCs w:val="21"/>
                <w:highlight w:val="none"/>
              </w:rPr>
            </w:pPr>
            <w:bookmarkStart w:id="546" w:name="_Toc22733"/>
            <w:bookmarkEnd w:id="546"/>
            <w:bookmarkStart w:id="547" w:name="_Toc20953"/>
            <w:bookmarkEnd w:id="547"/>
            <w:bookmarkStart w:id="548" w:name="_Toc25364"/>
            <w:bookmarkEnd w:id="548"/>
            <w:bookmarkStart w:id="549" w:name="_Toc11850"/>
            <w:bookmarkEnd w:id="549"/>
            <w:bookmarkStart w:id="550" w:name="_Toc18505"/>
            <w:bookmarkEnd w:id="550"/>
            <w:bookmarkStart w:id="551" w:name="_Toc29996"/>
            <w:bookmarkEnd w:id="551"/>
            <w:bookmarkStart w:id="552" w:name="_Toc22792"/>
            <w:bookmarkEnd w:id="552"/>
          </w:p>
        </w:tc>
        <w:tc>
          <w:tcPr>
            <w:tcW w:w="855" w:type="pct"/>
            <w:tcBorders>
              <w:tl2br w:val="nil"/>
              <w:tr2bl w:val="nil"/>
            </w:tcBorders>
            <w:vAlign w:val="center"/>
          </w:tcPr>
          <w:p w14:paraId="25FA0165">
            <w:pPr>
              <w:widowControl w:val="0"/>
              <w:adjustRightInd w:val="0"/>
              <w:snapToGrid w:val="0"/>
              <w:spacing w:line="240" w:lineRule="auto"/>
              <w:jc w:val="center"/>
              <w:rPr>
                <w:rFonts w:hint="eastAsia" w:ascii="宋体" w:hAnsi="宋体" w:eastAsia="宋体" w:cs="宋体"/>
                <w:bCs/>
                <w:color w:val="000000" w:themeColor="text1"/>
                <w:kern w:val="0"/>
                <w:sz w:val="21"/>
                <w:szCs w:val="21"/>
                <w:highlight w:val="none"/>
              </w:rPr>
            </w:pPr>
            <w:r>
              <w:rPr>
                <w:rFonts w:hint="eastAsia" w:ascii="宋体" w:hAnsi="宋体" w:eastAsia="宋体" w:cs="宋体"/>
                <w:color w:val="000000" w:themeColor="text1"/>
                <w:sz w:val="21"/>
                <w:szCs w:val="21"/>
                <w:highlight w:val="none"/>
                <w:lang w:val="en-US" w:eastAsia="zh-CN"/>
              </w:rPr>
              <w:t>氢氧化钠溶液</w:t>
            </w:r>
          </w:p>
        </w:tc>
        <w:tc>
          <w:tcPr>
            <w:tcW w:w="1727" w:type="pct"/>
            <w:tcBorders>
              <w:tl2br w:val="nil"/>
              <w:tr2bl w:val="nil"/>
            </w:tcBorders>
            <w:vAlign w:val="center"/>
          </w:tcPr>
          <w:p w14:paraId="5112C642">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皮肤腐蚀/刺激</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类别1A</w:t>
            </w:r>
          </w:p>
          <w:p w14:paraId="144C333D">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严重眼损伤/眼刺激</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w:t>
            </w:r>
          </w:p>
        </w:tc>
        <w:tc>
          <w:tcPr>
            <w:tcW w:w="489" w:type="pct"/>
            <w:tcBorders>
              <w:tl2br w:val="nil"/>
              <w:tr2bl w:val="nil"/>
            </w:tcBorders>
            <w:vAlign w:val="center"/>
          </w:tcPr>
          <w:p w14:paraId="4D2FB348">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w:t>
            </w:r>
          </w:p>
        </w:tc>
        <w:tc>
          <w:tcPr>
            <w:tcW w:w="379" w:type="pct"/>
            <w:tcBorders>
              <w:tl2br w:val="nil"/>
              <w:tr2bl w:val="nil"/>
            </w:tcBorders>
            <w:vAlign w:val="center"/>
          </w:tcPr>
          <w:p w14:paraId="304F6524">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w:t>
            </w:r>
          </w:p>
        </w:tc>
        <w:tc>
          <w:tcPr>
            <w:tcW w:w="369" w:type="pct"/>
            <w:tcBorders>
              <w:tl2br w:val="nil"/>
              <w:tr2bl w:val="nil"/>
            </w:tcBorders>
            <w:vAlign w:val="center"/>
          </w:tcPr>
          <w:p w14:paraId="0C8A3D3A">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w:t>
            </w:r>
          </w:p>
        </w:tc>
        <w:tc>
          <w:tcPr>
            <w:tcW w:w="419" w:type="pct"/>
            <w:tcBorders>
              <w:tl2br w:val="nil"/>
              <w:tr2bl w:val="nil"/>
            </w:tcBorders>
            <w:vAlign w:val="center"/>
          </w:tcPr>
          <w:p w14:paraId="43C14B0D">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w:t>
            </w:r>
          </w:p>
        </w:tc>
        <w:tc>
          <w:tcPr>
            <w:tcW w:w="502" w:type="pct"/>
            <w:tcBorders>
              <w:tl2br w:val="nil"/>
              <w:tr2bl w:val="nil"/>
            </w:tcBorders>
            <w:vAlign w:val="center"/>
          </w:tcPr>
          <w:p w14:paraId="09813C0E">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w:t>
            </w:r>
          </w:p>
        </w:tc>
      </w:tr>
      <w:tr w14:paraId="51B467B0">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257" w:type="pct"/>
            <w:tcBorders>
              <w:tl2br w:val="nil"/>
              <w:tr2bl w:val="nil"/>
            </w:tcBorders>
            <w:vAlign w:val="center"/>
          </w:tcPr>
          <w:p w14:paraId="49AC04EB">
            <w:pPr>
              <w:widowControl w:val="0"/>
              <w:numPr>
                <w:ilvl w:val="0"/>
                <w:numId w:val="36"/>
              </w:numPr>
              <w:bidi w:val="0"/>
              <w:adjustRightInd w:val="0"/>
              <w:snapToGrid w:val="0"/>
              <w:jc w:val="center"/>
              <w:rPr>
                <w:rFonts w:hint="eastAsia"/>
                <w:color w:val="000000" w:themeColor="text1"/>
                <w:sz w:val="21"/>
                <w:szCs w:val="21"/>
                <w:highlight w:val="none"/>
              </w:rPr>
            </w:pPr>
            <w:bookmarkStart w:id="553" w:name="_Toc22884"/>
            <w:bookmarkEnd w:id="553"/>
            <w:bookmarkStart w:id="554" w:name="_Toc10625"/>
            <w:bookmarkEnd w:id="554"/>
            <w:bookmarkStart w:id="555" w:name="_Toc3558"/>
            <w:bookmarkEnd w:id="555"/>
            <w:bookmarkStart w:id="556" w:name="_Toc13238"/>
            <w:bookmarkEnd w:id="556"/>
            <w:bookmarkStart w:id="557" w:name="_Toc14469"/>
            <w:bookmarkEnd w:id="557"/>
            <w:bookmarkStart w:id="558" w:name="_Toc24030"/>
            <w:bookmarkEnd w:id="558"/>
            <w:bookmarkStart w:id="559" w:name="_Toc24713"/>
            <w:bookmarkEnd w:id="559"/>
          </w:p>
        </w:tc>
        <w:tc>
          <w:tcPr>
            <w:tcW w:w="855" w:type="pct"/>
            <w:tcBorders>
              <w:tl2br w:val="nil"/>
              <w:tr2bl w:val="nil"/>
            </w:tcBorders>
            <w:vAlign w:val="center"/>
          </w:tcPr>
          <w:p w14:paraId="5C61FD94">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vertAlign w:val="baseline"/>
                <w:lang w:val="en-US" w:eastAsia="zh-CN"/>
              </w:rPr>
              <w:t>乙酸</w:t>
            </w:r>
          </w:p>
        </w:tc>
        <w:tc>
          <w:tcPr>
            <w:tcW w:w="1727" w:type="pct"/>
            <w:tcBorders>
              <w:tl2br w:val="nil"/>
              <w:tr2bl w:val="nil"/>
            </w:tcBorders>
            <w:vAlign w:val="center"/>
          </w:tcPr>
          <w:p w14:paraId="0FF78955">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易燃液体</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类别3</w:t>
            </w:r>
          </w:p>
          <w:p w14:paraId="18AA35F5">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皮肤腐蚀/刺激</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类别1A</w:t>
            </w:r>
          </w:p>
          <w:p w14:paraId="0140445D">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严重眼损伤/眼刺激</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w:t>
            </w:r>
          </w:p>
        </w:tc>
        <w:tc>
          <w:tcPr>
            <w:tcW w:w="489" w:type="pct"/>
            <w:tcBorders>
              <w:tl2br w:val="nil"/>
              <w:tr2bl w:val="nil"/>
            </w:tcBorders>
            <w:vAlign w:val="center"/>
          </w:tcPr>
          <w:p w14:paraId="038A8E17">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bidi="ar"/>
              </w:rPr>
              <w:t>消</w:t>
            </w:r>
          </w:p>
        </w:tc>
        <w:tc>
          <w:tcPr>
            <w:tcW w:w="379" w:type="pct"/>
            <w:tcBorders>
              <w:tl2br w:val="nil"/>
              <w:tr2bl w:val="nil"/>
            </w:tcBorders>
            <w:vAlign w:val="center"/>
          </w:tcPr>
          <w:p w14:paraId="7E309404">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w:t>
            </w:r>
          </w:p>
        </w:tc>
        <w:tc>
          <w:tcPr>
            <w:tcW w:w="369" w:type="pct"/>
            <w:tcBorders>
              <w:tl2br w:val="nil"/>
              <w:tr2bl w:val="nil"/>
            </w:tcBorders>
            <w:vAlign w:val="center"/>
          </w:tcPr>
          <w:p w14:paraId="59233916">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val="en-US" w:eastAsia="zh-CN"/>
              </w:rPr>
              <w:t>/</w:t>
            </w:r>
          </w:p>
        </w:tc>
        <w:tc>
          <w:tcPr>
            <w:tcW w:w="419" w:type="pct"/>
            <w:tcBorders>
              <w:tl2br w:val="nil"/>
              <w:tr2bl w:val="nil"/>
            </w:tcBorders>
            <w:vAlign w:val="center"/>
          </w:tcPr>
          <w:p w14:paraId="4253AE88">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val="en-US" w:eastAsia="zh-CN"/>
              </w:rPr>
              <w:t>/</w:t>
            </w:r>
          </w:p>
        </w:tc>
        <w:tc>
          <w:tcPr>
            <w:tcW w:w="502" w:type="pct"/>
            <w:tcBorders>
              <w:tl2br w:val="nil"/>
              <w:tr2bl w:val="nil"/>
            </w:tcBorders>
            <w:vAlign w:val="center"/>
          </w:tcPr>
          <w:p w14:paraId="1ACBCC08">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w:t>
            </w:r>
          </w:p>
        </w:tc>
      </w:tr>
      <w:tr w14:paraId="7AD6E078">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257" w:type="pct"/>
            <w:tcBorders>
              <w:tl2br w:val="nil"/>
              <w:tr2bl w:val="nil"/>
            </w:tcBorders>
            <w:vAlign w:val="center"/>
          </w:tcPr>
          <w:p w14:paraId="4B8FFAF4">
            <w:pPr>
              <w:widowControl w:val="0"/>
              <w:numPr>
                <w:ilvl w:val="0"/>
                <w:numId w:val="36"/>
              </w:numPr>
              <w:bidi w:val="0"/>
              <w:adjustRightInd w:val="0"/>
              <w:snapToGrid w:val="0"/>
              <w:jc w:val="center"/>
              <w:rPr>
                <w:rFonts w:hint="eastAsia"/>
                <w:color w:val="000000" w:themeColor="text1"/>
                <w:sz w:val="21"/>
                <w:szCs w:val="21"/>
                <w:highlight w:val="none"/>
              </w:rPr>
            </w:pPr>
            <w:bookmarkStart w:id="560" w:name="_Toc32365"/>
            <w:bookmarkEnd w:id="560"/>
            <w:bookmarkStart w:id="561" w:name="_Toc14706"/>
            <w:bookmarkEnd w:id="561"/>
            <w:bookmarkStart w:id="562" w:name="_Toc13391"/>
            <w:bookmarkEnd w:id="562"/>
            <w:bookmarkStart w:id="563" w:name="_Toc28256"/>
            <w:bookmarkEnd w:id="563"/>
            <w:bookmarkStart w:id="564" w:name="_Toc1936"/>
            <w:bookmarkEnd w:id="564"/>
            <w:bookmarkStart w:id="565" w:name="_Toc28432"/>
            <w:bookmarkEnd w:id="565"/>
            <w:bookmarkStart w:id="566" w:name="_Toc13179"/>
            <w:bookmarkEnd w:id="566"/>
          </w:p>
        </w:tc>
        <w:tc>
          <w:tcPr>
            <w:tcW w:w="855" w:type="pct"/>
            <w:tcBorders>
              <w:tl2br w:val="nil"/>
              <w:tr2bl w:val="nil"/>
            </w:tcBorders>
            <w:vAlign w:val="center"/>
          </w:tcPr>
          <w:p w14:paraId="611CC0EE">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保险粉</w:t>
            </w:r>
          </w:p>
        </w:tc>
        <w:tc>
          <w:tcPr>
            <w:tcW w:w="1727" w:type="pct"/>
            <w:tcBorders>
              <w:tl2br w:val="nil"/>
              <w:tr2bl w:val="nil"/>
            </w:tcBorders>
            <w:vAlign w:val="center"/>
          </w:tcPr>
          <w:p w14:paraId="4CABC2A0">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自热物质和混合物</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w:t>
            </w:r>
          </w:p>
        </w:tc>
        <w:tc>
          <w:tcPr>
            <w:tcW w:w="489" w:type="pct"/>
            <w:tcBorders>
              <w:tl2br w:val="nil"/>
              <w:tr2bl w:val="nil"/>
            </w:tcBorders>
            <w:vAlign w:val="center"/>
          </w:tcPr>
          <w:p w14:paraId="67BED479">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bidi="ar"/>
              </w:rPr>
              <w:t>分</w:t>
            </w:r>
          </w:p>
        </w:tc>
        <w:tc>
          <w:tcPr>
            <w:tcW w:w="379" w:type="pct"/>
            <w:tcBorders>
              <w:tl2br w:val="nil"/>
              <w:tr2bl w:val="nil"/>
            </w:tcBorders>
            <w:vAlign w:val="center"/>
          </w:tcPr>
          <w:p w14:paraId="3D5208A4">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bidi="ar"/>
              </w:rPr>
              <w:t>×</w:t>
            </w:r>
          </w:p>
        </w:tc>
        <w:tc>
          <w:tcPr>
            <w:tcW w:w="369" w:type="pct"/>
            <w:tcBorders>
              <w:tl2br w:val="nil"/>
              <w:tr2bl w:val="nil"/>
            </w:tcBorders>
            <w:vAlign w:val="center"/>
          </w:tcPr>
          <w:p w14:paraId="6AB7FF81">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val="en-US" w:eastAsia="zh-CN"/>
              </w:rPr>
              <w:t>/</w:t>
            </w:r>
          </w:p>
        </w:tc>
        <w:tc>
          <w:tcPr>
            <w:tcW w:w="419" w:type="pct"/>
            <w:tcBorders>
              <w:tl2br w:val="nil"/>
              <w:tr2bl w:val="nil"/>
            </w:tcBorders>
            <w:vAlign w:val="center"/>
          </w:tcPr>
          <w:p w14:paraId="56C5581F">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val="en-US" w:eastAsia="zh-CN"/>
              </w:rPr>
              <w:t>/</w:t>
            </w:r>
          </w:p>
        </w:tc>
        <w:tc>
          <w:tcPr>
            <w:tcW w:w="502" w:type="pct"/>
            <w:tcBorders>
              <w:tl2br w:val="nil"/>
              <w:tr2bl w:val="nil"/>
            </w:tcBorders>
            <w:vAlign w:val="center"/>
          </w:tcPr>
          <w:p w14:paraId="690D6E72">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w:t>
            </w:r>
          </w:p>
        </w:tc>
      </w:tr>
      <w:tr w14:paraId="5A505DE6">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257" w:type="pct"/>
            <w:tcBorders>
              <w:tl2br w:val="nil"/>
              <w:tr2bl w:val="nil"/>
            </w:tcBorders>
            <w:vAlign w:val="center"/>
          </w:tcPr>
          <w:p w14:paraId="0C95C01D">
            <w:pPr>
              <w:widowControl w:val="0"/>
              <w:numPr>
                <w:ilvl w:val="0"/>
                <w:numId w:val="36"/>
              </w:numPr>
              <w:bidi w:val="0"/>
              <w:adjustRightInd w:val="0"/>
              <w:snapToGrid w:val="0"/>
              <w:jc w:val="center"/>
              <w:rPr>
                <w:rFonts w:hint="eastAsia"/>
                <w:color w:val="000000" w:themeColor="text1"/>
                <w:sz w:val="21"/>
                <w:szCs w:val="21"/>
                <w:highlight w:val="none"/>
              </w:rPr>
            </w:pPr>
            <w:bookmarkStart w:id="567" w:name="_Toc23579"/>
            <w:bookmarkEnd w:id="567"/>
            <w:bookmarkStart w:id="568" w:name="_Toc25002"/>
            <w:bookmarkEnd w:id="568"/>
            <w:bookmarkStart w:id="569" w:name="_Toc28392"/>
            <w:bookmarkEnd w:id="569"/>
            <w:bookmarkStart w:id="570" w:name="_Toc2865"/>
            <w:bookmarkEnd w:id="570"/>
            <w:bookmarkStart w:id="571" w:name="_Toc9959"/>
            <w:bookmarkEnd w:id="571"/>
            <w:bookmarkStart w:id="572" w:name="_Toc12988"/>
            <w:bookmarkEnd w:id="572"/>
            <w:bookmarkStart w:id="573" w:name="_Toc6329"/>
            <w:bookmarkEnd w:id="573"/>
          </w:p>
        </w:tc>
        <w:tc>
          <w:tcPr>
            <w:tcW w:w="855" w:type="pct"/>
            <w:tcBorders>
              <w:tl2br w:val="nil"/>
              <w:tr2bl w:val="nil"/>
            </w:tcBorders>
            <w:vAlign w:val="center"/>
          </w:tcPr>
          <w:p w14:paraId="487581E8">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过碳酸钠</w:t>
            </w:r>
          </w:p>
        </w:tc>
        <w:tc>
          <w:tcPr>
            <w:tcW w:w="1727" w:type="pct"/>
            <w:tcBorders>
              <w:tl2br w:val="nil"/>
              <w:tr2bl w:val="nil"/>
            </w:tcBorders>
            <w:vAlign w:val="center"/>
          </w:tcPr>
          <w:p w14:paraId="06779D2E">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氧化性固体</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类别3*</w:t>
            </w:r>
          </w:p>
        </w:tc>
        <w:tc>
          <w:tcPr>
            <w:tcW w:w="489" w:type="pct"/>
            <w:tcBorders>
              <w:tl2br w:val="nil"/>
              <w:tr2bl w:val="nil"/>
            </w:tcBorders>
            <w:vAlign w:val="center"/>
          </w:tcPr>
          <w:p w14:paraId="79F4FE0A">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bidi="ar"/>
              </w:rPr>
              <w:t>分</w:t>
            </w:r>
          </w:p>
        </w:tc>
        <w:tc>
          <w:tcPr>
            <w:tcW w:w="379" w:type="pct"/>
            <w:tcBorders>
              <w:tl2br w:val="nil"/>
              <w:tr2bl w:val="nil"/>
            </w:tcBorders>
            <w:vAlign w:val="center"/>
          </w:tcPr>
          <w:p w14:paraId="6AC8648F">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bidi="ar"/>
              </w:rPr>
              <w:t>×</w:t>
            </w:r>
          </w:p>
        </w:tc>
        <w:tc>
          <w:tcPr>
            <w:tcW w:w="369" w:type="pct"/>
            <w:tcBorders>
              <w:tl2br w:val="nil"/>
              <w:tr2bl w:val="nil"/>
            </w:tcBorders>
            <w:vAlign w:val="center"/>
          </w:tcPr>
          <w:p w14:paraId="7F8F4E3B">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val="en-US" w:eastAsia="zh-CN" w:bidi="ar"/>
              </w:rPr>
              <w:t>×</w:t>
            </w:r>
          </w:p>
        </w:tc>
        <w:tc>
          <w:tcPr>
            <w:tcW w:w="419" w:type="pct"/>
            <w:tcBorders>
              <w:tl2br w:val="nil"/>
              <w:tr2bl w:val="nil"/>
            </w:tcBorders>
            <w:vAlign w:val="center"/>
          </w:tcPr>
          <w:p w14:paraId="74A53A49">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val="en-US" w:eastAsia="zh-CN"/>
              </w:rPr>
              <w:t>/</w:t>
            </w:r>
          </w:p>
        </w:tc>
        <w:tc>
          <w:tcPr>
            <w:tcW w:w="502" w:type="pct"/>
            <w:tcBorders>
              <w:tl2br w:val="nil"/>
              <w:tr2bl w:val="nil"/>
            </w:tcBorders>
            <w:vAlign w:val="center"/>
          </w:tcPr>
          <w:p w14:paraId="0D5EF9C8">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w:t>
            </w:r>
          </w:p>
        </w:tc>
      </w:tr>
      <w:tr w14:paraId="09E3CB8D">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257" w:type="pct"/>
            <w:tcBorders>
              <w:tl2br w:val="nil"/>
              <w:tr2bl w:val="nil"/>
            </w:tcBorders>
            <w:vAlign w:val="center"/>
          </w:tcPr>
          <w:p w14:paraId="77474D33">
            <w:pPr>
              <w:widowControl w:val="0"/>
              <w:numPr>
                <w:ilvl w:val="0"/>
                <w:numId w:val="36"/>
              </w:numPr>
              <w:bidi w:val="0"/>
              <w:adjustRightInd w:val="0"/>
              <w:snapToGrid w:val="0"/>
              <w:jc w:val="center"/>
              <w:rPr>
                <w:rFonts w:hint="eastAsia"/>
                <w:color w:val="000000" w:themeColor="text1"/>
                <w:sz w:val="21"/>
                <w:szCs w:val="21"/>
                <w:highlight w:val="none"/>
              </w:rPr>
            </w:pPr>
            <w:bookmarkStart w:id="574" w:name="_Toc32334"/>
            <w:bookmarkEnd w:id="574"/>
            <w:bookmarkStart w:id="575" w:name="_Toc10923"/>
            <w:bookmarkEnd w:id="575"/>
            <w:bookmarkStart w:id="576" w:name="_Toc14639"/>
            <w:bookmarkEnd w:id="576"/>
            <w:bookmarkStart w:id="577" w:name="_Toc7017"/>
            <w:bookmarkEnd w:id="577"/>
            <w:bookmarkStart w:id="578" w:name="_Toc30404"/>
            <w:bookmarkEnd w:id="578"/>
            <w:bookmarkStart w:id="579" w:name="_Toc19248"/>
            <w:bookmarkEnd w:id="579"/>
            <w:bookmarkStart w:id="580" w:name="_Toc3645"/>
            <w:bookmarkEnd w:id="580"/>
          </w:p>
        </w:tc>
        <w:tc>
          <w:tcPr>
            <w:tcW w:w="855" w:type="pct"/>
            <w:tcBorders>
              <w:tl2br w:val="nil"/>
              <w:tr2bl w:val="nil"/>
            </w:tcBorders>
            <w:vAlign w:val="center"/>
          </w:tcPr>
          <w:p w14:paraId="29D154D6">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rPr>
              <w:t>次氯酸钠</w:t>
            </w:r>
            <w:r>
              <w:rPr>
                <w:rFonts w:hint="eastAsia" w:ascii="宋体" w:hAnsi="宋体" w:eastAsia="宋体" w:cs="宋体"/>
                <w:color w:val="000000" w:themeColor="text1"/>
                <w:kern w:val="0"/>
                <w:sz w:val="21"/>
                <w:szCs w:val="21"/>
                <w:highlight w:val="none"/>
                <w:lang w:eastAsia="zh-CN"/>
              </w:rPr>
              <w:t>溶液</w:t>
            </w:r>
          </w:p>
        </w:tc>
        <w:tc>
          <w:tcPr>
            <w:tcW w:w="1727" w:type="pct"/>
            <w:tcBorders>
              <w:tl2br w:val="nil"/>
              <w:tr2bl w:val="nil"/>
            </w:tcBorders>
            <w:vAlign w:val="center"/>
          </w:tcPr>
          <w:p w14:paraId="4F94DF3E">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皮肤腐蚀/刺激</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类别1B</w:t>
            </w:r>
          </w:p>
          <w:p w14:paraId="2B152080">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严重眼损伤/眼刺激</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w:t>
            </w:r>
          </w:p>
          <w:p w14:paraId="34786A91">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危害水生环境</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急性危害</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w:t>
            </w:r>
          </w:p>
          <w:p w14:paraId="683642F0">
            <w:pPr>
              <w:widowControl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rPr>
              <w:t>危害水生环境</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长期危害</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类别1</w:t>
            </w:r>
          </w:p>
        </w:tc>
        <w:tc>
          <w:tcPr>
            <w:tcW w:w="489" w:type="pct"/>
            <w:tcBorders>
              <w:tl2br w:val="nil"/>
              <w:tr2bl w:val="nil"/>
            </w:tcBorders>
            <w:vAlign w:val="center"/>
          </w:tcPr>
          <w:p w14:paraId="1A9D88E9">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val="en-US" w:eastAsia="zh-CN" w:bidi="ar"/>
              </w:rPr>
            </w:pPr>
            <w:r>
              <w:rPr>
                <w:rFonts w:hint="eastAsia" w:ascii="宋体" w:hAnsi="宋体" w:eastAsia="宋体" w:cs="宋体"/>
                <w:color w:val="000000" w:themeColor="text1"/>
                <w:kern w:val="0"/>
                <w:sz w:val="21"/>
                <w:szCs w:val="21"/>
                <w:highlight w:val="none"/>
                <w:lang w:val="en-US" w:eastAsia="zh-CN" w:bidi="ar"/>
              </w:rPr>
              <w:t>×</w:t>
            </w:r>
          </w:p>
        </w:tc>
        <w:tc>
          <w:tcPr>
            <w:tcW w:w="379" w:type="pct"/>
            <w:tcBorders>
              <w:tl2br w:val="nil"/>
              <w:tr2bl w:val="nil"/>
            </w:tcBorders>
            <w:vAlign w:val="center"/>
          </w:tcPr>
          <w:p w14:paraId="6E1DF0B8">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val="en-US" w:eastAsia="zh-CN" w:bidi="ar"/>
              </w:rPr>
            </w:pPr>
            <w:r>
              <w:rPr>
                <w:rFonts w:hint="eastAsia" w:ascii="宋体" w:hAnsi="宋体" w:eastAsia="宋体" w:cs="宋体"/>
                <w:color w:val="000000" w:themeColor="text1"/>
                <w:kern w:val="0"/>
                <w:sz w:val="21"/>
                <w:szCs w:val="21"/>
                <w:highlight w:val="none"/>
                <w:lang w:val="en-US" w:eastAsia="zh-CN" w:bidi="ar"/>
              </w:rPr>
              <w:t>分</w:t>
            </w:r>
          </w:p>
        </w:tc>
        <w:tc>
          <w:tcPr>
            <w:tcW w:w="369" w:type="pct"/>
            <w:tcBorders>
              <w:tl2br w:val="nil"/>
              <w:tr2bl w:val="nil"/>
            </w:tcBorders>
            <w:vAlign w:val="center"/>
          </w:tcPr>
          <w:p w14:paraId="6DE71115">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val="en-US" w:eastAsia="zh-CN" w:bidi="ar"/>
              </w:rPr>
            </w:pPr>
            <w:r>
              <w:rPr>
                <w:rFonts w:hint="eastAsia" w:ascii="宋体" w:hAnsi="宋体" w:eastAsia="宋体" w:cs="宋体"/>
                <w:color w:val="000000" w:themeColor="text1"/>
                <w:kern w:val="0"/>
                <w:sz w:val="21"/>
                <w:szCs w:val="21"/>
                <w:highlight w:val="none"/>
                <w:lang w:val="en-US" w:eastAsia="zh-CN" w:bidi="ar"/>
              </w:rPr>
              <w:t>分</w:t>
            </w:r>
          </w:p>
        </w:tc>
        <w:tc>
          <w:tcPr>
            <w:tcW w:w="419" w:type="pct"/>
            <w:tcBorders>
              <w:tl2br w:val="nil"/>
              <w:tr2bl w:val="nil"/>
            </w:tcBorders>
            <w:vAlign w:val="center"/>
          </w:tcPr>
          <w:p w14:paraId="5FB8785F">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val="en-US" w:eastAsia="zh-CN" w:bidi="ar"/>
              </w:rPr>
            </w:pPr>
            <w:r>
              <w:rPr>
                <w:rFonts w:hint="eastAsia" w:ascii="宋体" w:hAnsi="宋体" w:eastAsia="宋体" w:cs="宋体"/>
                <w:color w:val="000000" w:themeColor="text1"/>
                <w:kern w:val="0"/>
                <w:sz w:val="21"/>
                <w:szCs w:val="21"/>
                <w:highlight w:val="none"/>
                <w:lang w:val="en-US" w:eastAsia="zh-CN" w:bidi="ar"/>
              </w:rPr>
              <w:t>分</w:t>
            </w:r>
          </w:p>
        </w:tc>
        <w:tc>
          <w:tcPr>
            <w:tcW w:w="502" w:type="pct"/>
            <w:tcBorders>
              <w:tl2br w:val="nil"/>
              <w:tr2bl w:val="nil"/>
            </w:tcBorders>
            <w:vAlign w:val="center"/>
          </w:tcPr>
          <w:p w14:paraId="460EA1E1">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w:t>
            </w:r>
          </w:p>
        </w:tc>
      </w:tr>
    </w:tbl>
    <w:p w14:paraId="6CB2A100">
      <w:pPr>
        <w:keepNext w:val="0"/>
        <w:keepLines w:val="0"/>
        <w:widowControl w:val="0"/>
        <w:suppressLineNumbers w:val="0"/>
        <w:adjustRightInd w:val="0"/>
        <w:snapToGrid w:val="0"/>
        <w:jc w:val="left"/>
        <w:rPr>
          <w:rFonts w:hint="eastAsia" w:ascii="宋体" w:hAnsi="宋体" w:eastAsia="宋体" w:cs="宋体"/>
          <w:color w:val="000000" w:themeColor="text1"/>
          <w:kern w:val="0"/>
          <w:sz w:val="21"/>
          <w:szCs w:val="21"/>
          <w:highlight w:val="none"/>
          <w:lang w:val="en-US" w:eastAsia="zh-CN" w:bidi="ar"/>
        </w:rPr>
      </w:pPr>
      <w:bookmarkStart w:id="581" w:name="_Toc1007"/>
      <w:bookmarkEnd w:id="581"/>
      <w:bookmarkStart w:id="582" w:name="_Toc28494"/>
      <w:bookmarkEnd w:id="582"/>
      <w:bookmarkStart w:id="583" w:name="_Toc30296"/>
      <w:bookmarkEnd w:id="583"/>
      <w:bookmarkStart w:id="584" w:name="_Toc30812"/>
      <w:bookmarkEnd w:id="584"/>
      <w:bookmarkStart w:id="585" w:name="_Toc6701"/>
      <w:bookmarkEnd w:id="585"/>
      <w:bookmarkStart w:id="586" w:name="_Toc936"/>
      <w:bookmarkEnd w:id="586"/>
      <w:bookmarkStart w:id="587" w:name="_Toc7811"/>
      <w:bookmarkEnd w:id="587"/>
      <w:r>
        <w:rPr>
          <w:rFonts w:hint="eastAsia" w:ascii="宋体" w:hAnsi="宋体" w:eastAsia="宋体" w:cs="宋体"/>
          <w:color w:val="000000" w:themeColor="text1"/>
          <w:kern w:val="0"/>
          <w:sz w:val="21"/>
          <w:szCs w:val="21"/>
          <w:highlight w:val="none"/>
          <w:lang w:val="en-US" w:eastAsia="zh-CN" w:bidi="ar"/>
        </w:rPr>
        <w:t>注1：“○”表示原则上可以混存。“○”框中，具体化学品能否混存，参考其安全技术说明书，混存物品，堆垛与堆垛之间应留有1m以上的距离，并要求包装容器完整，不使两种物品发生接触。</w:t>
      </w:r>
    </w:p>
    <w:p w14:paraId="05635F50">
      <w:pPr>
        <w:keepNext w:val="0"/>
        <w:keepLines w:val="0"/>
        <w:widowControl w:val="0"/>
        <w:suppressLineNumbers w:val="0"/>
        <w:adjustRightInd w:val="0"/>
        <w:snapToGrid w:val="0"/>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val="en-US" w:eastAsia="zh-CN" w:bidi="ar"/>
        </w:rPr>
        <w:t>注2：“×”表示互为禁忌物品。“×”框中，除</w:t>
      </w:r>
      <w:r>
        <w:rPr>
          <w:rFonts w:hint="eastAsia" w:ascii="宋体" w:hAnsi="宋体" w:cs="宋体"/>
          <w:color w:val="000000" w:themeColor="text1"/>
          <w:kern w:val="0"/>
          <w:sz w:val="21"/>
          <w:szCs w:val="21"/>
          <w:highlight w:val="none"/>
          <w:lang w:bidi="ar"/>
        </w:rPr>
        <w:t>GB15603-2022</w:t>
      </w:r>
      <w:r>
        <w:rPr>
          <w:rFonts w:hint="eastAsia" w:ascii="宋体" w:hAnsi="宋体" w:cs="宋体"/>
          <w:color w:val="000000" w:themeColor="text1"/>
          <w:kern w:val="0"/>
          <w:sz w:val="21"/>
          <w:szCs w:val="21"/>
          <w:highlight w:val="none"/>
          <w:lang w:eastAsia="zh-CN" w:bidi="ar"/>
        </w:rPr>
        <w:t>第</w:t>
      </w:r>
      <w:r>
        <w:rPr>
          <w:rFonts w:hint="eastAsia" w:ascii="宋体" w:hAnsi="宋体" w:eastAsia="宋体" w:cs="宋体"/>
          <w:color w:val="000000" w:themeColor="text1"/>
          <w:kern w:val="0"/>
          <w:sz w:val="21"/>
          <w:szCs w:val="21"/>
          <w:highlight w:val="none"/>
          <w:lang w:val="en-US" w:eastAsia="zh-CN" w:bidi="ar"/>
        </w:rPr>
        <w:t>5.9</w:t>
      </w:r>
      <w:r>
        <w:rPr>
          <w:rFonts w:hint="eastAsia" w:ascii="宋体" w:hAnsi="宋体" w:cs="宋体"/>
          <w:color w:val="000000" w:themeColor="text1"/>
          <w:kern w:val="0"/>
          <w:sz w:val="21"/>
          <w:szCs w:val="21"/>
          <w:highlight w:val="none"/>
          <w:lang w:val="en-US" w:eastAsia="zh-CN" w:bidi="ar"/>
        </w:rPr>
        <w:t>条</w:t>
      </w:r>
      <w:r>
        <w:rPr>
          <w:rFonts w:hint="eastAsia" w:ascii="宋体" w:hAnsi="宋体" w:eastAsia="宋体" w:cs="宋体"/>
          <w:color w:val="000000" w:themeColor="text1"/>
          <w:kern w:val="0"/>
          <w:sz w:val="21"/>
          <w:szCs w:val="21"/>
          <w:highlight w:val="none"/>
          <w:lang w:val="en-US" w:eastAsia="zh-CN" w:bidi="ar"/>
        </w:rPr>
        <w:t>规定外，应隔开储存。</w:t>
      </w:r>
    </w:p>
    <w:p w14:paraId="57ACE5E8">
      <w:pPr>
        <w:keepNext w:val="0"/>
        <w:keepLines w:val="0"/>
        <w:widowControl w:val="0"/>
        <w:suppressLineNumbers w:val="0"/>
        <w:adjustRightInd w:val="0"/>
        <w:snapToGrid w:val="0"/>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val="en-US" w:eastAsia="zh-CN" w:bidi="ar"/>
        </w:rPr>
        <w:t>注</w:t>
      </w:r>
      <w:r>
        <w:rPr>
          <w:rFonts w:hint="eastAsia" w:ascii="宋体" w:hAnsi="宋体" w:cs="宋体"/>
          <w:color w:val="000000" w:themeColor="text1"/>
          <w:kern w:val="0"/>
          <w:sz w:val="21"/>
          <w:szCs w:val="21"/>
          <w:highlight w:val="none"/>
          <w:lang w:val="en-US" w:eastAsia="zh-CN" w:bidi="ar"/>
        </w:rPr>
        <w:t>3</w:t>
      </w:r>
      <w:r>
        <w:rPr>
          <w:rFonts w:hint="eastAsia" w:ascii="宋体" w:hAnsi="宋体" w:eastAsia="宋体" w:cs="宋体"/>
          <w:color w:val="000000" w:themeColor="text1"/>
          <w:kern w:val="0"/>
          <w:sz w:val="21"/>
          <w:szCs w:val="21"/>
          <w:highlight w:val="none"/>
          <w:lang w:val="en-US" w:eastAsia="zh-CN" w:bidi="ar"/>
        </w:rPr>
        <w:t>：“分”框中，堆垛与堆垛之间应留有2m以上的距离。</w:t>
      </w:r>
    </w:p>
    <w:p w14:paraId="0409E4C3">
      <w:pPr>
        <w:keepNext w:val="0"/>
        <w:keepLines w:val="0"/>
        <w:widowControl w:val="0"/>
        <w:suppressLineNumbers w:val="0"/>
        <w:adjustRightInd w:val="0"/>
        <w:snapToGrid w:val="0"/>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val="en-US" w:eastAsia="zh-CN" w:bidi="ar"/>
        </w:rPr>
        <w:t>注</w:t>
      </w:r>
      <w:r>
        <w:rPr>
          <w:rFonts w:hint="eastAsia" w:ascii="宋体" w:hAnsi="宋体" w:cs="宋体"/>
          <w:color w:val="000000" w:themeColor="text1"/>
          <w:kern w:val="0"/>
          <w:sz w:val="21"/>
          <w:szCs w:val="21"/>
          <w:highlight w:val="none"/>
          <w:lang w:val="en-US" w:eastAsia="zh-CN" w:bidi="ar"/>
        </w:rPr>
        <w:t>4</w:t>
      </w:r>
      <w:r>
        <w:rPr>
          <w:rFonts w:hint="eastAsia" w:ascii="宋体" w:hAnsi="宋体" w:eastAsia="宋体" w:cs="宋体"/>
          <w:color w:val="000000" w:themeColor="text1"/>
          <w:kern w:val="0"/>
          <w:sz w:val="21"/>
          <w:szCs w:val="21"/>
          <w:highlight w:val="none"/>
          <w:lang w:val="en-US" w:eastAsia="zh-CN" w:bidi="ar"/>
        </w:rPr>
        <w:t>：“消”框中，禁忌物应隔开储存。</w:t>
      </w:r>
    </w:p>
    <w:p w14:paraId="6562A6FF">
      <w:pPr>
        <w:keepNext w:val="0"/>
        <w:keepLines w:val="0"/>
        <w:widowControl w:val="0"/>
        <w:suppressLineNumbers w:val="0"/>
        <w:adjustRightInd w:val="0"/>
        <w:snapToGrid w:val="0"/>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val="en-US" w:eastAsia="zh-CN" w:bidi="ar"/>
        </w:rPr>
        <w:t>注</w:t>
      </w:r>
      <w:r>
        <w:rPr>
          <w:rFonts w:hint="eastAsia" w:ascii="宋体" w:hAnsi="宋体" w:cs="宋体"/>
          <w:color w:val="000000" w:themeColor="text1"/>
          <w:kern w:val="0"/>
          <w:sz w:val="21"/>
          <w:szCs w:val="21"/>
          <w:highlight w:val="none"/>
          <w:lang w:val="en-US" w:eastAsia="zh-CN" w:bidi="ar"/>
        </w:rPr>
        <w:t>5</w:t>
      </w:r>
      <w:r>
        <w:rPr>
          <w:rFonts w:hint="eastAsia" w:ascii="宋体" w:hAnsi="宋体" w:eastAsia="宋体" w:cs="宋体"/>
          <w:color w:val="000000" w:themeColor="text1"/>
          <w:kern w:val="0"/>
          <w:sz w:val="21"/>
          <w:szCs w:val="21"/>
          <w:highlight w:val="none"/>
          <w:lang w:val="en-US" w:eastAsia="zh-CN" w:bidi="ar"/>
        </w:rPr>
        <w:t>：当危险化学品具有两种以上危险性时，按照最严格的禁配要求进行配存。</w:t>
      </w:r>
    </w:p>
    <w:p w14:paraId="53AA7B38">
      <w:pPr>
        <w:keepNext w:val="0"/>
        <w:keepLines w:val="0"/>
        <w:widowControl w:val="0"/>
        <w:suppressLineNumbers w:val="0"/>
        <w:adjustRightInd w:val="0"/>
        <w:snapToGrid w:val="0"/>
        <w:jc w:val="left"/>
        <w:rPr>
          <w:rFonts w:hint="eastAsia" w:ascii="宋体" w:hAnsi="宋体" w:eastAsia="宋体" w:cs="宋体"/>
          <w:color w:val="000000" w:themeColor="text1"/>
          <w:kern w:val="0"/>
          <w:sz w:val="21"/>
          <w:szCs w:val="21"/>
          <w:highlight w:val="none"/>
          <w:lang w:val="en-US" w:eastAsia="zh-CN" w:bidi="ar"/>
        </w:rPr>
      </w:pPr>
      <w:r>
        <w:rPr>
          <w:rFonts w:hint="eastAsia" w:ascii="宋体" w:hAnsi="宋体" w:eastAsia="宋体" w:cs="宋体"/>
          <w:color w:val="000000" w:themeColor="text1"/>
          <w:kern w:val="0"/>
          <w:sz w:val="21"/>
          <w:szCs w:val="21"/>
          <w:highlight w:val="none"/>
          <w:lang w:val="en-US" w:eastAsia="zh-CN" w:bidi="ar"/>
        </w:rPr>
        <w:t>注</w:t>
      </w:r>
      <w:r>
        <w:rPr>
          <w:rFonts w:hint="eastAsia" w:cs="宋体"/>
          <w:color w:val="000000" w:themeColor="text1"/>
          <w:kern w:val="0"/>
          <w:sz w:val="21"/>
          <w:szCs w:val="21"/>
          <w:highlight w:val="none"/>
          <w:lang w:val="en-US" w:eastAsia="zh-CN" w:bidi="ar"/>
        </w:rPr>
        <w:t>6</w:t>
      </w:r>
      <w:r>
        <w:rPr>
          <w:rFonts w:hint="eastAsia" w:ascii="宋体" w:hAnsi="宋体" w:eastAsia="宋体" w:cs="宋体"/>
          <w:color w:val="000000" w:themeColor="text1"/>
          <w:kern w:val="0"/>
          <w:sz w:val="21"/>
          <w:szCs w:val="21"/>
          <w:highlight w:val="none"/>
          <w:lang w:val="en-US" w:eastAsia="zh-CN" w:bidi="ar"/>
        </w:rPr>
        <w:t>：表中未涉及的健康危害和环境危害类别，具体配存要求参见其化学品安全技术说明书。</w:t>
      </w:r>
    </w:p>
    <w:p w14:paraId="41A35DBD">
      <w:pPr>
        <w:keepNext w:val="0"/>
        <w:keepLines w:val="0"/>
        <w:pageBreakBefore w:val="0"/>
        <w:widowControl w:val="0"/>
        <w:suppressLineNumbers w:val="0"/>
        <w:kinsoku/>
        <w:wordWrap/>
        <w:overflowPunct/>
        <w:topLinePunct w:val="0"/>
        <w:autoSpaceDE/>
        <w:autoSpaceDN/>
        <w:bidi w:val="0"/>
        <w:adjustRightInd w:val="0"/>
        <w:snapToGrid w:val="0"/>
        <w:spacing w:after="313" w:afterLines="100"/>
        <w:jc w:val="left"/>
        <w:textAlignment w:val="auto"/>
        <w:rPr>
          <w:rFonts w:hint="eastAsia" w:ascii="宋体" w:hAnsi="宋体" w:eastAsia="宋体" w:cs="宋体"/>
          <w:color w:val="000000" w:themeColor="text1"/>
          <w:kern w:val="0"/>
          <w:sz w:val="21"/>
          <w:szCs w:val="21"/>
          <w:highlight w:val="none"/>
          <w:lang w:val="en-US" w:eastAsia="zh-CN" w:bidi="ar"/>
        </w:rPr>
      </w:pPr>
      <w:r>
        <w:rPr>
          <w:rFonts w:hint="eastAsia" w:ascii="宋体" w:hAnsi="宋体" w:cs="宋体"/>
          <w:color w:val="000000" w:themeColor="text1"/>
          <w:kern w:val="0"/>
          <w:sz w:val="21"/>
          <w:szCs w:val="21"/>
          <w:highlight w:val="none"/>
          <w:lang w:bidi="ar"/>
        </w:rPr>
        <w:t>注</w:t>
      </w:r>
      <w:r>
        <w:rPr>
          <w:rFonts w:hint="eastAsia" w:cs="宋体"/>
          <w:color w:val="000000" w:themeColor="text1"/>
          <w:kern w:val="0"/>
          <w:sz w:val="21"/>
          <w:szCs w:val="21"/>
          <w:highlight w:val="none"/>
          <w:lang w:val="en-US" w:eastAsia="zh-CN" w:bidi="ar"/>
        </w:rPr>
        <w:t>7</w:t>
      </w:r>
      <w:r>
        <w:rPr>
          <w:rFonts w:hint="eastAsia" w:ascii="宋体" w:hAnsi="宋体" w:cs="宋体"/>
          <w:color w:val="000000" w:themeColor="text1"/>
          <w:kern w:val="0"/>
          <w:sz w:val="21"/>
          <w:szCs w:val="21"/>
          <w:highlight w:val="none"/>
          <w:lang w:bidi="ar"/>
        </w:rPr>
        <w:t>：“/”表示</w:t>
      </w:r>
      <w:r>
        <w:rPr>
          <w:rFonts w:hint="eastAsia" w:ascii="宋体" w:hAnsi="宋体" w:cs="宋体"/>
          <w:color w:val="000000" w:themeColor="text1"/>
          <w:kern w:val="0"/>
          <w:sz w:val="21"/>
          <w:szCs w:val="21"/>
          <w:highlight w:val="none"/>
          <w:lang w:eastAsia="zh-CN" w:bidi="ar"/>
        </w:rPr>
        <w:t>同物质或重复数据</w:t>
      </w:r>
      <w:r>
        <w:rPr>
          <w:rFonts w:hint="eastAsia" w:ascii="宋体" w:hAnsi="宋体" w:cs="宋体"/>
          <w:color w:val="000000" w:themeColor="text1"/>
          <w:kern w:val="0"/>
          <w:sz w:val="21"/>
          <w:szCs w:val="21"/>
          <w:highlight w:val="none"/>
          <w:lang w:bidi="ar"/>
        </w:rPr>
        <w:t>。</w:t>
      </w:r>
    </w:p>
    <w:bookmarkEnd w:id="545"/>
    <w:p w14:paraId="617B371F">
      <w:pPr>
        <w:widowControl w:val="0"/>
        <w:adjustRightInd w:val="0"/>
        <w:snapToGrid w:val="0"/>
        <w:spacing w:beforeLines="0" w:afterLines="0" w:line="360" w:lineRule="auto"/>
        <w:jc w:val="left"/>
        <w:outlineLvl w:val="2"/>
        <w:rPr>
          <w:rFonts w:hint="eastAsia" w:ascii="黑体" w:hAnsi="黑体" w:eastAsia="黑体" w:cs="黑体"/>
          <w:b/>
          <w:bCs/>
          <w:color w:val="000000" w:themeColor="text1"/>
          <w:kern w:val="0"/>
          <w:sz w:val="28"/>
          <w:szCs w:val="28"/>
          <w:highlight w:val="none"/>
          <w:lang w:val="en-GB"/>
        </w:rPr>
      </w:pPr>
      <w:bookmarkStart w:id="588" w:name="_Toc10528"/>
      <w:bookmarkStart w:id="589" w:name="_Toc27961"/>
      <w:bookmarkStart w:id="590" w:name="_Toc9789"/>
      <w:bookmarkStart w:id="591" w:name="_Toc9860"/>
      <w:bookmarkStart w:id="592" w:name="_Toc27333"/>
      <w:bookmarkStart w:id="593" w:name="_Toc516861692"/>
      <w:bookmarkStart w:id="594" w:name="_Toc3210"/>
      <w:bookmarkStart w:id="595" w:name="_Toc19389"/>
      <w:bookmarkStart w:id="596" w:name="_Toc14125"/>
      <w:bookmarkStart w:id="597" w:name="_Toc20300"/>
      <w:bookmarkStart w:id="598" w:name="_Toc4582"/>
      <w:bookmarkStart w:id="599" w:name="_Toc11660"/>
      <w:bookmarkStart w:id="600" w:name="_Toc17855"/>
      <w:bookmarkStart w:id="601" w:name="_Toc9150"/>
      <w:r>
        <w:rPr>
          <w:rFonts w:hint="eastAsia" w:ascii="黑体" w:hAnsi="黑体" w:eastAsia="黑体" w:cs="黑体"/>
          <w:b/>
          <w:bCs/>
          <w:color w:val="000000" w:themeColor="text1"/>
          <w:kern w:val="0"/>
          <w:sz w:val="28"/>
          <w:szCs w:val="28"/>
          <w:highlight w:val="none"/>
          <w:lang w:val="en-US" w:eastAsia="zh-CN"/>
        </w:rPr>
        <w:t>3.2.4</w:t>
      </w:r>
      <w:r>
        <w:rPr>
          <w:rFonts w:hint="eastAsia" w:ascii="黑体" w:hAnsi="黑体" w:eastAsia="黑体" w:cs="黑体"/>
          <w:b/>
          <w:bCs/>
          <w:color w:val="000000" w:themeColor="text1"/>
          <w:kern w:val="0"/>
          <w:sz w:val="28"/>
          <w:szCs w:val="28"/>
          <w:highlight w:val="none"/>
          <w:lang w:val="en-GB"/>
        </w:rPr>
        <w:t>危险化学品搬运过程危险、有害因素分析</w:t>
      </w:r>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p>
    <w:p w14:paraId="3059C770">
      <w:pPr>
        <w:keepNext w:val="0"/>
        <w:keepLines w:val="0"/>
        <w:pageBreakBefore w:val="0"/>
        <w:widowControl w:val="0"/>
        <w:tabs>
          <w:tab w:val="left" w:pos="3150"/>
          <w:tab w:val="left" w:pos="5940"/>
        </w:tabs>
        <w:kinsoku/>
        <w:wordWrap/>
        <w:overflowPunct/>
        <w:topLinePunct w:val="0"/>
        <w:autoSpaceDE/>
        <w:autoSpaceDN/>
        <w:bidi w:val="0"/>
        <w:adjustRightInd w:val="0"/>
        <w:snapToGrid w:val="0"/>
        <w:spacing w:beforeLines="0" w:afterLines="0" w:line="360" w:lineRule="auto"/>
        <w:ind w:firstLine="560" w:firstLineChars="200"/>
        <w:textAlignment w:val="auto"/>
        <w:rPr>
          <w:rFonts w:hint="eastAsia" w:ascii="宋体" w:hAnsi="宋体" w:cs="宋体"/>
          <w:color w:val="000000" w:themeColor="text1"/>
          <w:kern w:val="0"/>
          <w:sz w:val="28"/>
          <w:szCs w:val="28"/>
          <w:highlight w:val="none"/>
        </w:rPr>
      </w:pPr>
      <w:r>
        <w:rPr>
          <w:rFonts w:hint="eastAsia" w:ascii="宋体" w:hAnsi="宋体" w:cs="宋体"/>
          <w:color w:val="000000" w:themeColor="text1"/>
          <w:kern w:val="0"/>
          <w:sz w:val="28"/>
          <w:szCs w:val="28"/>
          <w:highlight w:val="none"/>
        </w:rPr>
        <w:t>采用</w:t>
      </w:r>
      <w:r>
        <w:rPr>
          <w:rFonts w:hint="eastAsia" w:cs="宋体"/>
          <w:color w:val="000000" w:themeColor="text1"/>
          <w:kern w:val="0"/>
          <w:sz w:val="28"/>
          <w:szCs w:val="28"/>
          <w:highlight w:val="none"/>
          <w:lang w:eastAsia="zh-CN"/>
        </w:rPr>
        <w:t>小推车</w:t>
      </w:r>
      <w:r>
        <w:rPr>
          <w:rFonts w:hint="eastAsia" w:ascii="宋体" w:hAnsi="宋体" w:cs="宋体"/>
          <w:color w:val="000000" w:themeColor="text1"/>
          <w:kern w:val="0"/>
          <w:sz w:val="28"/>
          <w:szCs w:val="28"/>
          <w:highlight w:val="none"/>
        </w:rPr>
        <w:t>搬运危化品过程中，</w:t>
      </w:r>
      <w:r>
        <w:rPr>
          <w:rFonts w:hint="eastAsia" w:cs="宋体"/>
          <w:color w:val="000000" w:themeColor="text1"/>
          <w:kern w:val="0"/>
          <w:sz w:val="28"/>
          <w:szCs w:val="28"/>
          <w:highlight w:val="none"/>
          <w:lang w:eastAsia="zh-CN"/>
        </w:rPr>
        <w:t>小推车护栏缺失、私自改变搬运路线等</w:t>
      </w:r>
      <w:r>
        <w:rPr>
          <w:rFonts w:hint="eastAsia" w:ascii="宋体" w:hAnsi="宋体" w:cs="宋体"/>
          <w:color w:val="000000" w:themeColor="text1"/>
          <w:kern w:val="0"/>
          <w:sz w:val="28"/>
          <w:szCs w:val="28"/>
          <w:highlight w:val="none"/>
        </w:rPr>
        <w:t>可能</w:t>
      </w:r>
      <w:r>
        <w:rPr>
          <w:rFonts w:hint="eastAsia" w:cs="宋体"/>
          <w:color w:val="000000" w:themeColor="text1"/>
          <w:kern w:val="0"/>
          <w:sz w:val="28"/>
          <w:szCs w:val="28"/>
          <w:highlight w:val="none"/>
          <w:lang w:eastAsia="zh-CN"/>
        </w:rPr>
        <w:t>导致</w:t>
      </w:r>
      <w:r>
        <w:rPr>
          <w:rFonts w:hint="eastAsia" w:ascii="宋体" w:hAnsi="宋体" w:cs="宋体"/>
          <w:color w:val="000000" w:themeColor="text1"/>
          <w:kern w:val="0"/>
          <w:sz w:val="28"/>
          <w:szCs w:val="28"/>
          <w:highlight w:val="none"/>
        </w:rPr>
        <w:t>发生侧翻、碰撞等，继而发生危险化学品泄漏、灼伤、火灾等事故。</w:t>
      </w:r>
    </w:p>
    <w:p w14:paraId="00769C17">
      <w:pPr>
        <w:pStyle w:val="2"/>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0" w:firstLineChars="0"/>
        <w:textAlignment w:val="auto"/>
        <w:rPr>
          <w:color w:val="000000" w:themeColor="text1"/>
          <w:highlight w:val="none"/>
        </w:rPr>
      </w:pPr>
      <w:r>
        <w:rPr>
          <w:rFonts w:hint="eastAsia" w:ascii="宋体" w:hAnsi="宋体" w:cs="宋体"/>
          <w:color w:val="000000" w:themeColor="text1"/>
          <w:kern w:val="0"/>
          <w:sz w:val="28"/>
          <w:szCs w:val="28"/>
          <w:highlight w:val="none"/>
        </w:rPr>
        <w:t>采用</w:t>
      </w:r>
      <w:r>
        <w:rPr>
          <w:rFonts w:hint="eastAsia"/>
          <w:color w:val="000000" w:themeColor="text1"/>
          <w:highlight w:val="none"/>
          <w:lang w:eastAsia="zh-CN"/>
        </w:rPr>
        <w:t>电动葫芦</w:t>
      </w:r>
      <w:r>
        <w:rPr>
          <w:rFonts w:hint="eastAsia" w:cs="宋体"/>
          <w:color w:val="000000" w:themeColor="text1"/>
          <w:kern w:val="0"/>
          <w:sz w:val="28"/>
          <w:szCs w:val="28"/>
          <w:highlight w:val="none"/>
          <w:lang w:eastAsia="zh-CN"/>
        </w:rPr>
        <w:t>起吊</w:t>
      </w:r>
      <w:r>
        <w:rPr>
          <w:rFonts w:hint="eastAsia"/>
          <w:color w:val="000000" w:themeColor="text1"/>
          <w:highlight w:val="none"/>
          <w:lang w:eastAsia="zh-CN"/>
        </w:rPr>
        <w:t>乙酸、氢氧化钠溶液</w:t>
      </w:r>
      <w:r>
        <w:rPr>
          <w:rFonts w:hint="eastAsia" w:ascii="宋体" w:hAnsi="宋体" w:cs="宋体"/>
          <w:color w:val="000000" w:themeColor="text1"/>
          <w:kern w:val="0"/>
          <w:sz w:val="28"/>
          <w:szCs w:val="28"/>
          <w:highlight w:val="none"/>
        </w:rPr>
        <w:t>过程中，</w:t>
      </w:r>
      <w:r>
        <w:rPr>
          <w:rFonts w:hint="eastAsia"/>
          <w:color w:val="000000" w:themeColor="text1"/>
          <w:highlight w:val="none"/>
          <w:lang w:eastAsia="zh-CN"/>
        </w:rPr>
        <w:t>电动葫芦</w:t>
      </w:r>
      <w:r>
        <w:rPr>
          <w:rFonts w:hint="eastAsia"/>
          <w:color w:val="000000" w:themeColor="text1"/>
          <w:highlight w:val="none"/>
        </w:rPr>
        <w:t>吊钩、钢丝绳、滑轮和滑轮组、</w:t>
      </w:r>
      <w:r>
        <w:rPr>
          <w:rFonts w:hint="eastAsia"/>
          <w:color w:val="000000" w:themeColor="text1"/>
          <w:highlight w:val="none"/>
          <w:lang w:eastAsia="zh-CN"/>
        </w:rPr>
        <w:t>卷簧</w:t>
      </w:r>
      <w:r>
        <w:rPr>
          <w:rFonts w:hint="eastAsia"/>
          <w:color w:val="000000" w:themeColor="text1"/>
          <w:highlight w:val="none"/>
        </w:rPr>
        <w:t>及制动装置等</w:t>
      </w:r>
      <w:r>
        <w:rPr>
          <w:rFonts w:hint="eastAsia"/>
          <w:color w:val="000000" w:themeColor="text1"/>
          <w:highlight w:val="none"/>
          <w:lang w:eastAsia="zh-CN"/>
        </w:rPr>
        <w:t>发生故障或操作人员违章作业，可能发生乙酸、氢氧化钠溶液泄漏，导致火灾、灼伤事故</w:t>
      </w:r>
      <w:r>
        <w:rPr>
          <w:rFonts w:hint="eastAsia"/>
          <w:color w:val="000000" w:themeColor="text1"/>
          <w:highlight w:val="none"/>
        </w:rPr>
        <w:t>。</w:t>
      </w:r>
    </w:p>
    <w:p w14:paraId="187618D0">
      <w:pPr>
        <w:keepNext w:val="0"/>
        <w:keepLines w:val="0"/>
        <w:pageBreakBefore w:val="0"/>
        <w:widowControl w:val="0"/>
        <w:kinsoku/>
        <w:wordWrap/>
        <w:overflowPunct/>
        <w:topLinePunct w:val="0"/>
        <w:autoSpaceDE/>
        <w:autoSpaceDN/>
        <w:bidi w:val="0"/>
        <w:adjustRightInd w:val="0"/>
        <w:snapToGrid w:val="0"/>
        <w:spacing w:beforeLines="0" w:afterLines="0" w:line="360" w:lineRule="auto"/>
        <w:jc w:val="left"/>
        <w:textAlignment w:val="auto"/>
        <w:outlineLvl w:val="2"/>
        <w:rPr>
          <w:rFonts w:hint="eastAsia" w:ascii="黑体" w:hAnsi="黑体" w:eastAsia="黑体" w:cs="黑体"/>
          <w:b/>
          <w:bCs/>
          <w:color w:val="000000" w:themeColor="text1"/>
          <w:kern w:val="0"/>
          <w:sz w:val="28"/>
          <w:szCs w:val="28"/>
          <w:highlight w:val="none"/>
          <w:lang w:val="en-US" w:eastAsia="zh-CN"/>
        </w:rPr>
      </w:pPr>
      <w:bookmarkStart w:id="602" w:name="_Toc26454"/>
      <w:bookmarkStart w:id="603" w:name="_Toc4701"/>
      <w:bookmarkStart w:id="604" w:name="_Toc16195"/>
      <w:bookmarkStart w:id="605" w:name="_Toc30892"/>
      <w:bookmarkStart w:id="606" w:name="_Toc8610"/>
      <w:bookmarkStart w:id="607" w:name="_Toc1950"/>
      <w:r>
        <w:rPr>
          <w:rFonts w:hint="eastAsia" w:ascii="黑体" w:hAnsi="黑体" w:eastAsia="黑体" w:cs="黑体"/>
          <w:b/>
          <w:bCs/>
          <w:color w:val="000000" w:themeColor="text1"/>
          <w:kern w:val="0"/>
          <w:sz w:val="28"/>
          <w:szCs w:val="28"/>
          <w:highlight w:val="none"/>
          <w:lang w:val="en-US" w:eastAsia="zh-CN"/>
        </w:rPr>
        <w:t>3.2.5</w:t>
      </w:r>
      <w:r>
        <w:rPr>
          <w:rFonts w:hint="eastAsia" w:ascii="黑体" w:hAnsi="黑体" w:eastAsia="黑体" w:cs="黑体"/>
          <w:b/>
          <w:bCs/>
          <w:color w:val="000000" w:themeColor="text1"/>
          <w:kern w:val="0"/>
          <w:sz w:val="28"/>
          <w:szCs w:val="28"/>
          <w:highlight w:val="none"/>
          <w:lang w:val="en-GB" w:eastAsia="zh-CN"/>
        </w:rPr>
        <w:t>危险化学品</w:t>
      </w:r>
      <w:r>
        <w:rPr>
          <w:rFonts w:hint="eastAsia" w:ascii="黑体" w:hAnsi="黑体" w:eastAsia="黑体" w:cs="黑体"/>
          <w:b/>
          <w:bCs/>
          <w:color w:val="000000" w:themeColor="text1"/>
          <w:kern w:val="0"/>
          <w:sz w:val="28"/>
          <w:szCs w:val="28"/>
          <w:highlight w:val="none"/>
          <w:lang w:val="en-US" w:eastAsia="zh-CN"/>
        </w:rPr>
        <w:t>使用过程的危险、有害因素辨识</w:t>
      </w:r>
      <w:bookmarkEnd w:id="602"/>
      <w:bookmarkEnd w:id="603"/>
      <w:bookmarkEnd w:id="604"/>
      <w:bookmarkEnd w:id="605"/>
      <w:bookmarkEnd w:id="606"/>
      <w:bookmarkEnd w:id="607"/>
    </w:p>
    <w:p w14:paraId="6D0E5192">
      <w:pPr>
        <w:keepNext w:val="0"/>
        <w:keepLines w:val="0"/>
        <w:pageBreakBefore w:val="0"/>
        <w:widowControl w:val="0"/>
        <w:numPr>
          <w:ilvl w:val="0"/>
          <w:numId w:val="37"/>
        </w:numPr>
        <w:kinsoku/>
        <w:wordWrap/>
        <w:overflowPunct/>
        <w:topLinePunct w:val="0"/>
        <w:autoSpaceDE/>
        <w:autoSpaceDN/>
        <w:bidi w:val="0"/>
        <w:adjustRightInd w:val="0"/>
        <w:snapToGrid w:val="0"/>
        <w:spacing w:line="360" w:lineRule="auto"/>
        <w:ind w:left="0" w:leftChars="0" w:firstLine="560" w:firstLineChars="200"/>
        <w:textAlignment w:val="auto"/>
        <w:outlineLvl w:val="9"/>
        <w:rPr>
          <w:rFonts w:hAnsi="黑体"/>
          <w:color w:val="000000" w:themeColor="text1"/>
          <w:sz w:val="28"/>
          <w:szCs w:val="28"/>
          <w:highlight w:val="none"/>
        </w:rPr>
      </w:pPr>
      <w:r>
        <w:rPr>
          <w:rFonts w:hint="eastAsia" w:hAnsi="黑体"/>
          <w:color w:val="000000" w:themeColor="text1"/>
          <w:sz w:val="28"/>
          <w:szCs w:val="28"/>
          <w:highlight w:val="none"/>
        </w:rPr>
        <w:t>染色过程的危险、有害因素辨识</w:t>
      </w:r>
    </w:p>
    <w:p w14:paraId="3436690B">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Ansi="Courier New"/>
          <w:color w:val="000000" w:themeColor="text1"/>
          <w:sz w:val="28"/>
          <w:szCs w:val="28"/>
          <w:highlight w:val="none"/>
        </w:rPr>
      </w:pPr>
      <w:r>
        <w:rPr>
          <w:rFonts w:hint="eastAsia" w:hAnsi="Courier New"/>
          <w:color w:val="000000" w:themeColor="text1"/>
          <w:sz w:val="28"/>
          <w:szCs w:val="28"/>
          <w:highlight w:val="none"/>
        </w:rPr>
        <w:t>染色过程中，往</w:t>
      </w:r>
      <w:r>
        <w:rPr>
          <w:rFonts w:hint="eastAsia" w:hAnsi="Courier New"/>
          <w:color w:val="000000" w:themeColor="text1"/>
          <w:sz w:val="28"/>
          <w:szCs w:val="28"/>
          <w:highlight w:val="none"/>
          <w:lang w:eastAsia="zh-CN"/>
        </w:rPr>
        <w:t>化料缸</w:t>
      </w:r>
      <w:r>
        <w:rPr>
          <w:rFonts w:hint="eastAsia" w:hAnsi="Courier New"/>
          <w:color w:val="000000" w:themeColor="text1"/>
          <w:sz w:val="28"/>
          <w:szCs w:val="28"/>
          <w:highlight w:val="none"/>
        </w:rPr>
        <w:t>内倒入</w:t>
      </w:r>
      <w:r>
        <w:rPr>
          <w:rFonts w:hint="eastAsia"/>
          <w:color w:val="000000" w:themeColor="text1"/>
          <w:sz w:val="28"/>
          <w:szCs w:val="28"/>
          <w:highlight w:val="none"/>
          <w:lang w:eastAsia="zh-CN"/>
        </w:rPr>
        <w:t>乙酸</w:t>
      </w:r>
      <w:r>
        <w:rPr>
          <w:rFonts w:hint="eastAsia" w:hAnsi="Courier New"/>
          <w:color w:val="000000" w:themeColor="text1"/>
          <w:sz w:val="28"/>
          <w:szCs w:val="28"/>
          <w:highlight w:val="none"/>
        </w:rPr>
        <w:t>、</w:t>
      </w:r>
      <w:r>
        <w:rPr>
          <w:rFonts w:hint="eastAsia" w:hAnsi="Courier New"/>
          <w:color w:val="000000" w:themeColor="text1"/>
          <w:sz w:val="28"/>
          <w:szCs w:val="28"/>
          <w:highlight w:val="none"/>
          <w:lang w:eastAsia="zh-CN"/>
        </w:rPr>
        <w:t>过碳酸钠</w:t>
      </w:r>
      <w:r>
        <w:rPr>
          <w:rFonts w:hint="eastAsia" w:hAnsi="Courier New"/>
          <w:color w:val="000000" w:themeColor="text1"/>
          <w:sz w:val="28"/>
          <w:szCs w:val="28"/>
          <w:highlight w:val="none"/>
        </w:rPr>
        <w:t>、液碱或保险粉等操作时，包装桶破损、脱手、桶盖脱落等造成以上危险化学品泄漏</w:t>
      </w:r>
      <w:r>
        <w:rPr>
          <w:rFonts w:hint="eastAsia"/>
          <w:color w:val="000000" w:themeColor="text1"/>
          <w:sz w:val="28"/>
          <w:szCs w:val="28"/>
          <w:highlight w:val="none"/>
        </w:rPr>
        <w:t>。</w:t>
      </w:r>
      <w:r>
        <w:rPr>
          <w:rFonts w:hint="eastAsia" w:hAnsi="Courier New"/>
          <w:color w:val="000000" w:themeColor="text1"/>
          <w:sz w:val="28"/>
          <w:szCs w:val="28"/>
          <w:highlight w:val="none"/>
        </w:rPr>
        <w:t>均易造成人员灼伤、火灾事故。</w:t>
      </w:r>
    </w:p>
    <w:p w14:paraId="4347737F">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Ansi="Courier New"/>
          <w:color w:val="000000" w:themeColor="text1"/>
          <w:sz w:val="28"/>
          <w:szCs w:val="28"/>
          <w:highlight w:val="none"/>
        </w:rPr>
      </w:pPr>
      <w:r>
        <w:rPr>
          <w:rFonts w:hint="eastAsia"/>
          <w:color w:val="000000" w:themeColor="text1"/>
          <w:sz w:val="28"/>
          <w:szCs w:val="28"/>
          <w:highlight w:val="none"/>
          <w:lang w:eastAsia="zh-CN"/>
        </w:rPr>
        <w:t>乙酸</w:t>
      </w:r>
      <w:r>
        <w:rPr>
          <w:rFonts w:hint="eastAsia" w:hAnsi="Courier New"/>
          <w:color w:val="000000" w:themeColor="text1"/>
          <w:sz w:val="28"/>
          <w:szCs w:val="28"/>
          <w:highlight w:val="none"/>
        </w:rPr>
        <w:t>、</w:t>
      </w:r>
      <w:r>
        <w:rPr>
          <w:rFonts w:hint="eastAsia" w:hAnsi="Courier New"/>
          <w:color w:val="000000" w:themeColor="text1"/>
          <w:sz w:val="28"/>
          <w:szCs w:val="28"/>
          <w:highlight w:val="none"/>
          <w:lang w:eastAsia="zh-CN"/>
        </w:rPr>
        <w:t>过碳酸钠</w:t>
      </w:r>
      <w:r>
        <w:rPr>
          <w:rFonts w:hint="eastAsia" w:hAnsi="Courier New"/>
          <w:color w:val="000000" w:themeColor="text1"/>
          <w:sz w:val="28"/>
          <w:szCs w:val="28"/>
          <w:highlight w:val="none"/>
        </w:rPr>
        <w:t>、液碱或保险粉其中两种或多种相互混合可能会燃烧甚至爆炸。比如保险粉与</w:t>
      </w:r>
      <w:r>
        <w:rPr>
          <w:rFonts w:hint="eastAsia" w:hAnsi="Courier New"/>
          <w:color w:val="000000" w:themeColor="text1"/>
          <w:sz w:val="28"/>
          <w:szCs w:val="28"/>
          <w:highlight w:val="none"/>
          <w:lang w:eastAsia="zh-CN"/>
        </w:rPr>
        <w:t>过碳酸钠</w:t>
      </w:r>
      <w:r>
        <w:rPr>
          <w:rFonts w:hint="eastAsia" w:hAnsi="Courier New"/>
          <w:color w:val="000000" w:themeColor="text1"/>
          <w:sz w:val="28"/>
          <w:szCs w:val="28"/>
          <w:highlight w:val="none"/>
        </w:rPr>
        <w:t>混合，</w:t>
      </w:r>
      <w:r>
        <w:rPr>
          <w:rFonts w:hint="eastAsia"/>
          <w:color w:val="000000" w:themeColor="text1"/>
          <w:sz w:val="28"/>
          <w:szCs w:val="28"/>
          <w:highlight w:val="none"/>
          <w:lang w:eastAsia="zh-CN"/>
        </w:rPr>
        <w:t>乙酸</w:t>
      </w:r>
      <w:r>
        <w:rPr>
          <w:rFonts w:hint="eastAsia" w:hAnsi="Courier New"/>
          <w:color w:val="000000" w:themeColor="text1"/>
          <w:sz w:val="28"/>
          <w:szCs w:val="28"/>
          <w:highlight w:val="none"/>
        </w:rPr>
        <w:t>与</w:t>
      </w:r>
      <w:r>
        <w:rPr>
          <w:rFonts w:hint="eastAsia" w:hAnsi="Courier New"/>
          <w:color w:val="000000" w:themeColor="text1"/>
          <w:sz w:val="28"/>
          <w:szCs w:val="28"/>
          <w:highlight w:val="none"/>
          <w:lang w:eastAsia="zh-CN"/>
        </w:rPr>
        <w:t>过碳酸钠</w:t>
      </w:r>
      <w:r>
        <w:rPr>
          <w:rFonts w:hint="eastAsia" w:hAnsi="Courier New"/>
          <w:color w:val="000000" w:themeColor="text1"/>
          <w:sz w:val="28"/>
          <w:szCs w:val="28"/>
          <w:highlight w:val="none"/>
        </w:rPr>
        <w:t>混合，</w:t>
      </w:r>
      <w:r>
        <w:rPr>
          <w:rFonts w:hint="eastAsia"/>
          <w:color w:val="000000" w:themeColor="text1"/>
          <w:sz w:val="28"/>
          <w:szCs w:val="28"/>
          <w:highlight w:val="none"/>
          <w:lang w:eastAsia="zh-CN"/>
        </w:rPr>
        <w:t>乙酸</w:t>
      </w:r>
      <w:r>
        <w:rPr>
          <w:rFonts w:hint="eastAsia" w:hAnsi="Courier New"/>
          <w:color w:val="000000" w:themeColor="text1"/>
          <w:sz w:val="28"/>
          <w:szCs w:val="28"/>
          <w:highlight w:val="none"/>
        </w:rPr>
        <w:t>与液碱混合这几种情况均有可能会发生燃烧甚至爆炸事故。使用现场一旦发生泄漏或误操作，均有可能会发生燃烧甚至爆炸事故。</w:t>
      </w:r>
    </w:p>
    <w:p w14:paraId="446162E9">
      <w:pPr>
        <w:keepNext w:val="0"/>
        <w:keepLines w:val="0"/>
        <w:pageBreakBefore w:val="0"/>
        <w:widowControl w:val="0"/>
        <w:numPr>
          <w:ilvl w:val="0"/>
          <w:numId w:val="37"/>
        </w:numPr>
        <w:kinsoku/>
        <w:wordWrap/>
        <w:overflowPunct/>
        <w:topLinePunct w:val="0"/>
        <w:autoSpaceDE/>
        <w:autoSpaceDN/>
        <w:bidi w:val="0"/>
        <w:adjustRightInd w:val="0"/>
        <w:snapToGrid w:val="0"/>
        <w:spacing w:line="360" w:lineRule="auto"/>
        <w:ind w:left="0" w:leftChars="0" w:firstLine="560" w:firstLineChars="200"/>
        <w:textAlignment w:val="auto"/>
        <w:outlineLvl w:val="9"/>
        <w:rPr>
          <w:rFonts w:hint="eastAsia" w:ascii="宋体" w:hAnsi="黑体" w:eastAsia="宋体" w:cs="宋体"/>
          <w:color w:val="000000" w:themeColor="text1"/>
          <w:sz w:val="28"/>
          <w:szCs w:val="28"/>
          <w:highlight w:val="none"/>
        </w:rPr>
      </w:pPr>
      <w:bookmarkStart w:id="608" w:name="_Toc42584350"/>
      <w:r>
        <w:rPr>
          <w:rFonts w:hint="eastAsia" w:ascii="宋体" w:hAnsi="黑体" w:eastAsia="宋体" w:cs="宋体"/>
          <w:color w:val="000000" w:themeColor="text1"/>
          <w:sz w:val="28"/>
          <w:szCs w:val="28"/>
          <w:highlight w:val="none"/>
        </w:rPr>
        <w:t>废水处理过程危险、有害因素辨识</w:t>
      </w:r>
      <w:bookmarkEnd w:id="608"/>
    </w:p>
    <w:p w14:paraId="74959FEB">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hAnsi="Courier New"/>
          <w:color w:val="000000" w:themeColor="text1"/>
          <w:sz w:val="28"/>
          <w:szCs w:val="28"/>
          <w:highlight w:val="none"/>
        </w:rPr>
      </w:pPr>
      <w:r>
        <w:rPr>
          <w:rFonts w:hint="eastAsia" w:hAnsi="Courier New"/>
          <w:color w:val="000000" w:themeColor="text1"/>
          <w:sz w:val="28"/>
          <w:szCs w:val="28"/>
          <w:highlight w:val="none"/>
        </w:rPr>
        <w:t>废水处理过程中，</w:t>
      </w:r>
      <w:r>
        <w:rPr>
          <w:rFonts w:hint="eastAsia" w:hAnsi="Courier New"/>
          <w:color w:val="000000" w:themeColor="text1"/>
          <w:sz w:val="28"/>
          <w:szCs w:val="28"/>
          <w:highlight w:val="none"/>
          <w:lang w:eastAsia="zh-CN"/>
        </w:rPr>
        <w:t>往配料罐内</w:t>
      </w:r>
      <w:r>
        <w:rPr>
          <w:rFonts w:hint="eastAsia" w:hAnsi="Courier New"/>
          <w:color w:val="000000" w:themeColor="text1"/>
          <w:sz w:val="28"/>
          <w:szCs w:val="28"/>
          <w:highlight w:val="none"/>
        </w:rPr>
        <w:t>倒入</w:t>
      </w:r>
      <w:r>
        <w:rPr>
          <w:rFonts w:hint="eastAsia" w:hAnsi="Courier New"/>
          <w:color w:val="000000" w:themeColor="text1"/>
          <w:sz w:val="28"/>
          <w:szCs w:val="28"/>
          <w:highlight w:val="none"/>
          <w:lang w:eastAsia="zh-CN"/>
        </w:rPr>
        <w:t>次氯酸钠溶液</w:t>
      </w:r>
      <w:r>
        <w:rPr>
          <w:rFonts w:hint="eastAsia" w:hAnsi="Courier New"/>
          <w:color w:val="000000" w:themeColor="text1"/>
          <w:sz w:val="28"/>
          <w:szCs w:val="28"/>
          <w:highlight w:val="none"/>
        </w:rPr>
        <w:t>等操作时，</w:t>
      </w:r>
      <w:r>
        <w:rPr>
          <w:rFonts w:hint="eastAsia" w:hAnsi="Courier New"/>
          <w:color w:val="000000" w:themeColor="text1"/>
          <w:sz w:val="28"/>
          <w:szCs w:val="28"/>
          <w:highlight w:val="none"/>
          <w:lang w:eastAsia="zh-CN"/>
        </w:rPr>
        <w:t>次氯酸钠溶液包装</w:t>
      </w:r>
      <w:r>
        <w:rPr>
          <w:rFonts w:hint="eastAsia" w:hAnsi="Courier New"/>
          <w:color w:val="000000" w:themeColor="text1"/>
          <w:sz w:val="28"/>
          <w:szCs w:val="28"/>
          <w:highlight w:val="none"/>
        </w:rPr>
        <w:t>桶破损、脱手、桶盖脱落</w:t>
      </w:r>
      <w:r>
        <w:rPr>
          <w:rFonts w:hint="eastAsia" w:hAnsi="Courier New"/>
          <w:color w:val="000000" w:themeColor="text1"/>
          <w:sz w:val="28"/>
          <w:szCs w:val="28"/>
          <w:highlight w:val="none"/>
          <w:lang w:eastAsia="zh-CN"/>
        </w:rPr>
        <w:t>、配料罐</w:t>
      </w:r>
      <w:r>
        <w:rPr>
          <w:rFonts w:hint="eastAsia" w:hAnsi="Courier New"/>
          <w:color w:val="000000" w:themeColor="text1"/>
          <w:sz w:val="28"/>
          <w:szCs w:val="28"/>
          <w:highlight w:val="none"/>
        </w:rPr>
        <w:t>破损等</w:t>
      </w:r>
      <w:r>
        <w:rPr>
          <w:rFonts w:hint="eastAsia" w:hAnsi="Courier New"/>
          <w:color w:val="000000" w:themeColor="text1"/>
          <w:sz w:val="28"/>
          <w:szCs w:val="28"/>
          <w:highlight w:val="none"/>
          <w:lang w:eastAsia="zh-CN"/>
        </w:rPr>
        <w:t>情况会</w:t>
      </w:r>
      <w:r>
        <w:rPr>
          <w:rFonts w:hint="eastAsia" w:hAnsi="Courier New"/>
          <w:color w:val="000000" w:themeColor="text1"/>
          <w:sz w:val="28"/>
          <w:szCs w:val="28"/>
          <w:highlight w:val="none"/>
        </w:rPr>
        <w:t>造成</w:t>
      </w:r>
      <w:r>
        <w:rPr>
          <w:rFonts w:hint="eastAsia" w:hAnsi="Courier New"/>
          <w:color w:val="000000" w:themeColor="text1"/>
          <w:sz w:val="28"/>
          <w:szCs w:val="28"/>
          <w:highlight w:val="none"/>
          <w:lang w:eastAsia="zh-CN"/>
        </w:rPr>
        <w:t>次氯酸钠溶液</w:t>
      </w:r>
      <w:r>
        <w:rPr>
          <w:rFonts w:hint="eastAsia" w:hAnsi="Courier New"/>
          <w:color w:val="000000" w:themeColor="text1"/>
          <w:sz w:val="28"/>
          <w:szCs w:val="28"/>
          <w:highlight w:val="none"/>
        </w:rPr>
        <w:t>泄漏。</w:t>
      </w:r>
    </w:p>
    <w:p w14:paraId="4A800652">
      <w:pPr>
        <w:widowControl w:val="0"/>
        <w:adjustRightInd w:val="0"/>
        <w:snapToGrid w:val="0"/>
        <w:spacing w:beforeLines="0" w:afterLines="0" w:line="360" w:lineRule="auto"/>
        <w:jc w:val="left"/>
        <w:outlineLvl w:val="2"/>
        <w:rPr>
          <w:rFonts w:hint="eastAsia" w:ascii="黑体" w:hAnsi="黑体" w:eastAsia="黑体" w:cs="黑体"/>
          <w:b/>
          <w:bCs/>
          <w:color w:val="000000" w:themeColor="text1"/>
          <w:kern w:val="0"/>
          <w:sz w:val="28"/>
          <w:szCs w:val="28"/>
          <w:highlight w:val="none"/>
          <w:lang w:val="en-GB"/>
        </w:rPr>
      </w:pPr>
      <w:bookmarkStart w:id="609" w:name="_Toc1157"/>
      <w:bookmarkStart w:id="610" w:name="_Toc297"/>
      <w:bookmarkStart w:id="611" w:name="_Toc24153"/>
      <w:bookmarkStart w:id="612" w:name="_Toc21400"/>
      <w:bookmarkStart w:id="613" w:name="_Toc5529"/>
      <w:bookmarkStart w:id="614" w:name="_Toc21479"/>
      <w:bookmarkStart w:id="615" w:name="_Toc128"/>
      <w:bookmarkStart w:id="616" w:name="_Toc28001"/>
      <w:r>
        <w:rPr>
          <w:rFonts w:hint="eastAsia" w:ascii="黑体" w:hAnsi="黑体" w:eastAsia="黑体" w:cs="黑体"/>
          <w:b/>
          <w:bCs/>
          <w:color w:val="000000" w:themeColor="text1"/>
          <w:kern w:val="0"/>
          <w:sz w:val="28"/>
          <w:szCs w:val="28"/>
          <w:highlight w:val="none"/>
          <w:lang w:val="en-GB"/>
        </w:rPr>
        <w:t>3.</w:t>
      </w:r>
      <w:r>
        <w:rPr>
          <w:rFonts w:hint="eastAsia" w:ascii="黑体" w:hAnsi="黑体" w:eastAsia="黑体" w:cs="黑体"/>
          <w:b/>
          <w:bCs/>
          <w:color w:val="000000" w:themeColor="text1"/>
          <w:kern w:val="0"/>
          <w:sz w:val="28"/>
          <w:szCs w:val="28"/>
          <w:highlight w:val="none"/>
          <w:lang w:val="en-US" w:eastAsia="zh-CN"/>
        </w:rPr>
        <w:t>2.6</w:t>
      </w:r>
      <w:r>
        <w:rPr>
          <w:rFonts w:hint="eastAsia" w:ascii="黑体" w:hAnsi="黑体" w:eastAsia="黑体" w:cs="黑体"/>
          <w:b/>
          <w:bCs/>
          <w:color w:val="000000" w:themeColor="text1"/>
          <w:kern w:val="0"/>
          <w:sz w:val="28"/>
          <w:szCs w:val="28"/>
          <w:highlight w:val="none"/>
          <w:lang w:val="en-GB"/>
        </w:rPr>
        <w:t xml:space="preserve"> 建</w:t>
      </w:r>
      <w:r>
        <w:rPr>
          <w:rFonts w:hint="eastAsia" w:ascii="黑体" w:hAnsi="黑体" w:eastAsia="黑体" w:cs="黑体"/>
          <w:b/>
          <w:bCs/>
          <w:color w:val="000000" w:themeColor="text1"/>
          <w:kern w:val="0"/>
          <w:sz w:val="28"/>
          <w:szCs w:val="28"/>
          <w:highlight w:val="none"/>
          <w:lang w:val="en-GB" w:eastAsia="zh-CN"/>
        </w:rPr>
        <w:t>（</w:t>
      </w:r>
      <w:r>
        <w:rPr>
          <w:rFonts w:hint="eastAsia" w:ascii="黑体" w:hAnsi="黑体" w:eastAsia="黑体" w:cs="黑体"/>
          <w:b/>
          <w:bCs/>
          <w:color w:val="000000" w:themeColor="text1"/>
          <w:kern w:val="0"/>
          <w:sz w:val="28"/>
          <w:szCs w:val="28"/>
          <w:highlight w:val="none"/>
          <w:lang w:val="en-GB"/>
        </w:rPr>
        <w:t>构</w:t>
      </w:r>
      <w:r>
        <w:rPr>
          <w:rFonts w:hint="eastAsia" w:ascii="黑体" w:hAnsi="黑体" w:eastAsia="黑体" w:cs="黑体"/>
          <w:b/>
          <w:bCs/>
          <w:color w:val="000000" w:themeColor="text1"/>
          <w:kern w:val="0"/>
          <w:sz w:val="28"/>
          <w:szCs w:val="28"/>
          <w:highlight w:val="none"/>
          <w:lang w:val="en-GB" w:eastAsia="zh-CN"/>
        </w:rPr>
        <w:t>）</w:t>
      </w:r>
      <w:r>
        <w:rPr>
          <w:rFonts w:hint="eastAsia" w:ascii="黑体" w:hAnsi="黑体" w:eastAsia="黑体" w:cs="黑体"/>
          <w:b/>
          <w:bCs/>
          <w:color w:val="000000" w:themeColor="text1"/>
          <w:kern w:val="0"/>
          <w:sz w:val="28"/>
          <w:szCs w:val="28"/>
          <w:highlight w:val="none"/>
          <w:lang w:val="en-GB"/>
        </w:rPr>
        <w:t>筑物危险、有害因素分析</w:t>
      </w:r>
      <w:bookmarkEnd w:id="609"/>
      <w:bookmarkEnd w:id="610"/>
      <w:bookmarkEnd w:id="611"/>
      <w:bookmarkEnd w:id="612"/>
      <w:bookmarkEnd w:id="613"/>
      <w:bookmarkEnd w:id="614"/>
      <w:bookmarkEnd w:id="615"/>
      <w:bookmarkEnd w:id="616"/>
    </w:p>
    <w:p w14:paraId="332DD337">
      <w:pPr>
        <w:keepNext w:val="0"/>
        <w:keepLines w:val="0"/>
        <w:pageBreakBefore w:val="0"/>
        <w:widowControl w:val="0"/>
        <w:numPr>
          <w:ilvl w:val="0"/>
          <w:numId w:val="38"/>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bCs/>
          <w:color w:val="000000" w:themeColor="text1"/>
          <w:sz w:val="28"/>
          <w:szCs w:val="28"/>
          <w:highlight w:val="none"/>
        </w:rPr>
      </w:pPr>
      <w:r>
        <w:rPr>
          <w:rFonts w:hint="eastAsia" w:cs="宋体"/>
          <w:bCs/>
          <w:color w:val="000000" w:themeColor="text1"/>
          <w:sz w:val="28"/>
          <w:szCs w:val="28"/>
          <w:highlight w:val="none"/>
          <w:lang w:eastAsia="zh-CN"/>
        </w:rPr>
        <w:t>如果</w:t>
      </w:r>
      <w:r>
        <w:rPr>
          <w:rFonts w:hint="eastAsia" w:ascii="宋体" w:hAnsi="宋体" w:eastAsia="宋体" w:cs="宋体"/>
          <w:bCs/>
          <w:color w:val="000000" w:themeColor="text1"/>
          <w:sz w:val="28"/>
          <w:szCs w:val="28"/>
          <w:highlight w:val="none"/>
        </w:rPr>
        <w:t>建</w:t>
      </w:r>
      <w:r>
        <w:rPr>
          <w:rFonts w:hint="eastAsia" w:cs="宋体"/>
          <w:bCs/>
          <w:color w:val="000000" w:themeColor="text1"/>
          <w:sz w:val="28"/>
          <w:szCs w:val="28"/>
          <w:highlight w:val="none"/>
          <w:lang w:eastAsia="zh-CN"/>
        </w:rPr>
        <w:t>（构）</w:t>
      </w:r>
      <w:r>
        <w:rPr>
          <w:rFonts w:hint="eastAsia" w:ascii="宋体" w:hAnsi="宋体" w:eastAsia="宋体" w:cs="宋体"/>
          <w:bCs/>
          <w:color w:val="000000" w:themeColor="text1"/>
          <w:sz w:val="28"/>
          <w:szCs w:val="28"/>
          <w:highlight w:val="none"/>
        </w:rPr>
        <w:t>筑物结构</w:t>
      </w:r>
      <w:r>
        <w:rPr>
          <w:rFonts w:hint="eastAsia" w:cs="宋体"/>
          <w:bCs/>
          <w:color w:val="000000" w:themeColor="text1"/>
          <w:sz w:val="28"/>
          <w:szCs w:val="28"/>
          <w:highlight w:val="none"/>
          <w:lang w:eastAsia="zh-CN"/>
        </w:rPr>
        <w:t>强度降低、基础不均匀沉降可能</w:t>
      </w:r>
      <w:r>
        <w:rPr>
          <w:rFonts w:hint="eastAsia" w:ascii="宋体" w:hAnsi="宋体" w:eastAsia="宋体" w:cs="宋体"/>
          <w:bCs/>
          <w:color w:val="000000" w:themeColor="text1"/>
          <w:sz w:val="28"/>
          <w:szCs w:val="28"/>
          <w:highlight w:val="none"/>
        </w:rPr>
        <w:t>造成屋架倒塌、人员伤亡等危险、危害。</w:t>
      </w:r>
    </w:p>
    <w:p w14:paraId="1E96E9EF">
      <w:pPr>
        <w:keepNext w:val="0"/>
        <w:keepLines w:val="0"/>
        <w:pageBreakBefore w:val="0"/>
        <w:widowControl w:val="0"/>
        <w:numPr>
          <w:ilvl w:val="0"/>
          <w:numId w:val="38"/>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bCs/>
          <w:color w:val="000000" w:themeColor="text1"/>
          <w:sz w:val="28"/>
          <w:szCs w:val="28"/>
          <w:highlight w:val="none"/>
        </w:rPr>
      </w:pPr>
      <w:r>
        <w:rPr>
          <w:rFonts w:hint="eastAsia" w:cs="宋体"/>
          <w:bCs/>
          <w:color w:val="000000" w:themeColor="text1"/>
          <w:sz w:val="28"/>
          <w:szCs w:val="28"/>
          <w:highlight w:val="none"/>
          <w:lang w:eastAsia="zh-CN"/>
        </w:rPr>
        <w:t>如果</w:t>
      </w:r>
      <w:r>
        <w:rPr>
          <w:rFonts w:hint="eastAsia" w:ascii="宋体" w:hAnsi="宋体" w:eastAsia="宋体" w:cs="宋体"/>
          <w:bCs/>
          <w:color w:val="000000" w:themeColor="text1"/>
          <w:sz w:val="28"/>
          <w:szCs w:val="28"/>
          <w:highlight w:val="none"/>
        </w:rPr>
        <w:t>建</w:t>
      </w:r>
      <w:r>
        <w:rPr>
          <w:rFonts w:hint="eastAsia" w:ascii="宋体" w:hAnsi="宋体" w:eastAsia="宋体" w:cs="宋体"/>
          <w:bCs/>
          <w:color w:val="000000" w:themeColor="text1"/>
          <w:sz w:val="28"/>
          <w:szCs w:val="28"/>
          <w:highlight w:val="none"/>
          <w:lang w:eastAsia="zh-CN"/>
        </w:rPr>
        <w:t>（构）</w:t>
      </w:r>
      <w:r>
        <w:rPr>
          <w:rFonts w:hint="eastAsia" w:ascii="宋体" w:hAnsi="宋体" w:eastAsia="宋体" w:cs="宋体"/>
          <w:bCs/>
          <w:color w:val="000000" w:themeColor="text1"/>
          <w:sz w:val="28"/>
          <w:szCs w:val="28"/>
          <w:highlight w:val="none"/>
        </w:rPr>
        <w:t>筑物耐火等级</w:t>
      </w:r>
      <w:r>
        <w:rPr>
          <w:rFonts w:hint="eastAsia" w:cs="宋体"/>
          <w:bCs/>
          <w:color w:val="000000" w:themeColor="text1"/>
          <w:sz w:val="28"/>
          <w:szCs w:val="28"/>
          <w:highlight w:val="none"/>
          <w:lang w:eastAsia="zh-CN"/>
        </w:rPr>
        <w:t>、泄爆面积、防火门不符合要求</w:t>
      </w:r>
      <w:r>
        <w:rPr>
          <w:rFonts w:hint="eastAsia" w:ascii="宋体" w:hAnsi="宋体" w:eastAsia="宋体" w:cs="宋体"/>
          <w:bCs/>
          <w:color w:val="000000" w:themeColor="text1"/>
          <w:sz w:val="28"/>
          <w:szCs w:val="28"/>
          <w:highlight w:val="none"/>
        </w:rPr>
        <w:t>，</w:t>
      </w:r>
      <w:r>
        <w:rPr>
          <w:rFonts w:hint="eastAsia" w:cs="宋体"/>
          <w:bCs/>
          <w:color w:val="000000" w:themeColor="text1"/>
          <w:sz w:val="28"/>
          <w:szCs w:val="28"/>
          <w:highlight w:val="none"/>
          <w:lang w:eastAsia="zh-CN"/>
        </w:rPr>
        <w:t>疏散通道、</w:t>
      </w:r>
      <w:r>
        <w:rPr>
          <w:rFonts w:hint="eastAsia" w:ascii="宋体" w:hAnsi="宋体" w:eastAsia="宋体" w:cs="宋体"/>
          <w:bCs/>
          <w:color w:val="000000" w:themeColor="text1"/>
          <w:sz w:val="28"/>
          <w:szCs w:val="28"/>
          <w:highlight w:val="none"/>
        </w:rPr>
        <w:t>安全出口</w:t>
      </w:r>
      <w:r>
        <w:rPr>
          <w:rFonts w:hint="eastAsia" w:ascii="宋体" w:hAnsi="宋体" w:cs="宋体"/>
          <w:bCs/>
          <w:color w:val="000000" w:themeColor="text1"/>
          <w:sz w:val="28"/>
          <w:szCs w:val="28"/>
          <w:highlight w:val="none"/>
          <w:lang w:eastAsia="zh-CN"/>
        </w:rPr>
        <w:t>堵塞</w:t>
      </w:r>
      <w:r>
        <w:rPr>
          <w:rFonts w:hint="eastAsia" w:ascii="宋体" w:hAnsi="宋体" w:eastAsia="宋体" w:cs="宋体"/>
          <w:bCs/>
          <w:color w:val="000000" w:themeColor="text1"/>
          <w:sz w:val="28"/>
          <w:szCs w:val="28"/>
          <w:highlight w:val="none"/>
        </w:rPr>
        <w:t>，有可能会造成事故的损失增大。</w:t>
      </w:r>
    </w:p>
    <w:p w14:paraId="2BCDDB44">
      <w:pPr>
        <w:keepNext w:val="0"/>
        <w:keepLines w:val="0"/>
        <w:pageBreakBefore w:val="0"/>
        <w:widowControl w:val="0"/>
        <w:numPr>
          <w:ilvl w:val="0"/>
          <w:numId w:val="38"/>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bCs/>
          <w:color w:val="000000" w:themeColor="text1"/>
          <w:sz w:val="28"/>
          <w:szCs w:val="28"/>
          <w:highlight w:val="none"/>
        </w:rPr>
      </w:pPr>
      <w:r>
        <w:rPr>
          <w:rFonts w:hint="eastAsia" w:cs="宋体"/>
          <w:bCs/>
          <w:color w:val="000000" w:themeColor="text1"/>
          <w:sz w:val="28"/>
          <w:szCs w:val="28"/>
          <w:highlight w:val="none"/>
          <w:lang w:eastAsia="zh-CN"/>
        </w:rPr>
        <w:t>如果</w:t>
      </w:r>
      <w:r>
        <w:rPr>
          <w:rFonts w:hint="eastAsia" w:ascii="宋体" w:hAnsi="宋体" w:eastAsia="宋体" w:cs="宋体"/>
          <w:bCs/>
          <w:color w:val="000000" w:themeColor="text1"/>
          <w:sz w:val="28"/>
          <w:szCs w:val="28"/>
          <w:highlight w:val="none"/>
        </w:rPr>
        <w:t>建</w:t>
      </w:r>
      <w:r>
        <w:rPr>
          <w:rFonts w:hint="eastAsia" w:ascii="宋体" w:hAnsi="宋体" w:eastAsia="宋体" w:cs="宋体"/>
          <w:bCs/>
          <w:color w:val="000000" w:themeColor="text1"/>
          <w:sz w:val="28"/>
          <w:szCs w:val="28"/>
          <w:highlight w:val="none"/>
          <w:lang w:eastAsia="zh-CN"/>
        </w:rPr>
        <w:t>（构）</w:t>
      </w:r>
      <w:r>
        <w:rPr>
          <w:rFonts w:hint="eastAsia" w:ascii="宋体" w:hAnsi="宋体" w:eastAsia="宋体" w:cs="宋体"/>
          <w:bCs/>
          <w:color w:val="000000" w:themeColor="text1"/>
          <w:sz w:val="28"/>
          <w:szCs w:val="28"/>
          <w:highlight w:val="none"/>
        </w:rPr>
        <w:t>筑物防雷防静电接地设施</w:t>
      </w:r>
      <w:r>
        <w:rPr>
          <w:rFonts w:hint="eastAsia" w:cs="宋体"/>
          <w:bCs/>
          <w:color w:val="000000" w:themeColor="text1"/>
          <w:sz w:val="28"/>
          <w:szCs w:val="28"/>
          <w:highlight w:val="none"/>
          <w:lang w:eastAsia="zh-CN"/>
        </w:rPr>
        <w:t>缺失或不合格，</w:t>
      </w:r>
      <w:r>
        <w:rPr>
          <w:rFonts w:hint="eastAsia" w:ascii="宋体" w:hAnsi="宋体" w:eastAsia="宋体" w:cs="宋体"/>
          <w:bCs/>
          <w:color w:val="000000" w:themeColor="text1"/>
          <w:sz w:val="28"/>
          <w:szCs w:val="28"/>
          <w:highlight w:val="none"/>
        </w:rPr>
        <w:t>遭遇雷击的事故，会迅速穿顶，会造成屋架倒塌、人员伤亡等危险、危害。</w:t>
      </w:r>
    </w:p>
    <w:p w14:paraId="68E79313">
      <w:pPr>
        <w:keepNext w:val="0"/>
        <w:keepLines w:val="0"/>
        <w:pageBreakBefore w:val="0"/>
        <w:widowControl w:val="0"/>
        <w:numPr>
          <w:ilvl w:val="0"/>
          <w:numId w:val="38"/>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cs="宋体"/>
          <w:bCs/>
          <w:color w:val="000000" w:themeColor="text1"/>
          <w:sz w:val="28"/>
          <w:szCs w:val="28"/>
          <w:highlight w:val="none"/>
          <w:lang w:eastAsia="zh-CN"/>
        </w:rPr>
      </w:pPr>
      <w:r>
        <w:rPr>
          <w:rFonts w:hint="eastAsia" w:cs="宋体"/>
          <w:bCs/>
          <w:color w:val="000000" w:themeColor="text1"/>
          <w:sz w:val="28"/>
          <w:szCs w:val="28"/>
          <w:highlight w:val="none"/>
          <w:lang w:eastAsia="zh-CN"/>
        </w:rPr>
        <w:t>如果</w:t>
      </w:r>
      <w:r>
        <w:rPr>
          <w:rFonts w:hint="eastAsia" w:cs="宋体"/>
          <w:bCs/>
          <w:color w:val="000000" w:themeColor="text1"/>
          <w:sz w:val="28"/>
          <w:szCs w:val="28"/>
          <w:highlight w:val="none"/>
          <w:lang w:val="en-US" w:eastAsia="zh-CN"/>
        </w:rPr>
        <w:t>1#隔间</w:t>
      </w:r>
      <w:r>
        <w:rPr>
          <w:rFonts w:hint="eastAsia" w:cs="宋体"/>
          <w:bCs/>
          <w:color w:val="000000" w:themeColor="text1"/>
          <w:sz w:val="28"/>
          <w:szCs w:val="28"/>
          <w:highlight w:val="none"/>
          <w:lang w:eastAsia="zh-CN"/>
        </w:rPr>
        <w:t>未采用不发火地坪，一旦乙酸包装破损，乙酸流散后，有可能引发火灾的危险。</w:t>
      </w:r>
    </w:p>
    <w:p w14:paraId="2E3728E9">
      <w:pPr>
        <w:keepNext w:val="0"/>
        <w:keepLines w:val="0"/>
        <w:pageBreakBefore w:val="0"/>
        <w:widowControl w:val="0"/>
        <w:numPr>
          <w:ilvl w:val="0"/>
          <w:numId w:val="38"/>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cs="宋体"/>
          <w:bCs/>
          <w:color w:val="000000" w:themeColor="text1"/>
          <w:sz w:val="28"/>
          <w:szCs w:val="28"/>
          <w:highlight w:val="none"/>
          <w:lang w:eastAsia="zh-CN"/>
        </w:rPr>
      </w:pPr>
      <w:r>
        <w:rPr>
          <w:rFonts w:hint="eastAsia" w:cs="宋体"/>
          <w:bCs/>
          <w:color w:val="000000" w:themeColor="text1"/>
          <w:sz w:val="28"/>
          <w:szCs w:val="28"/>
          <w:highlight w:val="none"/>
          <w:lang w:eastAsia="zh-CN"/>
        </w:rPr>
        <w:t>如果</w:t>
      </w:r>
      <w:r>
        <w:rPr>
          <w:rFonts w:hint="eastAsia" w:cs="宋体"/>
          <w:bCs/>
          <w:color w:val="000000" w:themeColor="text1"/>
          <w:sz w:val="28"/>
          <w:szCs w:val="28"/>
          <w:highlight w:val="none"/>
          <w:lang w:val="en-US" w:eastAsia="zh-CN"/>
        </w:rPr>
        <w:t>2#隔间方式措施不到位、漏雨未及时修缮，2#隔间可能进水并导致保险粉火灾事故。</w:t>
      </w:r>
    </w:p>
    <w:bookmarkEnd w:id="536"/>
    <w:bookmarkEnd w:id="537"/>
    <w:p w14:paraId="3CCD62F0">
      <w:pPr>
        <w:widowControl w:val="0"/>
        <w:adjustRightInd w:val="0"/>
        <w:snapToGrid w:val="0"/>
        <w:spacing w:beforeLines="0" w:afterLines="0" w:line="360" w:lineRule="auto"/>
        <w:jc w:val="left"/>
        <w:outlineLvl w:val="2"/>
        <w:rPr>
          <w:rFonts w:hint="eastAsia" w:ascii="黑体" w:hAnsi="黑体" w:eastAsia="黑体" w:cs="黑体"/>
          <w:b/>
          <w:bCs/>
          <w:color w:val="000000" w:themeColor="text1"/>
          <w:kern w:val="0"/>
          <w:sz w:val="28"/>
          <w:szCs w:val="28"/>
          <w:highlight w:val="none"/>
          <w:lang w:val="en-GB"/>
        </w:rPr>
      </w:pPr>
      <w:bookmarkStart w:id="617" w:name="_Toc198457574"/>
      <w:bookmarkStart w:id="618" w:name="_Toc198521502"/>
      <w:bookmarkStart w:id="619" w:name="_Toc234394508"/>
      <w:bookmarkStart w:id="620" w:name="_Toc13030"/>
      <w:bookmarkStart w:id="621" w:name="_Toc449456809"/>
      <w:bookmarkStart w:id="622" w:name="_Toc449456900"/>
      <w:bookmarkStart w:id="623" w:name="_Toc190762575"/>
      <w:bookmarkStart w:id="624" w:name="_Toc9538"/>
      <w:bookmarkStart w:id="625" w:name="_Toc419"/>
      <w:bookmarkStart w:id="626" w:name="_Toc11093"/>
      <w:bookmarkStart w:id="627" w:name="_Toc31364"/>
      <w:bookmarkStart w:id="628" w:name="_Toc31519"/>
      <w:r>
        <w:rPr>
          <w:rFonts w:hint="eastAsia" w:ascii="黑体" w:hAnsi="黑体" w:eastAsia="黑体" w:cs="黑体"/>
          <w:b/>
          <w:bCs/>
          <w:color w:val="000000" w:themeColor="text1"/>
          <w:kern w:val="0"/>
          <w:sz w:val="28"/>
          <w:szCs w:val="28"/>
          <w:highlight w:val="none"/>
          <w:lang w:val="en-GB"/>
        </w:rPr>
        <w:t>3.</w:t>
      </w:r>
      <w:r>
        <w:rPr>
          <w:rFonts w:hint="eastAsia" w:ascii="黑体" w:hAnsi="黑体" w:eastAsia="黑体" w:cs="黑体"/>
          <w:b/>
          <w:bCs/>
          <w:color w:val="000000" w:themeColor="text1"/>
          <w:kern w:val="0"/>
          <w:sz w:val="28"/>
          <w:szCs w:val="28"/>
          <w:highlight w:val="none"/>
          <w:lang w:val="en-US" w:eastAsia="zh-CN"/>
        </w:rPr>
        <w:t>2.7</w:t>
      </w:r>
      <w:r>
        <w:rPr>
          <w:rFonts w:hint="eastAsia" w:ascii="黑体" w:hAnsi="黑体" w:eastAsia="黑体" w:cs="黑体"/>
          <w:b/>
          <w:bCs/>
          <w:color w:val="000000" w:themeColor="text1"/>
          <w:kern w:val="0"/>
          <w:sz w:val="28"/>
          <w:szCs w:val="28"/>
          <w:highlight w:val="none"/>
          <w:lang w:val="en-GB"/>
        </w:rPr>
        <w:t>设备设施的危险、有害因素</w:t>
      </w:r>
      <w:bookmarkEnd w:id="617"/>
      <w:bookmarkEnd w:id="618"/>
      <w:bookmarkEnd w:id="619"/>
      <w:bookmarkEnd w:id="620"/>
      <w:bookmarkEnd w:id="621"/>
      <w:bookmarkEnd w:id="622"/>
      <w:bookmarkEnd w:id="623"/>
      <w:bookmarkEnd w:id="624"/>
      <w:bookmarkEnd w:id="625"/>
      <w:bookmarkEnd w:id="626"/>
      <w:bookmarkEnd w:id="627"/>
      <w:bookmarkEnd w:id="628"/>
    </w:p>
    <w:p w14:paraId="33A3BFD6">
      <w:pPr>
        <w:keepNext w:val="0"/>
        <w:keepLines w:val="0"/>
        <w:pageBreakBefore w:val="0"/>
        <w:widowControl w:val="0"/>
        <w:numPr>
          <w:ilvl w:val="0"/>
          <w:numId w:val="3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造成设备事故的原因有：设备设施缺陷</w:t>
      </w:r>
      <w:r>
        <w:rPr>
          <w:rFonts w:hint="eastAsia"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设计不合理、选材不当、劣质产品、密封不良、管道附件缺陷、施工安装缺陷、检测控制失灵</w:t>
      </w:r>
      <w:r>
        <w:rPr>
          <w:rFonts w:hint="eastAsia"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；人的不安全行为</w:t>
      </w:r>
      <w:r>
        <w:rPr>
          <w:rFonts w:hint="eastAsia"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操作错误、违章作业、疏忽大意</w:t>
      </w:r>
      <w:r>
        <w:rPr>
          <w:rFonts w:hint="eastAsia"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；外部条件影响</w:t>
      </w:r>
      <w:r>
        <w:rPr>
          <w:rFonts w:hint="eastAsia"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地基缺陷、碰撞事故、不可抗力等</w:t>
      </w:r>
      <w:r>
        <w:rPr>
          <w:rFonts w:hint="eastAsia" w:cs="宋体"/>
          <w:color w:val="000000" w:themeColor="text1"/>
          <w:sz w:val="28"/>
          <w:szCs w:val="28"/>
          <w:highlight w:val="none"/>
          <w:lang w:eastAsia="zh-CN"/>
        </w:rPr>
        <w:t>）</w:t>
      </w:r>
      <w:r>
        <w:rPr>
          <w:rFonts w:hint="eastAsia" w:ascii="宋体" w:hAnsi="宋体" w:eastAsia="宋体" w:cs="宋体"/>
          <w:color w:val="000000" w:themeColor="text1"/>
          <w:sz w:val="28"/>
          <w:szCs w:val="28"/>
          <w:highlight w:val="none"/>
        </w:rPr>
        <w:t>。应从设备选型、附件配置、安装控制、检测控制等方面控制设备设施缺陷；规范操作人员的行为规范，杜绝“三违”是减少设备事故的主要措施之一。</w:t>
      </w:r>
    </w:p>
    <w:p w14:paraId="7501D384">
      <w:pPr>
        <w:keepNext w:val="0"/>
        <w:keepLines w:val="0"/>
        <w:pageBreakBefore w:val="0"/>
        <w:widowControl w:val="0"/>
        <w:numPr>
          <w:ilvl w:val="0"/>
          <w:numId w:val="3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所有设备静止时，可能造成人体绊倒，尖角、锋利部位可能造成人体受伤等危害。</w:t>
      </w:r>
    </w:p>
    <w:p w14:paraId="604B307D">
      <w:pPr>
        <w:keepNext w:val="0"/>
        <w:keepLines w:val="0"/>
        <w:pageBreakBefore w:val="0"/>
        <w:widowControl w:val="0"/>
        <w:numPr>
          <w:ilvl w:val="0"/>
          <w:numId w:val="3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电器电线安装没有达到规范要求，或由于环境潮湿，有可能造成短路、漏电等现象，也是形成火灾发生的原因。</w:t>
      </w:r>
    </w:p>
    <w:p w14:paraId="212E8441">
      <w:pPr>
        <w:keepNext w:val="0"/>
        <w:keepLines w:val="0"/>
        <w:pageBreakBefore w:val="0"/>
        <w:widowControl w:val="0"/>
        <w:numPr>
          <w:ilvl w:val="0"/>
          <w:numId w:val="3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运转设备</w:t>
      </w:r>
      <w:r>
        <w:rPr>
          <w:rFonts w:hint="eastAsia" w:cs="宋体"/>
          <w:color w:val="000000" w:themeColor="text1"/>
          <w:sz w:val="28"/>
          <w:szCs w:val="28"/>
          <w:highlight w:val="none"/>
          <w:lang w:eastAsia="zh-CN"/>
        </w:rPr>
        <w:t>如化料缸</w:t>
      </w:r>
      <w:r>
        <w:rPr>
          <w:rFonts w:hint="eastAsia" w:ascii="宋体" w:hAnsi="宋体" w:eastAsia="宋体" w:cs="宋体"/>
          <w:color w:val="000000" w:themeColor="text1"/>
          <w:sz w:val="28"/>
          <w:szCs w:val="28"/>
          <w:highlight w:val="none"/>
        </w:rPr>
        <w:t>、不安全</w:t>
      </w:r>
      <w:r>
        <w:rPr>
          <w:rFonts w:hint="eastAsia" w:cs="宋体"/>
          <w:color w:val="000000" w:themeColor="text1"/>
          <w:sz w:val="28"/>
          <w:szCs w:val="28"/>
          <w:highlight w:val="none"/>
          <w:lang w:eastAsia="zh-CN"/>
        </w:rPr>
        <w:t>区域如电动葫芦作业区域</w:t>
      </w:r>
      <w:r>
        <w:rPr>
          <w:rFonts w:hint="eastAsia" w:ascii="宋体" w:hAnsi="宋体" w:eastAsia="宋体" w:cs="宋体"/>
          <w:color w:val="000000" w:themeColor="text1"/>
          <w:sz w:val="28"/>
          <w:szCs w:val="28"/>
          <w:highlight w:val="none"/>
        </w:rPr>
        <w:t>不采取隔离措施而引起的人体伤害。</w:t>
      </w:r>
    </w:p>
    <w:p w14:paraId="5A28E847">
      <w:pPr>
        <w:keepNext w:val="0"/>
        <w:keepLines w:val="0"/>
        <w:pageBreakBefore w:val="0"/>
        <w:widowControl w:val="0"/>
        <w:numPr>
          <w:ilvl w:val="0"/>
          <w:numId w:val="3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rPr>
      </w:pPr>
      <w:r>
        <w:rPr>
          <w:rFonts w:hint="eastAsia" w:cs="宋体"/>
          <w:color w:val="000000" w:themeColor="text1"/>
          <w:sz w:val="28"/>
          <w:szCs w:val="28"/>
          <w:highlight w:val="none"/>
          <w:lang w:eastAsia="zh-CN"/>
        </w:rPr>
        <w:t>化料缸、染缸和电动葫芦等</w:t>
      </w:r>
      <w:r>
        <w:rPr>
          <w:rFonts w:hint="eastAsia" w:ascii="宋体" w:hAnsi="宋体" w:eastAsia="宋体" w:cs="宋体"/>
          <w:color w:val="000000" w:themeColor="text1"/>
          <w:sz w:val="28"/>
          <w:szCs w:val="28"/>
          <w:highlight w:val="none"/>
        </w:rPr>
        <w:t>还可能带来电气伤害。</w:t>
      </w:r>
    </w:p>
    <w:p w14:paraId="69ED05D3">
      <w:pPr>
        <w:keepNext w:val="0"/>
        <w:keepLines w:val="0"/>
        <w:pageBreakBefore w:val="0"/>
        <w:widowControl w:val="0"/>
        <w:numPr>
          <w:ilvl w:val="0"/>
          <w:numId w:val="3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color w:val="000000" w:themeColor="text1"/>
          <w:sz w:val="28"/>
          <w:highlight w:val="none"/>
        </w:rPr>
      </w:pPr>
      <w:r>
        <w:rPr>
          <w:rFonts w:hint="eastAsia" w:ascii="宋体" w:hAnsi="宋体"/>
          <w:color w:val="000000" w:themeColor="text1"/>
          <w:sz w:val="28"/>
          <w:highlight w:val="none"/>
          <w:lang w:eastAsia="zh-CN"/>
        </w:rPr>
        <w:t>氢氧化钠溶液储罐</w:t>
      </w:r>
      <w:r>
        <w:rPr>
          <w:rFonts w:hint="eastAsia" w:ascii="宋体" w:hAnsi="宋体"/>
          <w:color w:val="000000" w:themeColor="text1"/>
          <w:sz w:val="28"/>
          <w:highlight w:val="none"/>
        </w:rPr>
        <w:t>和相应管道及其安全附件设计、制造有缺陷，或使用过程中管理、维护、</w:t>
      </w:r>
      <w:r>
        <w:rPr>
          <w:rFonts w:hint="eastAsia" w:ascii="宋体" w:hAnsi="宋体"/>
          <w:color w:val="000000" w:themeColor="text1"/>
          <w:sz w:val="28"/>
          <w:highlight w:val="none"/>
          <w:lang w:eastAsia="zh-CN"/>
        </w:rPr>
        <w:t>检查</w:t>
      </w:r>
      <w:r>
        <w:rPr>
          <w:rFonts w:hint="eastAsia" w:ascii="宋体" w:hAnsi="宋体"/>
          <w:color w:val="000000" w:themeColor="text1"/>
          <w:sz w:val="28"/>
          <w:highlight w:val="none"/>
        </w:rPr>
        <w:t>不到位，可因安全附件失效导致过载运行、材料疲劳出现裂缝、受热膨胀受冷收缩等原因，出现</w:t>
      </w:r>
      <w:r>
        <w:rPr>
          <w:rFonts w:hint="eastAsia" w:ascii="宋体" w:hAnsi="宋体"/>
          <w:color w:val="000000" w:themeColor="text1"/>
          <w:sz w:val="28"/>
          <w:highlight w:val="none"/>
          <w:lang w:eastAsia="zh-CN"/>
        </w:rPr>
        <w:t>储罐</w:t>
      </w:r>
      <w:r>
        <w:rPr>
          <w:rFonts w:hint="eastAsia" w:ascii="宋体" w:hAnsi="宋体"/>
          <w:color w:val="000000" w:themeColor="text1"/>
          <w:sz w:val="28"/>
          <w:highlight w:val="none"/>
        </w:rPr>
        <w:t>、管道、阀门等破裂或渗漏，物料泄漏，诱发</w:t>
      </w:r>
      <w:r>
        <w:rPr>
          <w:rFonts w:hint="eastAsia" w:ascii="宋体" w:hAnsi="宋体"/>
          <w:color w:val="000000" w:themeColor="text1"/>
          <w:sz w:val="28"/>
          <w:highlight w:val="none"/>
          <w:lang w:eastAsia="zh-CN"/>
        </w:rPr>
        <w:t>灼烫</w:t>
      </w:r>
      <w:r>
        <w:rPr>
          <w:rFonts w:hint="eastAsia" w:ascii="宋体" w:hAnsi="宋体"/>
          <w:color w:val="000000" w:themeColor="text1"/>
          <w:sz w:val="28"/>
          <w:highlight w:val="none"/>
        </w:rPr>
        <w:t>事故。</w:t>
      </w:r>
    </w:p>
    <w:bookmarkEnd w:id="538"/>
    <w:bookmarkEnd w:id="539"/>
    <w:bookmarkEnd w:id="540"/>
    <w:bookmarkEnd w:id="541"/>
    <w:p w14:paraId="53674C60">
      <w:pPr>
        <w:keepNext w:val="0"/>
        <w:keepLines w:val="0"/>
        <w:pageBreakBefore w:val="0"/>
        <w:widowControl w:val="0"/>
        <w:numPr>
          <w:ilvl w:val="0"/>
          <w:numId w:val="3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rPr>
      </w:pPr>
      <w:bookmarkStart w:id="629" w:name="_Toc198521504"/>
      <w:bookmarkStart w:id="630" w:name="_Toc449456810"/>
      <w:bookmarkStart w:id="631" w:name="_Toc190762577"/>
      <w:bookmarkStart w:id="632" w:name="_Toc449456901"/>
      <w:bookmarkStart w:id="633" w:name="_Toc198457576"/>
      <w:bookmarkStart w:id="634" w:name="_Toc234394511"/>
      <w:r>
        <w:rPr>
          <w:rFonts w:hint="eastAsia" w:ascii="宋体" w:hAnsi="宋体" w:eastAsia="宋体" w:cs="宋体"/>
          <w:color w:val="000000" w:themeColor="text1"/>
          <w:sz w:val="28"/>
          <w:szCs w:val="28"/>
          <w:highlight w:val="none"/>
        </w:rPr>
        <w:t>电气设备的危险、有害因素</w:t>
      </w:r>
      <w:bookmarkEnd w:id="629"/>
      <w:bookmarkEnd w:id="630"/>
      <w:bookmarkEnd w:id="631"/>
      <w:bookmarkEnd w:id="632"/>
      <w:bookmarkEnd w:id="633"/>
      <w:bookmarkEnd w:id="634"/>
    </w:p>
    <w:p w14:paraId="3A021006">
      <w:pPr>
        <w:keepNext w:val="0"/>
        <w:keepLines w:val="0"/>
        <w:pageBreakBefore w:val="0"/>
        <w:widowControl w:val="0"/>
        <w:numPr>
          <w:ilvl w:val="0"/>
          <w:numId w:val="4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电气设备若不能满足国家指定机构的安全认证标准，可能导致触电的危险等。</w:t>
      </w:r>
    </w:p>
    <w:p w14:paraId="2B997BEB">
      <w:pPr>
        <w:keepNext w:val="0"/>
        <w:keepLines w:val="0"/>
        <w:pageBreakBefore w:val="0"/>
        <w:widowControl w:val="0"/>
        <w:numPr>
          <w:ilvl w:val="0"/>
          <w:numId w:val="4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电气设备防护性能遭到损害或降低易导致火灾、爆炸、触电事故。</w:t>
      </w:r>
    </w:p>
    <w:p w14:paraId="27F422B2">
      <w:pPr>
        <w:keepNext w:val="0"/>
        <w:keepLines w:val="0"/>
        <w:pageBreakBefore w:val="0"/>
        <w:widowControl w:val="0"/>
        <w:numPr>
          <w:ilvl w:val="0"/>
          <w:numId w:val="4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电气线路超载引起过热而导致短路或导体间的连接不良而引起发热起火，有可能导致火灾、爆炸、触电事故的发生。</w:t>
      </w:r>
    </w:p>
    <w:p w14:paraId="6A54C7CD">
      <w:pPr>
        <w:keepNext w:val="0"/>
        <w:keepLines w:val="0"/>
        <w:pageBreakBefore w:val="0"/>
        <w:widowControl w:val="0"/>
        <w:numPr>
          <w:ilvl w:val="0"/>
          <w:numId w:val="4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高温或电火花也可引燃近旁可燃物而起火，甚至引发火灾事故。</w:t>
      </w:r>
    </w:p>
    <w:p w14:paraId="698215BB">
      <w:pPr>
        <w:keepNext w:val="0"/>
        <w:keepLines w:val="0"/>
        <w:pageBreakBefore w:val="0"/>
        <w:widowControl w:val="0"/>
        <w:numPr>
          <w:ilvl w:val="0"/>
          <w:numId w:val="4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rPr>
      </w:pPr>
      <w:r>
        <w:rPr>
          <w:rFonts w:hint="eastAsia" w:cs="宋体"/>
          <w:color w:val="000000" w:themeColor="text1"/>
          <w:sz w:val="28"/>
          <w:szCs w:val="28"/>
          <w:highlight w:val="none"/>
          <w:lang w:val="en-US" w:eastAsia="zh-CN"/>
        </w:rPr>
        <w:t>危险化学品备货库房1#隔间</w:t>
      </w:r>
      <w:r>
        <w:rPr>
          <w:rFonts w:hint="eastAsia" w:ascii="宋体" w:hAnsi="宋体" w:eastAsia="宋体" w:cs="宋体"/>
          <w:color w:val="000000" w:themeColor="text1"/>
          <w:sz w:val="28"/>
          <w:szCs w:val="28"/>
          <w:highlight w:val="none"/>
        </w:rPr>
        <w:t>内</w:t>
      </w:r>
      <w:r>
        <w:rPr>
          <w:rFonts w:hint="eastAsia" w:cs="宋体"/>
          <w:color w:val="000000" w:themeColor="text1"/>
          <w:sz w:val="28"/>
          <w:szCs w:val="28"/>
          <w:highlight w:val="none"/>
          <w:lang w:eastAsia="zh-CN"/>
        </w:rPr>
        <w:t>排风机</w:t>
      </w:r>
      <w:r>
        <w:rPr>
          <w:rFonts w:hint="eastAsia" w:ascii="宋体" w:hAnsi="宋体" w:eastAsia="宋体" w:cs="宋体"/>
          <w:color w:val="000000" w:themeColor="text1"/>
          <w:sz w:val="28"/>
          <w:szCs w:val="28"/>
          <w:highlight w:val="none"/>
        </w:rPr>
        <w:t>若没有采取有效</w:t>
      </w:r>
      <w:r>
        <w:rPr>
          <w:rFonts w:hint="eastAsia" w:cs="宋体"/>
          <w:color w:val="000000" w:themeColor="text1"/>
          <w:sz w:val="28"/>
          <w:szCs w:val="28"/>
          <w:highlight w:val="none"/>
          <w:lang w:eastAsia="zh-CN"/>
        </w:rPr>
        <w:t>地</w:t>
      </w:r>
      <w:r>
        <w:rPr>
          <w:rFonts w:hint="eastAsia" w:ascii="宋体" w:hAnsi="宋体" w:eastAsia="宋体" w:cs="宋体"/>
          <w:color w:val="000000" w:themeColor="text1"/>
          <w:sz w:val="28"/>
          <w:szCs w:val="28"/>
          <w:highlight w:val="none"/>
        </w:rPr>
        <w:t>消除静电接地措施，有可能累积静电，发生放电产生火花，若遇到爆炸性混合物，就会引起火灾爆炸事故。</w:t>
      </w:r>
      <w:r>
        <w:rPr>
          <w:rFonts w:hint="eastAsia" w:cs="宋体"/>
          <w:color w:val="000000" w:themeColor="text1"/>
          <w:sz w:val="28"/>
          <w:szCs w:val="28"/>
          <w:highlight w:val="none"/>
          <w:lang w:val="en-US" w:eastAsia="zh-CN"/>
        </w:rPr>
        <w:t>危险化学品备货库房1#隔间</w:t>
      </w:r>
      <w:r>
        <w:rPr>
          <w:rFonts w:hint="eastAsia" w:ascii="宋体" w:hAnsi="宋体" w:eastAsia="宋体" w:cs="宋体"/>
          <w:color w:val="000000" w:themeColor="text1"/>
          <w:sz w:val="28"/>
          <w:szCs w:val="28"/>
          <w:highlight w:val="none"/>
        </w:rPr>
        <w:t>也可能由于未设置防雷措施或接地不良，产生雷电火花导致火灾、爆炸事故。</w:t>
      </w:r>
    </w:p>
    <w:p w14:paraId="4E123870">
      <w:pPr>
        <w:widowControl w:val="0"/>
        <w:adjustRightInd w:val="0"/>
        <w:snapToGrid w:val="0"/>
        <w:spacing w:beforeLines="0" w:afterLines="0" w:line="360" w:lineRule="auto"/>
        <w:jc w:val="left"/>
        <w:outlineLvl w:val="2"/>
        <w:rPr>
          <w:rFonts w:hint="eastAsia" w:ascii="黑体" w:hAnsi="黑体" w:eastAsia="黑体" w:cs="黑体"/>
          <w:b/>
          <w:bCs/>
          <w:color w:val="000000" w:themeColor="text1"/>
          <w:kern w:val="0"/>
          <w:sz w:val="28"/>
          <w:szCs w:val="28"/>
          <w:highlight w:val="none"/>
          <w:lang w:val="en-GB"/>
        </w:rPr>
      </w:pPr>
      <w:bookmarkStart w:id="635" w:name="_Toc8090"/>
      <w:bookmarkStart w:id="636" w:name="_Toc9517"/>
      <w:bookmarkStart w:id="637" w:name="_Toc25529"/>
      <w:bookmarkStart w:id="638" w:name="_Toc449456811"/>
      <w:bookmarkStart w:id="639" w:name="_Toc234394512"/>
      <w:bookmarkStart w:id="640" w:name="_Toc449456902"/>
      <w:bookmarkStart w:id="641" w:name="_Toc19676"/>
      <w:bookmarkStart w:id="642" w:name="_Toc15886"/>
      <w:bookmarkStart w:id="643" w:name="_Toc31553"/>
      <w:r>
        <w:rPr>
          <w:rFonts w:hint="eastAsia" w:ascii="黑体" w:hAnsi="黑体" w:eastAsia="黑体" w:cs="黑体"/>
          <w:b/>
          <w:bCs/>
          <w:color w:val="000000" w:themeColor="text1"/>
          <w:kern w:val="0"/>
          <w:sz w:val="28"/>
          <w:szCs w:val="28"/>
          <w:highlight w:val="none"/>
          <w:lang w:val="en-GB"/>
        </w:rPr>
        <w:t>3.</w:t>
      </w:r>
      <w:r>
        <w:rPr>
          <w:rFonts w:hint="eastAsia" w:ascii="黑体" w:hAnsi="黑体" w:eastAsia="黑体" w:cs="黑体"/>
          <w:b/>
          <w:bCs/>
          <w:color w:val="000000" w:themeColor="text1"/>
          <w:kern w:val="0"/>
          <w:sz w:val="28"/>
          <w:szCs w:val="28"/>
          <w:highlight w:val="none"/>
          <w:lang w:val="en-US" w:eastAsia="zh-CN"/>
        </w:rPr>
        <w:t>2.8</w:t>
      </w:r>
      <w:r>
        <w:rPr>
          <w:rFonts w:hint="eastAsia" w:ascii="黑体" w:hAnsi="黑体" w:eastAsia="黑体" w:cs="黑体"/>
          <w:b/>
          <w:bCs/>
          <w:color w:val="000000" w:themeColor="text1"/>
          <w:kern w:val="0"/>
          <w:sz w:val="28"/>
          <w:szCs w:val="28"/>
          <w:highlight w:val="none"/>
          <w:lang w:val="en-GB"/>
        </w:rPr>
        <w:t>检维修作业的危险、有害因素</w:t>
      </w:r>
      <w:bookmarkEnd w:id="635"/>
      <w:bookmarkEnd w:id="636"/>
      <w:bookmarkEnd w:id="637"/>
      <w:bookmarkEnd w:id="638"/>
      <w:bookmarkEnd w:id="639"/>
      <w:bookmarkEnd w:id="640"/>
      <w:bookmarkEnd w:id="641"/>
      <w:bookmarkEnd w:id="642"/>
      <w:bookmarkEnd w:id="643"/>
    </w:p>
    <w:p w14:paraId="3FA26BA3">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所有运转设备检修前，检修人员若未按要求办理临时停电票，通知电工停电。或未挂上“正在检修”的警示牌。电工或非工作人员失误送电而产生触电事故。</w:t>
      </w:r>
    </w:p>
    <w:p w14:paraId="3C59F971">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如果华美线业未严格执行危险作业安全管理制度；危险作业未采取可靠的防范措施和未经领导和主管部门批准，没办理好作业单前，就擅自作业；或作业未完成监护人离开现场等有产生灼烫、火灾、爆炸的危险。</w:t>
      </w:r>
    </w:p>
    <w:p w14:paraId="5F95F01B">
      <w:pPr>
        <w:widowControl w:val="0"/>
        <w:adjustRightInd w:val="0"/>
        <w:snapToGrid w:val="0"/>
        <w:spacing w:beforeLines="0" w:afterLines="0" w:line="360" w:lineRule="auto"/>
        <w:jc w:val="left"/>
        <w:outlineLvl w:val="2"/>
        <w:rPr>
          <w:rFonts w:hint="eastAsia" w:ascii="黑体" w:hAnsi="黑体" w:eastAsia="黑体" w:cs="黑体"/>
          <w:b/>
          <w:bCs/>
          <w:color w:val="000000" w:themeColor="text1"/>
          <w:kern w:val="0"/>
          <w:sz w:val="28"/>
          <w:szCs w:val="28"/>
          <w:highlight w:val="none"/>
          <w:lang w:val="en-GB"/>
        </w:rPr>
      </w:pPr>
      <w:bookmarkStart w:id="644" w:name="_Toc449456813"/>
      <w:bookmarkStart w:id="645" w:name="_Toc26736"/>
      <w:bookmarkStart w:id="646" w:name="_Toc234394518"/>
      <w:bookmarkStart w:id="647" w:name="_Toc449456904"/>
      <w:bookmarkStart w:id="648" w:name="_Toc12211"/>
      <w:bookmarkStart w:id="649" w:name="_Toc190762578"/>
      <w:bookmarkStart w:id="650" w:name="_Toc198457577"/>
      <w:bookmarkStart w:id="651" w:name="_Toc198521505"/>
      <w:bookmarkStart w:id="652" w:name="_Toc6419"/>
      <w:bookmarkStart w:id="653" w:name="_Toc1856"/>
      <w:bookmarkStart w:id="654" w:name="_Toc15969"/>
      <w:bookmarkStart w:id="655" w:name="_Toc2937"/>
      <w:r>
        <w:rPr>
          <w:rFonts w:hint="eastAsia" w:ascii="黑体" w:hAnsi="黑体" w:eastAsia="黑体" w:cs="黑体"/>
          <w:b/>
          <w:bCs/>
          <w:color w:val="000000" w:themeColor="text1"/>
          <w:kern w:val="0"/>
          <w:sz w:val="28"/>
          <w:szCs w:val="28"/>
          <w:highlight w:val="none"/>
          <w:lang w:val="en-GB"/>
        </w:rPr>
        <w:t>3.</w:t>
      </w:r>
      <w:r>
        <w:rPr>
          <w:rFonts w:hint="eastAsia" w:ascii="黑体" w:hAnsi="黑体" w:eastAsia="黑体" w:cs="黑体"/>
          <w:b/>
          <w:bCs/>
          <w:color w:val="000000" w:themeColor="text1"/>
          <w:kern w:val="0"/>
          <w:sz w:val="28"/>
          <w:szCs w:val="28"/>
          <w:highlight w:val="none"/>
          <w:lang w:val="en-US" w:eastAsia="zh-CN"/>
        </w:rPr>
        <w:t>2.9</w:t>
      </w:r>
      <w:r>
        <w:rPr>
          <w:rFonts w:hint="eastAsia" w:ascii="黑体" w:hAnsi="黑体" w:eastAsia="黑体" w:cs="黑体"/>
          <w:b/>
          <w:bCs/>
          <w:color w:val="000000" w:themeColor="text1"/>
          <w:kern w:val="0"/>
          <w:sz w:val="28"/>
          <w:szCs w:val="28"/>
          <w:highlight w:val="none"/>
          <w:lang w:val="en-GB"/>
        </w:rPr>
        <w:t>安全生产管理的危险、有害因素</w:t>
      </w:r>
      <w:bookmarkEnd w:id="644"/>
      <w:bookmarkEnd w:id="645"/>
      <w:bookmarkEnd w:id="646"/>
      <w:bookmarkEnd w:id="647"/>
      <w:bookmarkEnd w:id="648"/>
      <w:bookmarkEnd w:id="649"/>
      <w:bookmarkEnd w:id="650"/>
      <w:bookmarkEnd w:id="651"/>
      <w:bookmarkEnd w:id="652"/>
      <w:bookmarkEnd w:id="653"/>
      <w:bookmarkEnd w:id="654"/>
      <w:bookmarkEnd w:id="655"/>
    </w:p>
    <w:p w14:paraId="75451E72">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华美线业的安全生产管理系统涵盖组织机构、制度（安全生产责任制、安全生产管理制度、安全操作规程或安全检修规程、事故应急预案等）、人员、设施、信息资料等方面，包括整个系统的有效运行。</w:t>
      </w:r>
    </w:p>
    <w:p w14:paraId="32B5851D">
      <w:pPr>
        <w:keepNext w:val="0"/>
        <w:keepLines w:val="0"/>
        <w:pageBreakBefore w:val="0"/>
        <w:widowControl w:val="0"/>
        <w:kinsoku/>
        <w:wordWrap/>
        <w:topLinePunct w:val="0"/>
        <w:autoSpaceDE w:val="0"/>
        <w:autoSpaceDN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华美线业应有相应的安全管理制度，企业负责人、安全生产管理人员应进行安全培训，并取得相应的安全管理资质；特种作业人员应进行相应的专业培训并取得上岗证；作业人员应进行上岗前、岗中的定期培训及转岗安全培训，组织员工进行安全管理制度、操作规程及安全生产及危险化学品知识培训；定期进行现场安全检查，定期召开安全生产例会，并进行安全生产奖罚，使得企业生产有章可循。</w:t>
      </w:r>
    </w:p>
    <w:p w14:paraId="297047B7">
      <w:pPr>
        <w:keepNext w:val="0"/>
        <w:keepLines w:val="0"/>
        <w:pageBreakBefore w:val="0"/>
        <w:widowControl w:val="0"/>
        <w:kinsoku/>
        <w:wordWrap/>
        <w:topLinePunct w:val="0"/>
        <w:autoSpaceDE w:val="0"/>
        <w:autoSpaceDN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（1）如果企业员工（全体成员）的素质不能胜任其相关作业及安全管理要求，对生产工艺过程、设备设施、危险化学品的特性、应急处理知识等不足，安全生产意识淡薄，无法避免事故的发生。</w:t>
      </w:r>
    </w:p>
    <w:p w14:paraId="43FC23A9">
      <w:pPr>
        <w:keepNext w:val="0"/>
        <w:keepLines w:val="0"/>
        <w:pageBreakBefore w:val="0"/>
        <w:widowControl w:val="0"/>
        <w:kinsoku/>
        <w:wordWrap/>
        <w:topLinePunct w:val="0"/>
        <w:autoSpaceDE w:val="0"/>
        <w:autoSpaceDN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（2）管理不到位造成操作人员违反操作规程，会引起火灾爆炸等重大事故或中毒、各种伤害等事故。</w:t>
      </w:r>
    </w:p>
    <w:p w14:paraId="36DAB648">
      <w:pPr>
        <w:keepNext w:val="0"/>
        <w:keepLines w:val="0"/>
        <w:pageBreakBefore w:val="0"/>
        <w:widowControl w:val="0"/>
        <w:kinsoku/>
        <w:wordWrap/>
        <w:topLinePunct w:val="0"/>
        <w:autoSpaceDE w:val="0"/>
        <w:autoSpaceDN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（3）管理缺陷可能引起作业过程中的意外伤害。</w:t>
      </w:r>
    </w:p>
    <w:p w14:paraId="29980CAE">
      <w:pPr>
        <w:keepNext w:val="0"/>
        <w:keepLines w:val="0"/>
        <w:pageBreakBefore w:val="0"/>
        <w:widowControl w:val="0"/>
        <w:kinsoku/>
        <w:wordWrap/>
        <w:topLinePunct w:val="0"/>
        <w:autoSpaceDE w:val="0"/>
        <w:autoSpaceDN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（4）管理缺陷可能引起设备维修过程中的伤害。</w:t>
      </w:r>
    </w:p>
    <w:p w14:paraId="6C12C8A3">
      <w:pPr>
        <w:widowControl w:val="0"/>
        <w:adjustRightInd w:val="0"/>
        <w:snapToGrid w:val="0"/>
        <w:spacing w:beforeLines="0" w:afterLines="0" w:line="360" w:lineRule="auto"/>
        <w:jc w:val="left"/>
        <w:outlineLvl w:val="2"/>
        <w:rPr>
          <w:rFonts w:hint="eastAsia" w:ascii="黑体" w:hAnsi="黑体" w:eastAsia="黑体" w:cs="黑体"/>
          <w:b/>
          <w:bCs/>
          <w:color w:val="000000" w:themeColor="text1"/>
          <w:kern w:val="0"/>
          <w:sz w:val="28"/>
          <w:szCs w:val="28"/>
          <w:highlight w:val="none"/>
          <w:lang w:val="en-US" w:eastAsia="zh-CN"/>
        </w:rPr>
      </w:pPr>
      <w:bookmarkStart w:id="656" w:name="_Toc12370"/>
      <w:bookmarkStart w:id="657" w:name="_Toc32126"/>
      <w:bookmarkStart w:id="658" w:name="_Toc834"/>
      <w:bookmarkStart w:id="659" w:name="_Toc30687"/>
      <w:bookmarkStart w:id="660" w:name="_Toc1685"/>
      <w:bookmarkStart w:id="661" w:name="_Toc17126"/>
      <w:r>
        <w:rPr>
          <w:rFonts w:hint="eastAsia" w:ascii="黑体" w:hAnsi="黑体" w:eastAsia="黑体" w:cs="黑体"/>
          <w:b/>
          <w:bCs/>
          <w:color w:val="000000" w:themeColor="text1"/>
          <w:kern w:val="0"/>
          <w:sz w:val="28"/>
          <w:szCs w:val="28"/>
          <w:highlight w:val="none"/>
          <w:lang w:val="en-US" w:eastAsia="zh-CN"/>
        </w:rPr>
        <w:t>3.2.10其他危险、有害因素分析</w:t>
      </w:r>
      <w:bookmarkEnd w:id="656"/>
      <w:bookmarkEnd w:id="657"/>
      <w:bookmarkEnd w:id="658"/>
      <w:bookmarkEnd w:id="659"/>
      <w:bookmarkEnd w:id="660"/>
      <w:bookmarkEnd w:id="661"/>
    </w:p>
    <w:p w14:paraId="747D8BA3">
      <w:pPr>
        <w:pStyle w:val="744"/>
        <w:keepNext w:val="0"/>
        <w:keepLines w:val="0"/>
        <w:pageBreakBefore w:val="0"/>
        <w:widowControl w:val="0"/>
        <w:numPr>
          <w:ilvl w:val="0"/>
          <w:numId w:val="41"/>
        </w:numPr>
        <w:kinsoku/>
        <w:wordWrap/>
        <w:topLinePunct w:val="0"/>
        <w:bidi w:val="0"/>
        <w:adjustRightInd w:val="0"/>
        <w:snapToGrid w:val="0"/>
        <w:spacing w:line="360" w:lineRule="auto"/>
        <w:ind w:left="980" w:right="-586" w:rightChars="-244" w:hanging="420" w:firstLineChars="0"/>
        <w:rPr>
          <w:color w:val="000000" w:themeColor="text1"/>
          <w:sz w:val="28"/>
          <w:szCs w:val="28"/>
          <w:highlight w:val="none"/>
        </w:rPr>
      </w:pPr>
      <w:r>
        <w:rPr>
          <w:rFonts w:hint="eastAsia"/>
          <w:color w:val="000000" w:themeColor="text1"/>
          <w:sz w:val="28"/>
          <w:szCs w:val="28"/>
          <w:highlight w:val="none"/>
        </w:rPr>
        <w:t>机械危害</w:t>
      </w:r>
    </w:p>
    <w:p w14:paraId="21888144">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生产中使用的机械设备，若没有良好的防护设施，有机械伤害危险。</w:t>
      </w:r>
    </w:p>
    <w:p w14:paraId="7F5654D9">
      <w:pPr>
        <w:pStyle w:val="744"/>
        <w:keepNext w:val="0"/>
        <w:keepLines w:val="0"/>
        <w:pageBreakBefore w:val="0"/>
        <w:widowControl w:val="0"/>
        <w:numPr>
          <w:ilvl w:val="0"/>
          <w:numId w:val="41"/>
        </w:numPr>
        <w:kinsoku/>
        <w:wordWrap/>
        <w:topLinePunct w:val="0"/>
        <w:bidi w:val="0"/>
        <w:adjustRightInd w:val="0"/>
        <w:snapToGrid w:val="0"/>
        <w:spacing w:line="360" w:lineRule="auto"/>
        <w:ind w:left="980" w:right="-586" w:rightChars="-244" w:hanging="420" w:firstLineChars="0"/>
        <w:rPr>
          <w:color w:val="000000" w:themeColor="text1"/>
          <w:sz w:val="28"/>
          <w:szCs w:val="28"/>
          <w:highlight w:val="none"/>
        </w:rPr>
      </w:pPr>
      <w:r>
        <w:rPr>
          <w:rFonts w:hint="eastAsia"/>
          <w:color w:val="000000" w:themeColor="text1"/>
          <w:sz w:val="28"/>
          <w:szCs w:val="28"/>
          <w:highlight w:val="none"/>
        </w:rPr>
        <w:t>电气危害</w:t>
      </w:r>
    </w:p>
    <w:p w14:paraId="6AF7E409">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漏电伤害：电气设备的漏电有可能造成人员触电事故。</w:t>
      </w:r>
    </w:p>
    <w:p w14:paraId="1504D3B8">
      <w:pPr>
        <w:keepNext w:val="0"/>
        <w:keepLines w:val="0"/>
        <w:pageBreakBefore w:val="0"/>
        <w:widowControl w:val="0"/>
        <w:kinsoku/>
        <w:wordWrap/>
        <w:topLinePunct w:val="0"/>
        <w:autoSpaceDE w:val="0"/>
        <w:autoSpaceDN w:val="0"/>
        <w:bidi w:val="0"/>
        <w:adjustRightInd w:val="0"/>
        <w:snapToGrid w:val="0"/>
        <w:spacing w:line="360" w:lineRule="auto"/>
        <w:ind w:firstLine="570"/>
        <w:rPr>
          <w:color w:val="000000" w:themeColor="text1"/>
          <w:sz w:val="28"/>
          <w:szCs w:val="28"/>
          <w:highlight w:val="none"/>
        </w:rPr>
      </w:pPr>
      <w:r>
        <w:rPr>
          <w:rFonts w:hint="eastAsia"/>
          <w:color w:val="000000" w:themeColor="text1"/>
          <w:sz w:val="28"/>
          <w:szCs w:val="28"/>
          <w:highlight w:val="none"/>
        </w:rPr>
        <w:t>触电事故：如防护设施缺陷或不严格遵守安全操作规程，有触电危害可能。特别在检修时，因组织或安全技术措施不到位、不完备，可能造成触电事故。</w:t>
      </w:r>
    </w:p>
    <w:p w14:paraId="18155908">
      <w:pPr>
        <w:pStyle w:val="744"/>
        <w:keepNext w:val="0"/>
        <w:keepLines w:val="0"/>
        <w:pageBreakBefore w:val="0"/>
        <w:widowControl w:val="0"/>
        <w:numPr>
          <w:ilvl w:val="0"/>
          <w:numId w:val="41"/>
        </w:numPr>
        <w:kinsoku/>
        <w:wordWrap/>
        <w:topLinePunct w:val="0"/>
        <w:bidi w:val="0"/>
        <w:adjustRightInd w:val="0"/>
        <w:snapToGrid w:val="0"/>
        <w:spacing w:line="360" w:lineRule="auto"/>
        <w:ind w:left="980" w:right="-586" w:rightChars="-244" w:hanging="420" w:firstLineChars="0"/>
        <w:rPr>
          <w:color w:val="000000" w:themeColor="text1"/>
          <w:sz w:val="28"/>
          <w:szCs w:val="28"/>
          <w:highlight w:val="none"/>
        </w:rPr>
      </w:pPr>
      <w:r>
        <w:rPr>
          <w:rFonts w:hint="eastAsia"/>
          <w:color w:val="000000" w:themeColor="text1"/>
          <w:sz w:val="28"/>
          <w:szCs w:val="28"/>
          <w:highlight w:val="none"/>
        </w:rPr>
        <w:t>车辆伤害</w:t>
      </w:r>
    </w:p>
    <w:p w14:paraId="1A8AABF1">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物料运输、装卸时因机动车辆出现车况不良、制动失灵等故障，或是由于驾驶员操作不当，行人不小心等原因，可能发生车辆伤害事故。</w:t>
      </w:r>
    </w:p>
    <w:p w14:paraId="0A7D4DDF">
      <w:pPr>
        <w:widowControl w:val="0"/>
        <w:adjustRightInd w:val="0"/>
        <w:snapToGrid w:val="0"/>
        <w:spacing w:beforeLines="0" w:afterLines="0" w:line="360" w:lineRule="auto"/>
        <w:jc w:val="left"/>
        <w:outlineLvl w:val="2"/>
        <w:rPr>
          <w:rFonts w:hint="eastAsia" w:ascii="黑体" w:hAnsi="黑体" w:eastAsia="黑体" w:cs="黑体"/>
          <w:b/>
          <w:bCs/>
          <w:color w:val="000000" w:themeColor="text1"/>
          <w:kern w:val="0"/>
          <w:sz w:val="28"/>
          <w:szCs w:val="28"/>
          <w:highlight w:val="none"/>
          <w:lang w:val="en-US" w:eastAsia="zh-CN"/>
        </w:rPr>
      </w:pPr>
      <w:bookmarkStart w:id="662" w:name="_Toc3795"/>
      <w:bookmarkStart w:id="663" w:name="_Toc17374"/>
      <w:bookmarkStart w:id="664" w:name="_Toc7851"/>
      <w:bookmarkStart w:id="665" w:name="_Toc4244"/>
      <w:bookmarkStart w:id="666" w:name="_Toc23832"/>
      <w:bookmarkStart w:id="667" w:name="_Toc22155"/>
      <w:r>
        <w:rPr>
          <w:rFonts w:hint="eastAsia" w:ascii="黑体" w:hAnsi="黑体" w:eastAsia="黑体" w:cs="黑体"/>
          <w:b/>
          <w:bCs/>
          <w:color w:val="000000" w:themeColor="text1"/>
          <w:kern w:val="0"/>
          <w:sz w:val="28"/>
          <w:szCs w:val="28"/>
          <w:highlight w:val="none"/>
          <w:lang w:val="en-US" w:eastAsia="zh-CN"/>
        </w:rPr>
        <w:t>3.2.11 职业病危害</w:t>
      </w:r>
      <w:bookmarkEnd w:id="662"/>
      <w:bookmarkEnd w:id="663"/>
      <w:bookmarkEnd w:id="664"/>
      <w:bookmarkEnd w:id="665"/>
      <w:bookmarkEnd w:id="666"/>
      <w:bookmarkEnd w:id="667"/>
    </w:p>
    <w:p w14:paraId="1A482F04">
      <w:pPr>
        <w:keepNext w:val="0"/>
        <w:keepLines w:val="0"/>
        <w:pageBreakBefore w:val="0"/>
        <w:widowControl w:val="0"/>
        <w:numPr>
          <w:ilvl w:val="0"/>
          <w:numId w:val="42"/>
        </w:numPr>
        <w:kinsoku/>
        <w:wordWrap/>
        <w:overflowPunct/>
        <w:topLinePunct w:val="0"/>
        <w:autoSpaceDE/>
        <w:autoSpaceDN/>
        <w:bidi w:val="0"/>
        <w:adjustRightInd w:val="0"/>
        <w:snapToGrid w:val="0"/>
        <w:spacing w:line="360" w:lineRule="auto"/>
        <w:ind w:left="0" w:leftChars="0" w:firstLine="560" w:firstLineChars="200"/>
        <w:textAlignment w:val="auto"/>
        <w:rPr>
          <w:color w:val="000000" w:themeColor="text1"/>
          <w:sz w:val="28"/>
          <w:szCs w:val="28"/>
          <w:highlight w:val="none"/>
        </w:rPr>
      </w:pPr>
      <w:r>
        <w:rPr>
          <w:color w:val="000000" w:themeColor="text1"/>
          <w:sz w:val="28"/>
          <w:szCs w:val="28"/>
          <w:highlight w:val="none"/>
        </w:rPr>
        <w:t>毒性</w:t>
      </w:r>
    </w:p>
    <w:p w14:paraId="7DCB91F7">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color w:val="000000" w:themeColor="text1"/>
          <w:sz w:val="28"/>
          <w:szCs w:val="28"/>
          <w:highlight w:val="none"/>
        </w:rPr>
      </w:pPr>
      <w:r>
        <w:rPr>
          <w:rFonts w:hint="eastAsia"/>
          <w:color w:val="000000" w:themeColor="text1"/>
          <w:sz w:val="28"/>
          <w:szCs w:val="28"/>
          <w:highlight w:val="none"/>
        </w:rPr>
        <w:t>华美线业毒物主要来源自</w:t>
      </w:r>
      <w:r>
        <w:rPr>
          <w:rFonts w:hint="eastAsia"/>
          <w:color w:val="000000" w:themeColor="text1"/>
          <w:sz w:val="28"/>
          <w:szCs w:val="28"/>
          <w:highlight w:val="none"/>
          <w:lang w:eastAsia="zh-CN"/>
        </w:rPr>
        <w:t>乙酸</w:t>
      </w:r>
      <w:r>
        <w:rPr>
          <w:rFonts w:hint="eastAsia"/>
          <w:color w:val="000000" w:themeColor="text1"/>
          <w:sz w:val="28"/>
          <w:szCs w:val="28"/>
          <w:highlight w:val="none"/>
        </w:rPr>
        <w:t>，操作人员若未佩戴劳动防护用品，长期作业有中毒的危险。</w:t>
      </w:r>
    </w:p>
    <w:p w14:paraId="176E0359">
      <w:pPr>
        <w:keepNext w:val="0"/>
        <w:keepLines w:val="0"/>
        <w:pageBreakBefore w:val="0"/>
        <w:widowControl w:val="0"/>
        <w:numPr>
          <w:ilvl w:val="0"/>
          <w:numId w:val="42"/>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rPr>
      </w:pPr>
      <w:bookmarkStart w:id="668" w:name="_Toc424199997"/>
      <w:bookmarkStart w:id="669" w:name="_Toc463640715"/>
      <w:bookmarkStart w:id="670" w:name="_Toc463640872"/>
      <w:bookmarkStart w:id="671" w:name="_Toc20124038"/>
      <w:bookmarkStart w:id="672" w:name="_Toc270397386"/>
      <w:bookmarkStart w:id="673" w:name="_Toc349747236"/>
      <w:bookmarkStart w:id="674" w:name="_Toc465881132"/>
      <w:r>
        <w:rPr>
          <w:rFonts w:hint="eastAsia"/>
          <w:color w:val="000000" w:themeColor="text1"/>
          <w:sz w:val="28"/>
          <w:szCs w:val="28"/>
          <w:highlight w:val="none"/>
        </w:rPr>
        <w:t>粉尘危害</w:t>
      </w:r>
      <w:bookmarkEnd w:id="668"/>
      <w:bookmarkEnd w:id="669"/>
      <w:bookmarkEnd w:id="670"/>
      <w:bookmarkEnd w:id="671"/>
      <w:bookmarkEnd w:id="672"/>
      <w:bookmarkEnd w:id="673"/>
      <w:bookmarkEnd w:id="674"/>
    </w:p>
    <w:p w14:paraId="2B2B55FF">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color w:val="000000" w:themeColor="text1"/>
          <w:sz w:val="28"/>
          <w:szCs w:val="28"/>
          <w:highlight w:val="none"/>
        </w:rPr>
      </w:pPr>
      <w:r>
        <w:rPr>
          <w:color w:val="000000" w:themeColor="text1"/>
          <w:sz w:val="28"/>
          <w:szCs w:val="28"/>
          <w:highlight w:val="none"/>
        </w:rPr>
        <w:t>粉尘对人体的危害主要在于呼吸系统，其次也有极少量经呼吸道和皮肤吸收的毒物直接由血液分布到全身。粉尘对人体的危害，跟它们在呼吸道中阻留的程度和分散度高低有密切的关系，粒径小，分散度大。</w:t>
      </w:r>
      <w:r>
        <w:rPr>
          <w:rFonts w:hint="eastAsia"/>
          <w:color w:val="000000" w:themeColor="text1"/>
          <w:sz w:val="28"/>
          <w:szCs w:val="28"/>
          <w:highlight w:val="none"/>
        </w:rPr>
        <w:t>粉尘阻留程度跟粒径的</w:t>
      </w:r>
      <w:r>
        <w:rPr>
          <w:color w:val="000000" w:themeColor="text1"/>
          <w:sz w:val="28"/>
          <w:szCs w:val="28"/>
          <w:highlight w:val="none"/>
        </w:rPr>
        <w:t>关系见</w:t>
      </w:r>
      <w:r>
        <w:rPr>
          <w:rFonts w:hint="eastAsia"/>
          <w:color w:val="000000" w:themeColor="text1"/>
          <w:sz w:val="28"/>
          <w:szCs w:val="28"/>
          <w:highlight w:val="none"/>
        </w:rPr>
        <w:t>下表</w:t>
      </w:r>
      <w:r>
        <w:rPr>
          <w:color w:val="000000" w:themeColor="text1"/>
          <w:sz w:val="28"/>
          <w:szCs w:val="28"/>
          <w:highlight w:val="none"/>
        </w:rPr>
        <w:t>。</w:t>
      </w:r>
    </w:p>
    <w:p w14:paraId="33FE2759">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黑体" w:hAnsi="黑体" w:eastAsia="黑体"/>
          <w:b/>
          <w:color w:val="000000" w:themeColor="text1"/>
          <w:highlight w:val="none"/>
        </w:rPr>
      </w:pPr>
    </w:p>
    <w:p w14:paraId="42F546F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黑体" w:hAnsi="黑体" w:eastAsia="黑体"/>
          <w:b/>
          <w:color w:val="000000" w:themeColor="text1"/>
          <w:highlight w:val="none"/>
        </w:rPr>
      </w:pPr>
    </w:p>
    <w:p w14:paraId="57EB690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黑体" w:hAnsi="黑体" w:eastAsia="黑体"/>
          <w:b/>
          <w:color w:val="000000" w:themeColor="text1"/>
          <w:highlight w:val="none"/>
        </w:rPr>
      </w:pPr>
    </w:p>
    <w:p w14:paraId="7542E8A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黑体" w:hAnsi="黑体" w:eastAsia="黑体"/>
          <w:b/>
          <w:color w:val="000000" w:themeColor="text1"/>
          <w:highlight w:val="none"/>
        </w:rPr>
      </w:pPr>
    </w:p>
    <w:p w14:paraId="7E1F125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黑体" w:hAnsi="黑体" w:eastAsia="黑体"/>
          <w:b/>
          <w:color w:val="000000" w:themeColor="text1"/>
          <w:highlight w:val="none"/>
          <w:lang w:eastAsia="zh-CN"/>
        </w:rPr>
      </w:pPr>
      <w:r>
        <w:rPr>
          <w:rFonts w:hint="eastAsia" w:ascii="黑体" w:hAnsi="黑体" w:eastAsia="黑体"/>
          <w:b/>
          <w:color w:val="000000" w:themeColor="text1"/>
          <w:highlight w:val="none"/>
        </w:rPr>
        <w:t>表</w:t>
      </w:r>
      <w:r>
        <w:rPr>
          <w:rFonts w:ascii="黑体" w:hAnsi="黑体" w:eastAsia="黑体"/>
          <w:b/>
          <w:color w:val="000000" w:themeColor="text1"/>
          <w:highlight w:val="none"/>
        </w:rPr>
        <w:t>3.</w:t>
      </w:r>
      <w:r>
        <w:rPr>
          <w:rFonts w:hint="eastAsia" w:ascii="黑体" w:hAnsi="黑体" w:eastAsia="黑体"/>
          <w:b/>
          <w:color w:val="000000" w:themeColor="text1"/>
          <w:highlight w:val="none"/>
          <w:lang w:val="en-US" w:eastAsia="zh-CN"/>
        </w:rPr>
        <w:t>2</w:t>
      </w:r>
      <w:r>
        <w:rPr>
          <w:rFonts w:ascii="黑体" w:hAnsi="黑体" w:eastAsia="黑体"/>
          <w:b/>
          <w:color w:val="000000" w:themeColor="text1"/>
          <w:highlight w:val="none"/>
        </w:rPr>
        <w:t>-</w:t>
      </w:r>
      <w:r>
        <w:rPr>
          <w:rFonts w:hint="eastAsia" w:ascii="黑体" w:hAnsi="黑体" w:eastAsia="黑体"/>
          <w:b/>
          <w:color w:val="000000" w:themeColor="text1"/>
          <w:highlight w:val="none"/>
          <w:lang w:val="en-US" w:eastAsia="zh-CN"/>
        </w:rPr>
        <w:t>4</w:t>
      </w:r>
      <w:r>
        <w:rPr>
          <w:rFonts w:ascii="黑体" w:hAnsi="黑体" w:eastAsia="黑体"/>
          <w:b/>
          <w:color w:val="000000" w:themeColor="text1"/>
          <w:highlight w:val="none"/>
        </w:rPr>
        <w:t>粉尘阻留程度跟粒径的关系</w:t>
      </w:r>
      <w:r>
        <w:rPr>
          <w:rFonts w:hint="eastAsia" w:ascii="黑体" w:hAnsi="黑体" w:eastAsia="黑体"/>
          <w:b/>
          <w:color w:val="000000" w:themeColor="text1"/>
          <w:highlight w:val="none"/>
          <w:lang w:eastAsia="zh-CN"/>
        </w:rPr>
        <w:t>表</w:t>
      </w:r>
    </w:p>
    <w:tbl>
      <w:tblPr>
        <w:tblStyle w:val="61"/>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740"/>
        <w:gridCol w:w="6662"/>
      </w:tblGrid>
      <w:tr w14:paraId="349691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1457" w:type="pct"/>
            <w:vAlign w:val="center"/>
          </w:tcPr>
          <w:p w14:paraId="5247191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color w:val="000000" w:themeColor="text1"/>
                <w:sz w:val="21"/>
                <w:szCs w:val="21"/>
                <w:highlight w:val="none"/>
              </w:rPr>
            </w:pPr>
            <w:r>
              <w:rPr>
                <w:b/>
                <w:bCs/>
                <w:color w:val="000000" w:themeColor="text1"/>
                <w:sz w:val="21"/>
                <w:szCs w:val="21"/>
                <w:highlight w:val="none"/>
              </w:rPr>
              <w:t>粒径（μm）</w:t>
            </w:r>
          </w:p>
        </w:tc>
        <w:tc>
          <w:tcPr>
            <w:tcW w:w="3543" w:type="pct"/>
            <w:vAlign w:val="center"/>
          </w:tcPr>
          <w:p w14:paraId="086DF42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color w:val="000000" w:themeColor="text1"/>
                <w:sz w:val="21"/>
                <w:szCs w:val="21"/>
                <w:highlight w:val="none"/>
              </w:rPr>
            </w:pPr>
            <w:r>
              <w:rPr>
                <w:b/>
                <w:bCs/>
                <w:color w:val="000000" w:themeColor="text1"/>
                <w:sz w:val="21"/>
                <w:szCs w:val="21"/>
                <w:highlight w:val="none"/>
              </w:rPr>
              <w:t>呼吸道中阻留程度</w:t>
            </w:r>
          </w:p>
        </w:tc>
      </w:tr>
      <w:tr w14:paraId="2EDCF6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57" w:type="pct"/>
            <w:vAlign w:val="center"/>
          </w:tcPr>
          <w:p w14:paraId="4295521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000000" w:themeColor="text1"/>
                <w:sz w:val="21"/>
                <w:szCs w:val="21"/>
                <w:highlight w:val="none"/>
              </w:rPr>
            </w:pPr>
            <w:r>
              <w:rPr>
                <w:color w:val="000000" w:themeColor="text1"/>
                <w:sz w:val="21"/>
                <w:szCs w:val="21"/>
                <w:highlight w:val="none"/>
              </w:rPr>
              <w:t>≥50</w:t>
            </w:r>
          </w:p>
        </w:tc>
        <w:tc>
          <w:tcPr>
            <w:tcW w:w="3543" w:type="pct"/>
            <w:vAlign w:val="center"/>
          </w:tcPr>
          <w:p w14:paraId="4ABB848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000000" w:themeColor="text1"/>
                <w:sz w:val="21"/>
                <w:szCs w:val="21"/>
                <w:highlight w:val="none"/>
              </w:rPr>
            </w:pPr>
            <w:r>
              <w:rPr>
                <w:color w:val="000000" w:themeColor="text1"/>
                <w:sz w:val="21"/>
                <w:szCs w:val="21"/>
                <w:highlight w:val="none"/>
              </w:rPr>
              <w:t>完全被阻留在鼻气管和大支气管内</w:t>
            </w:r>
          </w:p>
        </w:tc>
      </w:tr>
      <w:tr w14:paraId="6A9050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57" w:type="pct"/>
            <w:vAlign w:val="center"/>
          </w:tcPr>
          <w:p w14:paraId="59E54A4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000000" w:themeColor="text1"/>
                <w:sz w:val="21"/>
                <w:szCs w:val="21"/>
                <w:highlight w:val="none"/>
              </w:rPr>
            </w:pPr>
            <w:r>
              <w:rPr>
                <w:color w:val="000000" w:themeColor="text1"/>
                <w:sz w:val="21"/>
                <w:szCs w:val="21"/>
                <w:highlight w:val="none"/>
              </w:rPr>
              <w:br w:type="page"/>
            </w:r>
            <w:r>
              <w:rPr>
                <w:color w:val="000000" w:themeColor="text1"/>
                <w:sz w:val="21"/>
                <w:szCs w:val="21"/>
                <w:highlight w:val="none"/>
              </w:rPr>
              <w:t>50～10</w:t>
            </w:r>
          </w:p>
        </w:tc>
        <w:tc>
          <w:tcPr>
            <w:tcW w:w="3543" w:type="pct"/>
            <w:vAlign w:val="center"/>
          </w:tcPr>
          <w:p w14:paraId="19D343F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000000" w:themeColor="text1"/>
                <w:sz w:val="21"/>
                <w:szCs w:val="21"/>
                <w:highlight w:val="none"/>
              </w:rPr>
            </w:pPr>
            <w:r>
              <w:rPr>
                <w:color w:val="000000" w:themeColor="text1"/>
                <w:sz w:val="21"/>
                <w:szCs w:val="21"/>
                <w:highlight w:val="none"/>
              </w:rPr>
              <w:t>被阻留在上呼吸道内</w:t>
            </w:r>
          </w:p>
        </w:tc>
      </w:tr>
      <w:tr w14:paraId="434076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57" w:type="pct"/>
            <w:vAlign w:val="center"/>
          </w:tcPr>
          <w:p w14:paraId="503F297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000000" w:themeColor="text1"/>
                <w:sz w:val="21"/>
                <w:szCs w:val="21"/>
                <w:highlight w:val="none"/>
              </w:rPr>
            </w:pPr>
            <w:r>
              <w:rPr>
                <w:color w:val="000000" w:themeColor="text1"/>
                <w:sz w:val="21"/>
                <w:szCs w:val="21"/>
                <w:highlight w:val="none"/>
              </w:rPr>
              <w:t>10～5</w:t>
            </w:r>
          </w:p>
        </w:tc>
        <w:tc>
          <w:tcPr>
            <w:tcW w:w="3543" w:type="pct"/>
            <w:vAlign w:val="center"/>
          </w:tcPr>
          <w:p w14:paraId="39C0D0B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000000" w:themeColor="text1"/>
                <w:sz w:val="21"/>
                <w:szCs w:val="21"/>
                <w:highlight w:val="none"/>
              </w:rPr>
            </w:pPr>
            <w:r>
              <w:rPr>
                <w:color w:val="000000" w:themeColor="text1"/>
                <w:sz w:val="21"/>
                <w:szCs w:val="21"/>
                <w:highlight w:val="none"/>
              </w:rPr>
              <w:t>能达到肺泡内，但大部分也同样被阻留在呼吸道内</w:t>
            </w:r>
          </w:p>
        </w:tc>
      </w:tr>
      <w:tr w14:paraId="107300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57" w:type="pct"/>
            <w:vAlign w:val="center"/>
          </w:tcPr>
          <w:p w14:paraId="24C7BD0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000000" w:themeColor="text1"/>
                <w:sz w:val="21"/>
                <w:szCs w:val="21"/>
                <w:highlight w:val="none"/>
              </w:rPr>
            </w:pPr>
            <w:r>
              <w:rPr>
                <w:color w:val="000000" w:themeColor="text1"/>
                <w:sz w:val="21"/>
                <w:szCs w:val="21"/>
                <w:highlight w:val="none"/>
              </w:rPr>
              <w:t>5～0.1</w:t>
            </w:r>
          </w:p>
        </w:tc>
        <w:tc>
          <w:tcPr>
            <w:tcW w:w="3543" w:type="pct"/>
            <w:vAlign w:val="center"/>
          </w:tcPr>
          <w:p w14:paraId="563487A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000000" w:themeColor="text1"/>
                <w:sz w:val="21"/>
                <w:szCs w:val="21"/>
                <w:highlight w:val="none"/>
              </w:rPr>
            </w:pPr>
            <w:r>
              <w:rPr>
                <w:color w:val="000000" w:themeColor="text1"/>
                <w:sz w:val="21"/>
                <w:szCs w:val="21"/>
                <w:highlight w:val="none"/>
              </w:rPr>
              <w:t>最易被阻留在肺泡内而形成尘肺</w:t>
            </w:r>
          </w:p>
        </w:tc>
      </w:tr>
    </w:tbl>
    <w:p w14:paraId="18112969">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color w:val="000000" w:themeColor="text1"/>
          <w:sz w:val="28"/>
          <w:szCs w:val="28"/>
          <w:highlight w:val="none"/>
        </w:rPr>
      </w:pPr>
      <w:r>
        <w:rPr>
          <w:rFonts w:hint="eastAsia"/>
          <w:color w:val="000000" w:themeColor="text1"/>
          <w:sz w:val="28"/>
          <w:szCs w:val="28"/>
          <w:highlight w:val="none"/>
        </w:rPr>
        <w:t>本项目粉尘危害主要来自</w:t>
      </w:r>
      <w:r>
        <w:rPr>
          <w:rFonts w:hint="eastAsia"/>
          <w:color w:val="000000" w:themeColor="text1"/>
          <w:sz w:val="28"/>
          <w:szCs w:val="28"/>
          <w:highlight w:val="none"/>
          <w:lang w:eastAsia="zh-CN"/>
        </w:rPr>
        <w:t>保险粉、过碳酸钠</w:t>
      </w:r>
      <w:r>
        <w:rPr>
          <w:rFonts w:hint="eastAsia"/>
          <w:color w:val="000000" w:themeColor="text1"/>
          <w:sz w:val="28"/>
          <w:szCs w:val="28"/>
          <w:highlight w:val="none"/>
        </w:rPr>
        <w:t>的储存、分装、</w:t>
      </w:r>
      <w:r>
        <w:rPr>
          <w:rStyle w:val="791"/>
          <w:rFonts w:hint="default"/>
          <w:color w:val="000000" w:themeColor="text1"/>
          <w:sz w:val="28"/>
          <w:szCs w:val="28"/>
          <w:highlight w:val="none"/>
        </w:rPr>
        <w:t>输送、</w:t>
      </w:r>
      <w:r>
        <w:rPr>
          <w:rFonts w:hint="eastAsia"/>
          <w:color w:val="000000" w:themeColor="text1"/>
          <w:sz w:val="28"/>
          <w:szCs w:val="28"/>
          <w:highlight w:val="none"/>
        </w:rPr>
        <w:t>投料等工序，在作业的过程中易发生粉尘危害。若无良好的个体防护用品将会对操作人员造成粉尘危害应加强防止粉尘危害的措施。</w:t>
      </w:r>
    </w:p>
    <w:p w14:paraId="7310CDC4">
      <w:pPr>
        <w:widowControl w:val="0"/>
        <w:adjustRightInd w:val="0"/>
        <w:snapToGrid w:val="0"/>
        <w:spacing w:beforeLines="0" w:afterLines="0" w:line="360" w:lineRule="auto"/>
        <w:jc w:val="left"/>
        <w:outlineLvl w:val="2"/>
        <w:rPr>
          <w:rFonts w:hint="eastAsia" w:ascii="黑体" w:hAnsi="黑体" w:eastAsia="黑体" w:cs="黑体"/>
          <w:b/>
          <w:bCs/>
          <w:color w:val="000000" w:themeColor="text1"/>
          <w:kern w:val="0"/>
          <w:sz w:val="28"/>
          <w:szCs w:val="28"/>
          <w:highlight w:val="none"/>
          <w:lang w:val="en-US" w:eastAsia="zh-CN"/>
        </w:rPr>
      </w:pPr>
      <w:bookmarkStart w:id="675" w:name="_Toc449456905"/>
      <w:bookmarkStart w:id="676" w:name="_Toc25584"/>
      <w:bookmarkStart w:id="677" w:name="_Toc10005"/>
      <w:bookmarkStart w:id="678" w:name="_Toc449456814"/>
      <w:bookmarkStart w:id="679" w:name="_Toc308426066"/>
      <w:bookmarkStart w:id="680" w:name="_Toc22696"/>
      <w:bookmarkStart w:id="681" w:name="_Toc26859"/>
      <w:bookmarkStart w:id="682" w:name="_Toc4075"/>
      <w:bookmarkStart w:id="683" w:name="_Toc22346"/>
      <w:r>
        <w:rPr>
          <w:rFonts w:hint="eastAsia" w:ascii="黑体" w:hAnsi="黑体" w:eastAsia="黑体" w:cs="黑体"/>
          <w:b/>
          <w:bCs/>
          <w:color w:val="000000" w:themeColor="text1"/>
          <w:kern w:val="0"/>
          <w:sz w:val="28"/>
          <w:szCs w:val="28"/>
          <w:highlight w:val="none"/>
          <w:lang w:val="en-US" w:eastAsia="zh-CN"/>
        </w:rPr>
        <w:t>3.2.12 危险化学品重大危险源辨识</w:t>
      </w:r>
      <w:bookmarkEnd w:id="675"/>
      <w:bookmarkEnd w:id="676"/>
      <w:bookmarkEnd w:id="677"/>
      <w:bookmarkEnd w:id="678"/>
      <w:bookmarkEnd w:id="679"/>
      <w:bookmarkEnd w:id="680"/>
      <w:bookmarkEnd w:id="681"/>
      <w:bookmarkEnd w:id="682"/>
      <w:bookmarkEnd w:id="683"/>
    </w:p>
    <w:p w14:paraId="0F5AF63D">
      <w:pPr>
        <w:pStyle w:val="731"/>
        <w:keepNext w:val="0"/>
        <w:keepLines w:val="0"/>
        <w:pageBreakBefore w:val="0"/>
        <w:widowControl w:val="0"/>
        <w:kinsoku/>
        <w:wordWrap/>
        <w:topLinePunct w:val="0"/>
        <w:bidi w:val="0"/>
        <w:adjustRightInd w:val="0"/>
        <w:snapToGrid w:val="0"/>
        <w:ind w:firstLine="560"/>
        <w:rPr>
          <w:color w:val="000000" w:themeColor="text1"/>
          <w:szCs w:val="28"/>
          <w:highlight w:val="none"/>
        </w:rPr>
      </w:pPr>
      <w:r>
        <w:rPr>
          <w:rFonts w:hint="eastAsia"/>
          <w:color w:val="000000" w:themeColor="text1"/>
          <w:szCs w:val="28"/>
          <w:highlight w:val="none"/>
        </w:rPr>
        <w:t>根据国家标准《危险化学品重大危险源辨识》GB 18218-2018，对华美线业进行危险化学品重大危险源辨识。</w:t>
      </w:r>
    </w:p>
    <w:p w14:paraId="4B5A94FC">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生产单元、储存单元内存在危险化学品的数量等于或超过规定的临界量，即被定为重大危险源。单元内存在的危险化学品的数量根据危险化学品种类的多少区分为以下两种情况：</w:t>
      </w:r>
    </w:p>
    <w:p w14:paraId="36655578">
      <w:pPr>
        <w:keepNext w:val="0"/>
        <w:keepLines w:val="0"/>
        <w:pageBreakBefore w:val="0"/>
        <w:widowControl w:val="0"/>
        <w:numPr>
          <w:ilvl w:val="6"/>
          <w:numId w:val="43"/>
        </w:numPr>
        <w:tabs>
          <w:tab w:val="left" w:pos="993"/>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生产单元、储存单元内存在的危险化学品为单一品种时，该危险化学品的数量即为单元内危险化学品的总量，若等于或超过相应的临界量，则定为重大危险源。</w:t>
      </w:r>
    </w:p>
    <w:p w14:paraId="3B9BE494">
      <w:pPr>
        <w:keepNext w:val="0"/>
        <w:keepLines w:val="0"/>
        <w:pageBreakBefore w:val="0"/>
        <w:widowControl w:val="0"/>
        <w:numPr>
          <w:ilvl w:val="6"/>
          <w:numId w:val="43"/>
        </w:numPr>
        <w:tabs>
          <w:tab w:val="left" w:pos="993"/>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生产单元、储存单元内存在的危险化学品为多品种时，按式（1）计算，若满足式（1），则定为重大危险源：</w:t>
      </w:r>
    </w:p>
    <w:p w14:paraId="4E8AC831">
      <w:pPr>
        <w:keepNext w:val="0"/>
        <w:keepLines w:val="0"/>
        <w:pageBreakBefore w:val="0"/>
        <w:widowControl w:val="0"/>
        <w:tabs>
          <w:tab w:val="left" w:pos="993"/>
        </w:tabs>
        <w:kinsoku/>
        <w:wordWrap/>
        <w:topLinePunct w:val="0"/>
        <w:bidi w:val="0"/>
        <w:adjustRightInd w:val="0"/>
        <w:snapToGrid w:val="0"/>
        <w:spacing w:line="360" w:lineRule="auto"/>
        <w:ind w:left="560"/>
        <w:jc w:val="center"/>
        <w:rPr>
          <w:bCs/>
          <w:color w:val="000000" w:themeColor="text1"/>
          <w:sz w:val="28"/>
          <w:szCs w:val="28"/>
          <w:highlight w:val="none"/>
        </w:rPr>
      </w:pPr>
      <w:r>
        <w:rPr>
          <w:rFonts w:hint="eastAsia"/>
          <w:color w:val="000000" w:themeColor="text1"/>
          <w:sz w:val="28"/>
          <w:szCs w:val="28"/>
          <w:highlight w:val="none"/>
        </w:rPr>
        <w:t>S</w:t>
      </w:r>
      <w:r>
        <w:rPr>
          <w:rFonts w:hint="eastAsia"/>
          <w:bCs/>
          <w:color w:val="000000" w:themeColor="text1"/>
          <w:sz w:val="28"/>
          <w:szCs w:val="28"/>
          <w:highlight w:val="none"/>
        </w:rPr>
        <w:t>=</w:t>
      </w:r>
      <w:r>
        <w:rPr>
          <w:bCs/>
          <w:color w:val="000000" w:themeColor="text1"/>
          <w:sz w:val="28"/>
          <w:szCs w:val="28"/>
          <w:highlight w:val="none"/>
        </w:rPr>
        <w:t>q</w:t>
      </w:r>
      <w:r>
        <w:rPr>
          <w:bCs/>
          <w:color w:val="000000" w:themeColor="text1"/>
          <w:sz w:val="28"/>
          <w:szCs w:val="28"/>
          <w:highlight w:val="none"/>
          <w:vertAlign w:val="subscript"/>
        </w:rPr>
        <w:t>1</w:t>
      </w:r>
      <w:r>
        <w:rPr>
          <w:bCs/>
          <w:color w:val="000000" w:themeColor="text1"/>
          <w:sz w:val="28"/>
          <w:szCs w:val="28"/>
          <w:highlight w:val="none"/>
        </w:rPr>
        <w:t>/Q</w:t>
      </w:r>
      <w:r>
        <w:rPr>
          <w:rFonts w:hint="eastAsia"/>
          <w:bCs/>
          <w:color w:val="000000" w:themeColor="text1"/>
          <w:sz w:val="28"/>
          <w:szCs w:val="28"/>
          <w:highlight w:val="none"/>
          <w:vertAlign w:val="subscript"/>
        </w:rPr>
        <w:t>1</w:t>
      </w:r>
      <w:r>
        <w:rPr>
          <w:bCs/>
          <w:color w:val="000000" w:themeColor="text1"/>
          <w:sz w:val="28"/>
          <w:szCs w:val="28"/>
          <w:highlight w:val="none"/>
        </w:rPr>
        <w:t>+q</w:t>
      </w:r>
      <w:r>
        <w:rPr>
          <w:bCs/>
          <w:color w:val="000000" w:themeColor="text1"/>
          <w:sz w:val="28"/>
          <w:szCs w:val="28"/>
          <w:highlight w:val="none"/>
          <w:vertAlign w:val="subscript"/>
        </w:rPr>
        <w:t>2</w:t>
      </w:r>
      <w:r>
        <w:rPr>
          <w:bCs/>
          <w:color w:val="000000" w:themeColor="text1"/>
          <w:sz w:val="28"/>
          <w:szCs w:val="28"/>
          <w:highlight w:val="none"/>
        </w:rPr>
        <w:t>/Q</w:t>
      </w:r>
      <w:r>
        <w:rPr>
          <w:bCs/>
          <w:color w:val="000000" w:themeColor="text1"/>
          <w:sz w:val="28"/>
          <w:szCs w:val="28"/>
          <w:highlight w:val="none"/>
          <w:vertAlign w:val="subscript"/>
        </w:rPr>
        <w:t>2</w:t>
      </w:r>
      <w:r>
        <w:rPr>
          <w:bCs/>
          <w:color w:val="000000" w:themeColor="text1"/>
          <w:sz w:val="28"/>
          <w:szCs w:val="28"/>
          <w:highlight w:val="none"/>
        </w:rPr>
        <w:t>+…+ q</w:t>
      </w:r>
      <w:r>
        <w:rPr>
          <w:bCs/>
          <w:color w:val="000000" w:themeColor="text1"/>
          <w:sz w:val="28"/>
          <w:szCs w:val="28"/>
          <w:highlight w:val="none"/>
          <w:vertAlign w:val="subscript"/>
        </w:rPr>
        <w:t>n</w:t>
      </w:r>
      <w:r>
        <w:rPr>
          <w:bCs/>
          <w:color w:val="000000" w:themeColor="text1"/>
          <w:sz w:val="28"/>
          <w:szCs w:val="28"/>
          <w:highlight w:val="none"/>
        </w:rPr>
        <w:t>/Q</w:t>
      </w:r>
      <w:r>
        <w:rPr>
          <w:bCs/>
          <w:color w:val="000000" w:themeColor="text1"/>
          <w:sz w:val="28"/>
          <w:szCs w:val="28"/>
          <w:highlight w:val="none"/>
          <w:vertAlign w:val="subscript"/>
        </w:rPr>
        <w:t>n</w:t>
      </w:r>
      <w:r>
        <w:rPr>
          <w:rFonts w:hint="eastAsia"/>
          <w:bCs/>
          <w:color w:val="000000" w:themeColor="text1"/>
          <w:sz w:val="28"/>
          <w:szCs w:val="28"/>
          <w:highlight w:val="none"/>
        </w:rPr>
        <w:t>≥</w:t>
      </w:r>
      <w:r>
        <w:rPr>
          <w:bCs/>
          <w:color w:val="000000" w:themeColor="text1"/>
          <w:sz w:val="28"/>
          <w:szCs w:val="28"/>
          <w:highlight w:val="none"/>
        </w:rPr>
        <w:t>1</w:t>
      </w:r>
      <w:r>
        <w:rPr>
          <w:rFonts w:hint="eastAsia"/>
          <w:bCs/>
          <w:color w:val="000000" w:themeColor="text1"/>
          <w:sz w:val="28"/>
          <w:szCs w:val="28"/>
          <w:highlight w:val="none"/>
        </w:rPr>
        <w:t>……………………     （1）</w:t>
      </w:r>
    </w:p>
    <w:p w14:paraId="22B95BB9">
      <w:pPr>
        <w:keepNext w:val="0"/>
        <w:keepLines w:val="0"/>
        <w:pageBreakBefore w:val="0"/>
        <w:widowControl w:val="0"/>
        <w:tabs>
          <w:tab w:val="left" w:pos="993"/>
        </w:tabs>
        <w:kinsoku/>
        <w:wordWrap/>
        <w:topLinePunct w:val="0"/>
        <w:bidi w:val="0"/>
        <w:adjustRightInd w:val="0"/>
        <w:snapToGrid w:val="0"/>
        <w:spacing w:line="360" w:lineRule="auto"/>
        <w:ind w:left="560"/>
        <w:rPr>
          <w:color w:val="000000" w:themeColor="text1"/>
          <w:sz w:val="28"/>
          <w:szCs w:val="28"/>
          <w:highlight w:val="none"/>
        </w:rPr>
      </w:pPr>
      <w:r>
        <w:rPr>
          <w:rFonts w:hint="eastAsia"/>
          <w:bCs/>
          <w:color w:val="000000" w:themeColor="text1"/>
          <w:sz w:val="28"/>
          <w:szCs w:val="28"/>
          <w:highlight w:val="none"/>
        </w:rPr>
        <w:t>式中</w:t>
      </w:r>
      <w:r>
        <w:rPr>
          <w:rFonts w:hint="eastAsia"/>
          <w:color w:val="000000" w:themeColor="text1"/>
          <w:sz w:val="28"/>
          <w:szCs w:val="28"/>
          <w:highlight w:val="none"/>
        </w:rPr>
        <w:t>S辨识指标</w:t>
      </w:r>
    </w:p>
    <w:p w14:paraId="4B463D85">
      <w:pPr>
        <w:keepNext w:val="0"/>
        <w:keepLines w:val="0"/>
        <w:pageBreakBefore w:val="0"/>
        <w:widowControl w:val="0"/>
        <w:kinsoku/>
        <w:wordWrap/>
        <w:topLinePunct w:val="0"/>
        <w:bidi w:val="0"/>
        <w:adjustRightInd w:val="0"/>
        <w:snapToGrid w:val="0"/>
        <w:spacing w:line="360" w:lineRule="auto"/>
        <w:ind w:firstLine="560" w:firstLineChars="200"/>
        <w:rPr>
          <w:bCs/>
          <w:color w:val="000000" w:themeColor="text1"/>
          <w:sz w:val="28"/>
          <w:szCs w:val="28"/>
          <w:highlight w:val="none"/>
        </w:rPr>
      </w:pPr>
      <w:r>
        <w:rPr>
          <w:bCs/>
          <w:color w:val="000000" w:themeColor="text1"/>
          <w:sz w:val="28"/>
          <w:szCs w:val="28"/>
          <w:highlight w:val="none"/>
        </w:rPr>
        <w:t>q</w:t>
      </w:r>
      <w:r>
        <w:rPr>
          <w:bCs/>
          <w:color w:val="000000" w:themeColor="text1"/>
          <w:sz w:val="28"/>
          <w:szCs w:val="28"/>
          <w:highlight w:val="none"/>
          <w:vertAlign w:val="subscript"/>
        </w:rPr>
        <w:t>1</w:t>
      </w:r>
      <w:r>
        <w:rPr>
          <w:rFonts w:hint="eastAsia"/>
          <w:bCs/>
          <w:color w:val="000000" w:themeColor="text1"/>
          <w:sz w:val="28"/>
          <w:szCs w:val="28"/>
          <w:highlight w:val="none"/>
        </w:rPr>
        <w:t>，</w:t>
      </w:r>
      <w:r>
        <w:rPr>
          <w:bCs/>
          <w:color w:val="000000" w:themeColor="text1"/>
          <w:sz w:val="28"/>
          <w:szCs w:val="28"/>
          <w:highlight w:val="none"/>
        </w:rPr>
        <w:t>q</w:t>
      </w:r>
      <w:r>
        <w:rPr>
          <w:bCs/>
          <w:color w:val="000000" w:themeColor="text1"/>
          <w:sz w:val="28"/>
          <w:szCs w:val="28"/>
          <w:highlight w:val="none"/>
          <w:vertAlign w:val="subscript"/>
        </w:rPr>
        <w:t>2</w:t>
      </w:r>
      <w:r>
        <w:rPr>
          <w:rFonts w:hint="eastAsia"/>
          <w:bCs/>
          <w:color w:val="000000" w:themeColor="text1"/>
          <w:sz w:val="28"/>
          <w:szCs w:val="28"/>
          <w:highlight w:val="none"/>
        </w:rPr>
        <w:t>…</w:t>
      </w:r>
      <w:r>
        <w:rPr>
          <w:bCs/>
          <w:color w:val="000000" w:themeColor="text1"/>
          <w:sz w:val="28"/>
          <w:szCs w:val="28"/>
          <w:highlight w:val="none"/>
        </w:rPr>
        <w:t>q</w:t>
      </w:r>
      <w:r>
        <w:rPr>
          <w:bCs/>
          <w:color w:val="000000" w:themeColor="text1"/>
          <w:sz w:val="28"/>
          <w:szCs w:val="28"/>
          <w:highlight w:val="none"/>
          <w:vertAlign w:val="subscript"/>
        </w:rPr>
        <w:t>n</w:t>
      </w:r>
      <w:r>
        <w:rPr>
          <w:rFonts w:hint="eastAsia"/>
          <w:bCs/>
          <w:color w:val="000000" w:themeColor="text1"/>
          <w:sz w:val="28"/>
          <w:szCs w:val="28"/>
          <w:highlight w:val="none"/>
        </w:rPr>
        <w:t>——每种危险化学品实际存在量，单位为吨</w:t>
      </w:r>
      <w:r>
        <w:rPr>
          <w:rFonts w:hint="eastAsia"/>
          <w:bCs/>
          <w:color w:val="000000" w:themeColor="text1"/>
          <w:sz w:val="28"/>
          <w:szCs w:val="28"/>
          <w:highlight w:val="none"/>
          <w:lang w:eastAsia="zh-CN"/>
        </w:rPr>
        <w:t>（</w:t>
      </w:r>
      <w:r>
        <w:rPr>
          <w:rFonts w:hint="eastAsia"/>
          <w:bCs/>
          <w:color w:val="000000" w:themeColor="text1"/>
          <w:sz w:val="28"/>
          <w:szCs w:val="28"/>
          <w:highlight w:val="none"/>
        </w:rPr>
        <w:t>t</w:t>
      </w:r>
      <w:r>
        <w:rPr>
          <w:rFonts w:hint="eastAsia"/>
          <w:bCs/>
          <w:color w:val="000000" w:themeColor="text1"/>
          <w:sz w:val="28"/>
          <w:szCs w:val="28"/>
          <w:highlight w:val="none"/>
          <w:lang w:eastAsia="zh-CN"/>
        </w:rPr>
        <w:t>）</w:t>
      </w:r>
    </w:p>
    <w:p w14:paraId="68CF4B01">
      <w:pPr>
        <w:keepNext w:val="0"/>
        <w:keepLines w:val="0"/>
        <w:pageBreakBefore w:val="0"/>
        <w:widowControl w:val="0"/>
        <w:tabs>
          <w:tab w:val="left" w:pos="993"/>
        </w:tabs>
        <w:kinsoku/>
        <w:wordWrap/>
        <w:topLinePunct w:val="0"/>
        <w:bidi w:val="0"/>
        <w:adjustRightInd w:val="0"/>
        <w:snapToGrid w:val="0"/>
        <w:spacing w:line="360" w:lineRule="auto"/>
        <w:ind w:left="560"/>
        <w:rPr>
          <w:color w:val="000000" w:themeColor="text1"/>
          <w:sz w:val="28"/>
          <w:szCs w:val="28"/>
          <w:highlight w:val="none"/>
        </w:rPr>
      </w:pPr>
      <w:r>
        <w:rPr>
          <w:bCs/>
          <w:color w:val="000000" w:themeColor="text1"/>
          <w:sz w:val="28"/>
          <w:szCs w:val="28"/>
          <w:highlight w:val="none"/>
        </w:rPr>
        <w:t>Q</w:t>
      </w:r>
      <w:r>
        <w:rPr>
          <w:bCs/>
          <w:color w:val="000000" w:themeColor="text1"/>
          <w:sz w:val="28"/>
          <w:szCs w:val="28"/>
          <w:highlight w:val="none"/>
          <w:vertAlign w:val="subscript"/>
        </w:rPr>
        <w:t>1</w:t>
      </w:r>
      <w:r>
        <w:rPr>
          <w:rFonts w:hint="eastAsia"/>
          <w:bCs/>
          <w:color w:val="000000" w:themeColor="text1"/>
          <w:sz w:val="28"/>
          <w:szCs w:val="28"/>
          <w:highlight w:val="none"/>
        </w:rPr>
        <w:t>，</w:t>
      </w:r>
      <w:r>
        <w:rPr>
          <w:bCs/>
          <w:color w:val="000000" w:themeColor="text1"/>
          <w:sz w:val="28"/>
          <w:szCs w:val="28"/>
          <w:highlight w:val="none"/>
        </w:rPr>
        <w:t>Q</w:t>
      </w:r>
      <w:r>
        <w:rPr>
          <w:bCs/>
          <w:color w:val="000000" w:themeColor="text1"/>
          <w:sz w:val="28"/>
          <w:szCs w:val="28"/>
          <w:highlight w:val="none"/>
          <w:vertAlign w:val="subscript"/>
        </w:rPr>
        <w:t>2</w:t>
      </w:r>
      <w:r>
        <w:rPr>
          <w:bCs/>
          <w:color w:val="000000" w:themeColor="text1"/>
          <w:sz w:val="28"/>
          <w:szCs w:val="28"/>
          <w:highlight w:val="none"/>
        </w:rPr>
        <w:t>…Q</w:t>
      </w:r>
      <w:r>
        <w:rPr>
          <w:bCs/>
          <w:color w:val="000000" w:themeColor="text1"/>
          <w:sz w:val="28"/>
          <w:szCs w:val="28"/>
          <w:highlight w:val="none"/>
          <w:vertAlign w:val="subscript"/>
        </w:rPr>
        <w:t>n</w:t>
      </w:r>
      <w:r>
        <w:rPr>
          <w:rFonts w:hint="eastAsia"/>
          <w:bCs/>
          <w:color w:val="000000" w:themeColor="text1"/>
          <w:sz w:val="28"/>
          <w:szCs w:val="28"/>
          <w:highlight w:val="none"/>
        </w:rPr>
        <w:t>——与每种危险化学品相对应的临界量，单位为吨</w:t>
      </w:r>
      <w:r>
        <w:rPr>
          <w:rFonts w:hint="eastAsia"/>
          <w:bCs/>
          <w:color w:val="000000" w:themeColor="text1"/>
          <w:sz w:val="28"/>
          <w:szCs w:val="28"/>
          <w:highlight w:val="none"/>
          <w:lang w:eastAsia="zh-CN"/>
        </w:rPr>
        <w:t>（</w:t>
      </w:r>
      <w:r>
        <w:rPr>
          <w:rFonts w:hint="eastAsia"/>
          <w:bCs/>
          <w:color w:val="000000" w:themeColor="text1"/>
          <w:sz w:val="28"/>
          <w:szCs w:val="28"/>
          <w:highlight w:val="none"/>
        </w:rPr>
        <w:t>t</w:t>
      </w:r>
      <w:r>
        <w:rPr>
          <w:rFonts w:hint="eastAsia"/>
          <w:bCs/>
          <w:color w:val="000000" w:themeColor="text1"/>
          <w:sz w:val="28"/>
          <w:szCs w:val="28"/>
          <w:highlight w:val="none"/>
          <w:lang w:eastAsia="zh-CN"/>
        </w:rPr>
        <w:t>）</w:t>
      </w:r>
    </w:p>
    <w:p w14:paraId="709FFF9F">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经辨识，华美线业涉及的危险化学品保险粉、</w:t>
      </w:r>
      <w:r>
        <w:rPr>
          <w:rFonts w:hint="eastAsia" w:ascii="宋体" w:hAnsi="宋体" w:cs="宋体"/>
          <w:color w:val="000000" w:themeColor="text1"/>
          <w:kern w:val="0"/>
          <w:sz w:val="28"/>
          <w:szCs w:val="28"/>
          <w:highlight w:val="none"/>
        </w:rPr>
        <w:t>过碳酸钠</w:t>
      </w:r>
      <w:r>
        <w:rPr>
          <w:rFonts w:hint="eastAsia"/>
          <w:color w:val="000000" w:themeColor="text1"/>
          <w:sz w:val="28"/>
          <w:szCs w:val="28"/>
          <w:highlight w:val="none"/>
        </w:rPr>
        <w:t>、</w:t>
      </w:r>
      <w:r>
        <w:rPr>
          <w:rFonts w:hint="eastAsia"/>
          <w:color w:val="000000" w:themeColor="text1"/>
          <w:sz w:val="28"/>
          <w:szCs w:val="28"/>
          <w:highlight w:val="none"/>
          <w:lang w:eastAsia="zh-CN"/>
        </w:rPr>
        <w:t>乙酸</w:t>
      </w:r>
      <w:r>
        <w:rPr>
          <w:rFonts w:hint="eastAsia"/>
          <w:color w:val="000000" w:themeColor="text1"/>
          <w:sz w:val="28"/>
          <w:szCs w:val="28"/>
          <w:highlight w:val="none"/>
        </w:rPr>
        <w:t>、液碱、次氯酸钠</w:t>
      </w:r>
      <w:r>
        <w:rPr>
          <w:rFonts w:hint="eastAsia"/>
          <w:color w:val="000000" w:themeColor="text1"/>
          <w:sz w:val="28"/>
          <w:szCs w:val="28"/>
          <w:highlight w:val="none"/>
          <w:lang w:eastAsia="zh-CN"/>
        </w:rPr>
        <w:t>溶液</w:t>
      </w:r>
      <w:r>
        <w:rPr>
          <w:rFonts w:hint="eastAsia"/>
          <w:color w:val="000000" w:themeColor="text1"/>
          <w:sz w:val="28"/>
          <w:szCs w:val="28"/>
          <w:highlight w:val="none"/>
        </w:rPr>
        <w:t>均不属于《危险化学品重大危险源辨识》</w:t>
      </w:r>
      <w:r>
        <w:rPr>
          <w:color w:val="000000" w:themeColor="text1"/>
          <w:sz w:val="28"/>
          <w:szCs w:val="28"/>
          <w:highlight w:val="none"/>
        </w:rPr>
        <w:t>GB 18218-2018</w:t>
      </w:r>
      <w:r>
        <w:rPr>
          <w:rFonts w:hint="eastAsia"/>
          <w:color w:val="000000" w:themeColor="text1"/>
          <w:sz w:val="28"/>
          <w:szCs w:val="28"/>
          <w:highlight w:val="none"/>
        </w:rPr>
        <w:t>表1和表1（续）中物质。</w:t>
      </w:r>
    </w:p>
    <w:p w14:paraId="038DC923">
      <w:pPr>
        <w:keepNext w:val="0"/>
        <w:keepLines w:val="0"/>
        <w:pageBreakBefore w:val="0"/>
        <w:widowControl w:val="0"/>
        <w:kinsoku/>
        <w:wordWrap/>
        <w:topLinePunct w:val="0"/>
        <w:bidi w:val="0"/>
        <w:adjustRightInd w:val="0"/>
        <w:snapToGrid w:val="0"/>
        <w:spacing w:line="360" w:lineRule="auto"/>
        <w:ind w:firstLine="560" w:firstLineChars="200"/>
        <w:rPr>
          <w:rFonts w:hint="eastAsia"/>
          <w:color w:val="000000" w:themeColor="text1"/>
          <w:sz w:val="28"/>
          <w:szCs w:val="28"/>
          <w:highlight w:val="none"/>
        </w:rPr>
      </w:pPr>
      <w:r>
        <w:rPr>
          <w:rFonts w:hint="eastAsia"/>
          <w:color w:val="000000" w:themeColor="text1"/>
          <w:sz w:val="28"/>
          <w:szCs w:val="28"/>
          <w:highlight w:val="none"/>
        </w:rPr>
        <w:t>按照《危险化学品重大危险源辨识》GB18218-2018表2</w:t>
      </w:r>
      <w:r>
        <w:rPr>
          <w:rFonts w:hint="eastAsia"/>
          <w:color w:val="000000" w:themeColor="text1"/>
          <w:sz w:val="28"/>
          <w:szCs w:val="28"/>
          <w:highlight w:val="none"/>
          <w:lang w:eastAsia="zh-CN"/>
        </w:rPr>
        <w:t>，</w:t>
      </w:r>
      <w:r>
        <w:rPr>
          <w:rFonts w:hint="eastAsia"/>
          <w:bCs/>
          <w:color w:val="000000" w:themeColor="text1"/>
          <w:sz w:val="28"/>
          <w:szCs w:val="28"/>
          <w:highlight w:val="none"/>
        </w:rPr>
        <w:t>保险粉</w:t>
      </w:r>
      <w:r>
        <w:rPr>
          <w:rFonts w:hint="eastAsia"/>
          <w:bCs/>
          <w:color w:val="000000" w:themeColor="text1"/>
          <w:sz w:val="28"/>
          <w:szCs w:val="28"/>
          <w:highlight w:val="none"/>
          <w:lang w:eastAsia="zh-CN"/>
        </w:rPr>
        <w:t>的临界量为</w:t>
      </w:r>
      <w:r>
        <w:rPr>
          <w:rFonts w:hint="eastAsia"/>
          <w:bCs/>
          <w:color w:val="000000" w:themeColor="text1"/>
          <w:sz w:val="28"/>
          <w:szCs w:val="28"/>
          <w:highlight w:val="none"/>
          <w:lang w:val="en-US" w:eastAsia="zh-CN"/>
        </w:rPr>
        <w:t>200t，过碳酸钠</w:t>
      </w:r>
      <w:r>
        <w:rPr>
          <w:rFonts w:hint="eastAsia"/>
          <w:bCs/>
          <w:color w:val="000000" w:themeColor="text1"/>
          <w:sz w:val="28"/>
          <w:szCs w:val="28"/>
          <w:highlight w:val="none"/>
          <w:lang w:eastAsia="zh-CN"/>
        </w:rPr>
        <w:t>的临界量为</w:t>
      </w:r>
      <w:r>
        <w:rPr>
          <w:rFonts w:hint="eastAsia"/>
          <w:bCs/>
          <w:color w:val="000000" w:themeColor="text1"/>
          <w:sz w:val="28"/>
          <w:szCs w:val="28"/>
          <w:highlight w:val="none"/>
          <w:lang w:val="en-US" w:eastAsia="zh-CN"/>
        </w:rPr>
        <w:t>200t，乙酸</w:t>
      </w:r>
      <w:r>
        <w:rPr>
          <w:rFonts w:hint="eastAsia"/>
          <w:bCs/>
          <w:color w:val="000000" w:themeColor="text1"/>
          <w:sz w:val="28"/>
          <w:szCs w:val="28"/>
          <w:highlight w:val="none"/>
          <w:lang w:eastAsia="zh-CN"/>
        </w:rPr>
        <w:t>的临界量为</w:t>
      </w:r>
      <w:r>
        <w:rPr>
          <w:rFonts w:hint="eastAsia"/>
          <w:bCs/>
          <w:color w:val="000000" w:themeColor="text1"/>
          <w:sz w:val="28"/>
          <w:szCs w:val="28"/>
          <w:highlight w:val="none"/>
          <w:lang w:val="en-US" w:eastAsia="zh-CN"/>
        </w:rPr>
        <w:t>5000t</w:t>
      </w:r>
      <w:r>
        <w:rPr>
          <w:rFonts w:hint="eastAsia"/>
          <w:color w:val="000000" w:themeColor="text1"/>
          <w:sz w:val="28"/>
          <w:szCs w:val="28"/>
          <w:highlight w:val="none"/>
        </w:rPr>
        <w:t>。</w:t>
      </w:r>
    </w:p>
    <w:p w14:paraId="2FF6FCDF">
      <w:pPr>
        <w:keepNext w:val="0"/>
        <w:keepLines w:val="0"/>
        <w:pageBreakBefore w:val="0"/>
        <w:widowControl w:val="0"/>
        <w:kinsoku/>
        <w:wordWrap/>
        <w:topLinePunct w:val="0"/>
        <w:bidi w:val="0"/>
        <w:adjustRightInd w:val="0"/>
        <w:snapToGrid w:val="0"/>
        <w:spacing w:line="360" w:lineRule="auto"/>
        <w:ind w:firstLine="560" w:firstLineChars="200"/>
        <w:rPr>
          <w:rFonts w:hint="eastAsia"/>
          <w:color w:val="000000" w:themeColor="text1"/>
          <w:sz w:val="28"/>
          <w:szCs w:val="28"/>
          <w:highlight w:val="none"/>
          <w:lang w:eastAsia="zh-CN"/>
        </w:rPr>
      </w:pPr>
      <w:r>
        <w:rPr>
          <w:rFonts w:hint="eastAsia"/>
          <w:bCs/>
          <w:color w:val="000000" w:themeColor="text1"/>
          <w:sz w:val="28"/>
          <w:szCs w:val="28"/>
          <w:highlight w:val="none"/>
          <w:lang w:eastAsia="zh-CN"/>
        </w:rPr>
        <w:t>漂染</w:t>
      </w:r>
      <w:r>
        <w:rPr>
          <w:rFonts w:hint="eastAsia"/>
          <w:bCs/>
          <w:color w:val="000000" w:themeColor="text1"/>
          <w:sz w:val="28"/>
          <w:szCs w:val="28"/>
          <w:highlight w:val="none"/>
        </w:rPr>
        <w:t>车间附房、</w:t>
      </w:r>
      <w:r>
        <w:rPr>
          <w:rFonts w:hint="eastAsia"/>
          <w:bCs/>
          <w:color w:val="000000" w:themeColor="text1"/>
          <w:sz w:val="28"/>
          <w:szCs w:val="28"/>
          <w:highlight w:val="none"/>
          <w:lang w:eastAsia="zh-CN"/>
        </w:rPr>
        <w:t>漂染</w:t>
      </w:r>
      <w:r>
        <w:rPr>
          <w:rFonts w:hint="eastAsia"/>
          <w:bCs/>
          <w:color w:val="000000" w:themeColor="text1"/>
          <w:sz w:val="28"/>
          <w:szCs w:val="28"/>
          <w:highlight w:val="none"/>
        </w:rPr>
        <w:t>车间</w:t>
      </w:r>
      <w:r>
        <w:rPr>
          <w:rFonts w:hint="eastAsia"/>
          <w:color w:val="000000" w:themeColor="text1"/>
          <w:sz w:val="28"/>
          <w:szCs w:val="28"/>
          <w:highlight w:val="none"/>
        </w:rPr>
        <w:t>分别作为一个单元进行辨识。危险化学品重大危险源辨识</w:t>
      </w:r>
      <w:r>
        <w:rPr>
          <w:rFonts w:hint="eastAsia"/>
          <w:color w:val="000000" w:themeColor="text1"/>
          <w:sz w:val="28"/>
          <w:szCs w:val="28"/>
          <w:highlight w:val="none"/>
          <w:lang w:eastAsia="zh-CN"/>
        </w:rPr>
        <w:t>结果见下表。</w:t>
      </w:r>
    </w:p>
    <w:p w14:paraId="7E132324">
      <w:pPr>
        <w:keepNext w:val="0"/>
        <w:keepLines w:val="0"/>
        <w:pageBreakBefore w:val="0"/>
        <w:widowControl w:val="0"/>
        <w:kinsoku/>
        <w:wordWrap/>
        <w:topLinePunct w:val="0"/>
        <w:bidi w:val="0"/>
        <w:adjustRightInd w:val="0"/>
        <w:snapToGrid w:val="0"/>
        <w:spacing w:line="360" w:lineRule="auto"/>
        <w:ind w:firstLine="482" w:firstLineChars="200"/>
        <w:jc w:val="center"/>
        <w:rPr>
          <w:rFonts w:ascii="黑体" w:hAnsi="黑体" w:eastAsia="黑体"/>
          <w:b/>
          <w:bCs/>
          <w:color w:val="000000" w:themeColor="text1"/>
          <w:highlight w:val="none"/>
        </w:rPr>
      </w:pPr>
      <w:r>
        <w:rPr>
          <w:rFonts w:hint="eastAsia" w:ascii="黑体" w:hAnsi="黑体" w:eastAsia="黑体"/>
          <w:b/>
          <w:color w:val="000000" w:themeColor="text1"/>
          <w:highlight w:val="none"/>
        </w:rPr>
        <w:t>表3.</w:t>
      </w:r>
      <w:r>
        <w:rPr>
          <w:rFonts w:hint="eastAsia" w:ascii="黑体" w:hAnsi="黑体" w:eastAsia="黑体"/>
          <w:b/>
          <w:color w:val="000000" w:themeColor="text1"/>
          <w:highlight w:val="none"/>
          <w:lang w:val="en-US" w:eastAsia="zh-CN"/>
        </w:rPr>
        <w:t>2</w:t>
      </w:r>
      <w:r>
        <w:rPr>
          <w:rFonts w:hint="eastAsia" w:ascii="黑体" w:hAnsi="黑体" w:eastAsia="黑体"/>
          <w:b/>
          <w:color w:val="000000" w:themeColor="text1"/>
          <w:highlight w:val="none"/>
        </w:rPr>
        <w:t>-</w:t>
      </w:r>
      <w:r>
        <w:rPr>
          <w:rFonts w:hint="eastAsia" w:ascii="黑体" w:hAnsi="黑体" w:eastAsia="黑体"/>
          <w:b/>
          <w:color w:val="000000" w:themeColor="text1"/>
          <w:highlight w:val="none"/>
          <w:lang w:val="en-US" w:eastAsia="zh-CN"/>
        </w:rPr>
        <w:t>5</w:t>
      </w:r>
      <w:r>
        <w:rPr>
          <w:rFonts w:hint="eastAsia" w:ascii="黑体" w:hAnsi="黑体" w:eastAsia="黑体"/>
          <w:b/>
          <w:color w:val="000000" w:themeColor="text1"/>
          <w:highlight w:val="none"/>
        </w:rPr>
        <w:t xml:space="preserve"> </w:t>
      </w:r>
      <w:r>
        <w:rPr>
          <w:rFonts w:hint="eastAsia" w:ascii="黑体" w:hAnsi="黑体" w:eastAsia="黑体"/>
          <w:b/>
          <w:bCs/>
          <w:color w:val="000000" w:themeColor="text1"/>
          <w:highlight w:val="none"/>
        </w:rPr>
        <w:t>重大危险源辨识一览表</w:t>
      </w:r>
    </w:p>
    <w:tbl>
      <w:tblPr>
        <w:tblStyle w:val="62"/>
        <w:tblW w:w="91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7"/>
        <w:gridCol w:w="2046"/>
        <w:gridCol w:w="1282"/>
        <w:gridCol w:w="2477"/>
        <w:gridCol w:w="1649"/>
      </w:tblGrid>
      <w:tr w14:paraId="17AAC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697" w:type="dxa"/>
            <w:noWrap/>
            <w:vAlign w:val="center"/>
          </w:tcPr>
          <w:p w14:paraId="4F2EF2B1">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危险物质名称</w:t>
            </w:r>
          </w:p>
        </w:tc>
        <w:tc>
          <w:tcPr>
            <w:tcW w:w="2046" w:type="dxa"/>
            <w:noWrap/>
            <w:vAlign w:val="center"/>
          </w:tcPr>
          <w:p w14:paraId="6ED04321">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依据</w:t>
            </w:r>
          </w:p>
        </w:tc>
        <w:tc>
          <w:tcPr>
            <w:tcW w:w="1282" w:type="dxa"/>
            <w:noWrap/>
            <w:vAlign w:val="center"/>
          </w:tcPr>
          <w:p w14:paraId="0FD5981F">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临界量Q(t)</w:t>
            </w:r>
          </w:p>
        </w:tc>
        <w:tc>
          <w:tcPr>
            <w:tcW w:w="2477" w:type="dxa"/>
            <w:vAlign w:val="center"/>
          </w:tcPr>
          <w:p w14:paraId="7E4AFF9B">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现场最大存在量q(t)</w:t>
            </w:r>
          </w:p>
        </w:tc>
        <w:tc>
          <w:tcPr>
            <w:tcW w:w="1649" w:type="dxa"/>
            <w:noWrap/>
            <w:vAlign w:val="center"/>
          </w:tcPr>
          <w:p w14:paraId="74A7BB81">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q/Q</w:t>
            </w:r>
          </w:p>
        </w:tc>
      </w:tr>
      <w:tr w14:paraId="73183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7" w:type="dxa"/>
            <w:noWrap/>
            <w:vAlign w:val="center"/>
          </w:tcPr>
          <w:p w14:paraId="285EE1DE">
            <w:pPr>
              <w:keepNext w:val="0"/>
              <w:keepLines w:val="0"/>
              <w:pageBreakBefore w:val="0"/>
              <w:widowControl w:val="0"/>
              <w:kinsoku/>
              <w:wordWrap/>
              <w:topLinePunct w:val="0"/>
              <w:bidi w:val="0"/>
              <w:adjustRightInd w:val="0"/>
              <w:snapToGrid w:val="0"/>
              <w:spacing w:line="240" w:lineRule="auto"/>
              <w:ind w:left="900" w:leftChars="200" w:hanging="420" w:hangingChars="200"/>
              <w:jc w:val="center"/>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一</w:t>
            </w:r>
          </w:p>
        </w:tc>
        <w:tc>
          <w:tcPr>
            <w:tcW w:w="7454" w:type="dxa"/>
            <w:gridSpan w:val="4"/>
            <w:noWrap/>
            <w:vAlign w:val="center"/>
          </w:tcPr>
          <w:p w14:paraId="6D63D16D">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lang w:eastAsia="zh-CN"/>
              </w:rPr>
              <w:t>漂染车间</w:t>
            </w:r>
            <w:r>
              <w:rPr>
                <w:rFonts w:hint="eastAsia" w:ascii="宋体" w:hAnsi="宋体" w:eastAsia="宋体" w:cs="宋体"/>
                <w:bCs/>
                <w:color w:val="000000" w:themeColor="text1"/>
                <w:sz w:val="21"/>
                <w:szCs w:val="21"/>
                <w:highlight w:val="none"/>
              </w:rPr>
              <w:t>附房</w:t>
            </w:r>
          </w:p>
        </w:tc>
      </w:tr>
      <w:tr w14:paraId="7F854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7" w:type="dxa"/>
            <w:noWrap/>
            <w:vAlign w:val="center"/>
          </w:tcPr>
          <w:p w14:paraId="4CE8EDE4">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保险粉</w:t>
            </w:r>
          </w:p>
        </w:tc>
        <w:tc>
          <w:tcPr>
            <w:tcW w:w="2046" w:type="dxa"/>
            <w:noWrap/>
            <w:vAlign w:val="center"/>
          </w:tcPr>
          <w:p w14:paraId="1640B790">
            <w:pPr>
              <w:widowControl w:val="0"/>
              <w:adjustRightInd w:val="0"/>
              <w:snapToGrid w:val="0"/>
              <w:spacing w:line="240" w:lineRule="auto"/>
              <w:jc w:val="center"/>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kern w:val="0"/>
                <w:sz w:val="21"/>
                <w:szCs w:val="21"/>
                <w:highlight w:val="none"/>
              </w:rPr>
              <w:t>表2中物质W11</w:t>
            </w:r>
          </w:p>
        </w:tc>
        <w:tc>
          <w:tcPr>
            <w:tcW w:w="1282" w:type="dxa"/>
            <w:noWrap/>
            <w:vAlign w:val="center"/>
          </w:tcPr>
          <w:p w14:paraId="3303A629">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200</w:t>
            </w:r>
          </w:p>
        </w:tc>
        <w:tc>
          <w:tcPr>
            <w:tcW w:w="2477" w:type="dxa"/>
            <w:noWrap/>
            <w:vAlign w:val="center"/>
          </w:tcPr>
          <w:p w14:paraId="30D0E8C3">
            <w:pPr>
              <w:keepNext w:val="0"/>
              <w:keepLines w:val="0"/>
              <w:widowControl w:val="0"/>
              <w:suppressLineNumbers w:val="0"/>
              <w:adjustRightInd w:val="0"/>
              <w:snapToGrid w:val="0"/>
              <w:spacing w:line="240" w:lineRule="auto"/>
              <w:jc w:val="center"/>
              <w:textAlignment w:val="center"/>
              <w:rPr>
                <w:rFonts w:hint="eastAsia" w:ascii="宋体" w:hAnsi="宋体" w:eastAsia="宋体" w:cs="宋体"/>
                <w:bCs/>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1</w:t>
            </w:r>
          </w:p>
        </w:tc>
        <w:tc>
          <w:tcPr>
            <w:tcW w:w="1649" w:type="dxa"/>
            <w:noWrap/>
            <w:vAlign w:val="center"/>
          </w:tcPr>
          <w:p w14:paraId="176D6B55">
            <w:pPr>
              <w:keepNext w:val="0"/>
              <w:keepLines w:val="0"/>
              <w:widowControl w:val="0"/>
              <w:suppressLineNumbers w:val="0"/>
              <w:adjustRightInd w:val="0"/>
              <w:snapToGrid w:val="0"/>
              <w:spacing w:line="240" w:lineRule="auto"/>
              <w:jc w:val="center"/>
              <w:textAlignment w:val="center"/>
              <w:rPr>
                <w:rFonts w:hint="eastAsia" w:ascii="宋体" w:hAnsi="宋体" w:eastAsia="宋体" w:cs="宋体"/>
                <w:bCs/>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0.005</w:t>
            </w:r>
          </w:p>
        </w:tc>
      </w:tr>
      <w:tr w14:paraId="5F535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7" w:type="dxa"/>
            <w:noWrap/>
            <w:vAlign w:val="center"/>
          </w:tcPr>
          <w:p w14:paraId="79848D1F">
            <w:pPr>
              <w:widowControl w:val="0"/>
              <w:adjustRightInd w:val="0"/>
              <w:snapToGrid w:val="0"/>
              <w:spacing w:line="240" w:lineRule="auto"/>
              <w:jc w:val="center"/>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kern w:val="0"/>
                <w:sz w:val="21"/>
                <w:szCs w:val="21"/>
                <w:highlight w:val="none"/>
              </w:rPr>
              <w:t>过碳酸钠</w:t>
            </w:r>
          </w:p>
        </w:tc>
        <w:tc>
          <w:tcPr>
            <w:tcW w:w="2046" w:type="dxa"/>
            <w:noWrap/>
            <w:vAlign w:val="center"/>
          </w:tcPr>
          <w:p w14:paraId="62022B39">
            <w:pPr>
              <w:widowControl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kern w:val="0"/>
                <w:sz w:val="21"/>
                <w:szCs w:val="21"/>
                <w:highlight w:val="none"/>
              </w:rPr>
              <w:t>表2中物质W</w:t>
            </w:r>
            <w:r>
              <w:rPr>
                <w:rFonts w:hint="eastAsia" w:ascii="宋体" w:hAnsi="宋体" w:eastAsia="宋体" w:cs="宋体"/>
                <w:color w:val="000000" w:themeColor="text1"/>
                <w:kern w:val="0"/>
                <w:sz w:val="21"/>
                <w:szCs w:val="21"/>
                <w:highlight w:val="none"/>
                <w:lang w:val="en-US" w:eastAsia="zh-CN"/>
              </w:rPr>
              <w:t>9.2</w:t>
            </w:r>
          </w:p>
        </w:tc>
        <w:tc>
          <w:tcPr>
            <w:tcW w:w="1282" w:type="dxa"/>
            <w:noWrap/>
            <w:vAlign w:val="center"/>
          </w:tcPr>
          <w:p w14:paraId="322EA886">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200</w:t>
            </w:r>
          </w:p>
        </w:tc>
        <w:tc>
          <w:tcPr>
            <w:tcW w:w="2477" w:type="dxa"/>
            <w:noWrap/>
            <w:vAlign w:val="center"/>
          </w:tcPr>
          <w:p w14:paraId="4593527C">
            <w:pPr>
              <w:keepNext w:val="0"/>
              <w:keepLines w:val="0"/>
              <w:widowControl w:val="0"/>
              <w:suppressLineNumbers w:val="0"/>
              <w:adjustRightInd w:val="0"/>
              <w:snapToGrid w:val="0"/>
              <w:spacing w:line="240" w:lineRule="auto"/>
              <w:jc w:val="center"/>
              <w:textAlignment w:val="center"/>
              <w:rPr>
                <w:rFonts w:hint="eastAsia" w:ascii="宋体" w:hAnsi="宋体" w:eastAsia="宋体" w:cs="宋体"/>
                <w:bCs/>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0.1</w:t>
            </w:r>
          </w:p>
        </w:tc>
        <w:tc>
          <w:tcPr>
            <w:tcW w:w="1649" w:type="dxa"/>
            <w:noWrap/>
            <w:vAlign w:val="center"/>
          </w:tcPr>
          <w:p w14:paraId="3B8E12D4">
            <w:pPr>
              <w:keepNext w:val="0"/>
              <w:keepLines w:val="0"/>
              <w:widowControl w:val="0"/>
              <w:suppressLineNumbers w:val="0"/>
              <w:adjustRightInd w:val="0"/>
              <w:snapToGrid w:val="0"/>
              <w:spacing w:line="240" w:lineRule="auto"/>
              <w:jc w:val="center"/>
              <w:textAlignment w:val="center"/>
              <w:rPr>
                <w:rFonts w:hint="eastAsia" w:ascii="宋体" w:hAnsi="宋体" w:eastAsia="宋体" w:cs="宋体"/>
                <w:bCs/>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0.0005</w:t>
            </w:r>
          </w:p>
        </w:tc>
      </w:tr>
      <w:tr w14:paraId="4A939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7" w:type="dxa"/>
            <w:noWrap/>
            <w:vAlign w:val="center"/>
          </w:tcPr>
          <w:p w14:paraId="7350C3EF">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sz w:val="21"/>
                <w:szCs w:val="21"/>
                <w:highlight w:val="none"/>
                <w:lang w:eastAsia="zh-CN"/>
              </w:rPr>
              <w:t>乙酸</w:t>
            </w:r>
          </w:p>
        </w:tc>
        <w:tc>
          <w:tcPr>
            <w:tcW w:w="2046" w:type="dxa"/>
            <w:noWrap/>
            <w:vAlign w:val="center"/>
          </w:tcPr>
          <w:p w14:paraId="0AE20825">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kern w:val="0"/>
                <w:sz w:val="21"/>
                <w:szCs w:val="21"/>
                <w:highlight w:val="none"/>
              </w:rPr>
              <w:t>表2中物质W</w:t>
            </w:r>
            <w:r>
              <w:rPr>
                <w:rFonts w:hint="eastAsia" w:ascii="宋体" w:hAnsi="宋体" w:eastAsia="宋体" w:cs="宋体"/>
                <w:color w:val="000000" w:themeColor="text1"/>
                <w:kern w:val="0"/>
                <w:sz w:val="21"/>
                <w:szCs w:val="21"/>
                <w:highlight w:val="none"/>
                <w:lang w:val="en-US" w:eastAsia="zh-CN"/>
              </w:rPr>
              <w:t>5.4</w:t>
            </w:r>
          </w:p>
        </w:tc>
        <w:tc>
          <w:tcPr>
            <w:tcW w:w="1282" w:type="dxa"/>
            <w:noWrap/>
            <w:vAlign w:val="center"/>
          </w:tcPr>
          <w:p w14:paraId="47DC32E6">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5000</w:t>
            </w:r>
          </w:p>
        </w:tc>
        <w:tc>
          <w:tcPr>
            <w:tcW w:w="2477" w:type="dxa"/>
            <w:noWrap/>
            <w:vAlign w:val="center"/>
          </w:tcPr>
          <w:p w14:paraId="04EC3133">
            <w:pPr>
              <w:keepNext w:val="0"/>
              <w:keepLines w:val="0"/>
              <w:widowControl w:val="0"/>
              <w:suppressLineNumbers w:val="0"/>
              <w:adjustRightInd w:val="0"/>
              <w:snapToGrid w:val="0"/>
              <w:spacing w:line="240" w:lineRule="auto"/>
              <w:jc w:val="center"/>
              <w:textAlignment w:val="center"/>
              <w:rPr>
                <w:rFonts w:hint="eastAsia" w:ascii="宋体" w:hAnsi="宋体" w:eastAsia="宋体" w:cs="宋体"/>
                <w:bCs/>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0.9</w:t>
            </w:r>
          </w:p>
        </w:tc>
        <w:tc>
          <w:tcPr>
            <w:tcW w:w="1649" w:type="dxa"/>
            <w:noWrap/>
            <w:vAlign w:val="center"/>
          </w:tcPr>
          <w:p w14:paraId="132E7780">
            <w:pPr>
              <w:keepNext w:val="0"/>
              <w:keepLines w:val="0"/>
              <w:widowControl w:val="0"/>
              <w:suppressLineNumbers w:val="0"/>
              <w:adjustRightInd w:val="0"/>
              <w:snapToGrid w:val="0"/>
              <w:spacing w:line="240" w:lineRule="auto"/>
              <w:jc w:val="center"/>
              <w:textAlignment w:val="center"/>
              <w:rPr>
                <w:rFonts w:hint="eastAsia" w:ascii="宋体" w:hAnsi="宋体" w:eastAsia="宋体" w:cs="宋体"/>
                <w:bCs/>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0.00018</w:t>
            </w:r>
          </w:p>
        </w:tc>
      </w:tr>
      <w:tr w14:paraId="31CEC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7" w:type="dxa"/>
            <w:noWrap/>
            <w:vAlign w:val="center"/>
          </w:tcPr>
          <w:p w14:paraId="63F4D783">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Cs/>
                <w:color w:val="000000" w:themeColor="text1"/>
                <w:sz w:val="21"/>
                <w:szCs w:val="21"/>
                <w:highlight w:val="none"/>
              </w:rPr>
            </w:pPr>
          </w:p>
        </w:tc>
        <w:tc>
          <w:tcPr>
            <w:tcW w:w="7454" w:type="dxa"/>
            <w:gridSpan w:val="4"/>
            <w:noWrap/>
            <w:vAlign w:val="center"/>
          </w:tcPr>
          <w:p w14:paraId="50CC573D">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Σqi/Q=</w:t>
            </w:r>
            <w:r>
              <w:rPr>
                <w:rFonts w:hint="eastAsia" w:ascii="宋体" w:hAnsi="宋体" w:eastAsia="宋体" w:cs="宋体"/>
                <w:bCs/>
                <w:color w:val="000000" w:themeColor="text1"/>
                <w:sz w:val="21"/>
                <w:szCs w:val="21"/>
                <w:highlight w:val="none"/>
                <w:lang w:val="en-US" w:eastAsia="zh-CN"/>
              </w:rPr>
              <w:t>0.00568</w:t>
            </w:r>
            <w:r>
              <w:rPr>
                <w:rFonts w:hint="eastAsia" w:ascii="宋体" w:hAnsi="宋体" w:eastAsia="宋体" w:cs="宋体"/>
                <w:bCs/>
                <w:color w:val="000000" w:themeColor="text1"/>
                <w:sz w:val="21"/>
                <w:szCs w:val="21"/>
                <w:highlight w:val="none"/>
              </w:rPr>
              <w:t xml:space="preserve"> ＜1</w:t>
            </w:r>
          </w:p>
        </w:tc>
      </w:tr>
      <w:tr w14:paraId="66B74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7" w:type="dxa"/>
            <w:noWrap/>
            <w:vAlign w:val="center"/>
          </w:tcPr>
          <w:p w14:paraId="45FF62A4">
            <w:pPr>
              <w:keepNext w:val="0"/>
              <w:keepLines w:val="0"/>
              <w:pageBreakBefore w:val="0"/>
              <w:widowControl w:val="0"/>
              <w:kinsoku/>
              <w:wordWrap/>
              <w:topLinePunct w:val="0"/>
              <w:bidi w:val="0"/>
              <w:adjustRightInd w:val="0"/>
              <w:snapToGrid w:val="0"/>
              <w:spacing w:line="240" w:lineRule="auto"/>
              <w:ind w:left="900" w:leftChars="200" w:hanging="420" w:hangingChars="200"/>
              <w:jc w:val="center"/>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二</w:t>
            </w:r>
          </w:p>
        </w:tc>
        <w:tc>
          <w:tcPr>
            <w:tcW w:w="7454" w:type="dxa"/>
            <w:gridSpan w:val="4"/>
            <w:noWrap/>
            <w:vAlign w:val="center"/>
          </w:tcPr>
          <w:p w14:paraId="5B7CEBBF">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lang w:eastAsia="zh-CN"/>
              </w:rPr>
              <w:t>漂染</w:t>
            </w:r>
            <w:r>
              <w:rPr>
                <w:rFonts w:hint="eastAsia" w:ascii="宋体" w:hAnsi="宋体" w:eastAsia="宋体" w:cs="宋体"/>
                <w:bCs/>
                <w:color w:val="000000" w:themeColor="text1"/>
                <w:sz w:val="21"/>
                <w:szCs w:val="21"/>
                <w:highlight w:val="none"/>
              </w:rPr>
              <w:t>车间</w:t>
            </w:r>
          </w:p>
        </w:tc>
      </w:tr>
      <w:tr w14:paraId="6D59D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7" w:type="dxa"/>
            <w:noWrap/>
            <w:vAlign w:val="center"/>
          </w:tcPr>
          <w:p w14:paraId="2B0684F7">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保险粉</w:t>
            </w:r>
          </w:p>
        </w:tc>
        <w:tc>
          <w:tcPr>
            <w:tcW w:w="2046" w:type="dxa"/>
            <w:noWrap/>
            <w:vAlign w:val="center"/>
          </w:tcPr>
          <w:p w14:paraId="674A005B">
            <w:pPr>
              <w:widowControl w:val="0"/>
              <w:adjustRightInd w:val="0"/>
              <w:snapToGrid w:val="0"/>
              <w:spacing w:line="240" w:lineRule="auto"/>
              <w:jc w:val="center"/>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kern w:val="0"/>
                <w:sz w:val="21"/>
                <w:szCs w:val="21"/>
                <w:highlight w:val="none"/>
              </w:rPr>
              <w:t>表2中物质W11</w:t>
            </w:r>
          </w:p>
        </w:tc>
        <w:tc>
          <w:tcPr>
            <w:tcW w:w="1282" w:type="dxa"/>
            <w:noWrap/>
            <w:vAlign w:val="center"/>
          </w:tcPr>
          <w:p w14:paraId="745D9AE1">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200</w:t>
            </w:r>
          </w:p>
        </w:tc>
        <w:tc>
          <w:tcPr>
            <w:tcW w:w="2477" w:type="dxa"/>
            <w:noWrap/>
            <w:vAlign w:val="center"/>
          </w:tcPr>
          <w:p w14:paraId="023A1878">
            <w:pPr>
              <w:keepNext w:val="0"/>
              <w:keepLines w:val="0"/>
              <w:widowControl w:val="0"/>
              <w:suppressLineNumbers w:val="0"/>
              <w:adjustRightInd w:val="0"/>
              <w:snapToGrid w:val="0"/>
              <w:spacing w:line="240" w:lineRule="auto"/>
              <w:jc w:val="center"/>
              <w:textAlignment w:val="center"/>
              <w:rPr>
                <w:rFonts w:hint="eastAsia" w:ascii="宋体" w:hAnsi="宋体" w:eastAsia="宋体" w:cs="宋体"/>
                <w:bCs/>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0.05</w:t>
            </w:r>
          </w:p>
        </w:tc>
        <w:tc>
          <w:tcPr>
            <w:tcW w:w="1649" w:type="dxa"/>
            <w:noWrap/>
            <w:vAlign w:val="center"/>
          </w:tcPr>
          <w:p w14:paraId="4D2C5C58">
            <w:pPr>
              <w:keepNext w:val="0"/>
              <w:keepLines w:val="0"/>
              <w:widowControl w:val="0"/>
              <w:suppressLineNumbers w:val="0"/>
              <w:adjustRightInd w:val="0"/>
              <w:snapToGrid w:val="0"/>
              <w:spacing w:line="240" w:lineRule="auto"/>
              <w:jc w:val="center"/>
              <w:textAlignment w:val="center"/>
              <w:rPr>
                <w:rFonts w:hint="eastAsia" w:ascii="宋体" w:hAnsi="宋体" w:eastAsia="宋体" w:cs="宋体"/>
                <w:bCs/>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0.00025</w:t>
            </w:r>
          </w:p>
        </w:tc>
      </w:tr>
      <w:tr w14:paraId="1AF44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7" w:type="dxa"/>
            <w:noWrap/>
            <w:vAlign w:val="center"/>
          </w:tcPr>
          <w:p w14:paraId="2FA68D7C">
            <w:pPr>
              <w:widowControl w:val="0"/>
              <w:adjustRightInd w:val="0"/>
              <w:snapToGrid w:val="0"/>
              <w:spacing w:line="240" w:lineRule="auto"/>
              <w:jc w:val="center"/>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kern w:val="0"/>
                <w:sz w:val="21"/>
                <w:szCs w:val="21"/>
                <w:highlight w:val="none"/>
              </w:rPr>
              <w:t>过碳酸钠</w:t>
            </w:r>
          </w:p>
        </w:tc>
        <w:tc>
          <w:tcPr>
            <w:tcW w:w="2046" w:type="dxa"/>
            <w:noWrap/>
            <w:vAlign w:val="center"/>
          </w:tcPr>
          <w:p w14:paraId="664BE49F">
            <w:pPr>
              <w:widowControl w:val="0"/>
              <w:adjustRightInd w:val="0"/>
              <w:snapToGrid w:val="0"/>
              <w:spacing w:line="240" w:lineRule="auto"/>
              <w:jc w:val="center"/>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kern w:val="0"/>
                <w:sz w:val="21"/>
                <w:szCs w:val="21"/>
                <w:highlight w:val="none"/>
              </w:rPr>
              <w:t>表2中物质W</w:t>
            </w:r>
            <w:r>
              <w:rPr>
                <w:rFonts w:hint="eastAsia" w:ascii="宋体" w:hAnsi="宋体" w:eastAsia="宋体" w:cs="宋体"/>
                <w:color w:val="000000" w:themeColor="text1"/>
                <w:kern w:val="0"/>
                <w:sz w:val="21"/>
                <w:szCs w:val="21"/>
                <w:highlight w:val="none"/>
                <w:lang w:val="en-US" w:eastAsia="zh-CN"/>
              </w:rPr>
              <w:t>9.2</w:t>
            </w:r>
          </w:p>
        </w:tc>
        <w:tc>
          <w:tcPr>
            <w:tcW w:w="1282" w:type="dxa"/>
            <w:noWrap/>
            <w:vAlign w:val="center"/>
          </w:tcPr>
          <w:p w14:paraId="1F38FDA3">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200</w:t>
            </w:r>
          </w:p>
        </w:tc>
        <w:tc>
          <w:tcPr>
            <w:tcW w:w="2477" w:type="dxa"/>
            <w:noWrap/>
            <w:vAlign w:val="center"/>
          </w:tcPr>
          <w:p w14:paraId="11E2C046">
            <w:pPr>
              <w:keepNext w:val="0"/>
              <w:keepLines w:val="0"/>
              <w:widowControl w:val="0"/>
              <w:suppressLineNumbers w:val="0"/>
              <w:adjustRightInd w:val="0"/>
              <w:snapToGrid w:val="0"/>
              <w:spacing w:line="240" w:lineRule="auto"/>
              <w:jc w:val="center"/>
              <w:textAlignment w:val="center"/>
              <w:rPr>
                <w:rFonts w:hint="eastAsia" w:ascii="宋体" w:hAnsi="宋体" w:eastAsia="宋体" w:cs="宋体"/>
                <w:bCs/>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0</w:t>
            </w:r>
          </w:p>
        </w:tc>
        <w:tc>
          <w:tcPr>
            <w:tcW w:w="1649" w:type="dxa"/>
            <w:noWrap/>
            <w:vAlign w:val="center"/>
          </w:tcPr>
          <w:p w14:paraId="35B8EA09">
            <w:pPr>
              <w:keepNext w:val="0"/>
              <w:keepLines w:val="0"/>
              <w:widowControl w:val="0"/>
              <w:suppressLineNumbers w:val="0"/>
              <w:adjustRightInd w:val="0"/>
              <w:snapToGrid w:val="0"/>
              <w:spacing w:line="240" w:lineRule="auto"/>
              <w:jc w:val="center"/>
              <w:textAlignment w:val="center"/>
              <w:rPr>
                <w:rFonts w:hint="eastAsia" w:ascii="宋体" w:hAnsi="宋体" w:eastAsia="宋体" w:cs="宋体"/>
                <w:bCs/>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0</w:t>
            </w:r>
          </w:p>
        </w:tc>
      </w:tr>
      <w:tr w14:paraId="17FB7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7" w:type="dxa"/>
            <w:noWrap/>
            <w:vAlign w:val="center"/>
          </w:tcPr>
          <w:p w14:paraId="391EA809">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sz w:val="21"/>
                <w:szCs w:val="21"/>
                <w:highlight w:val="none"/>
                <w:lang w:eastAsia="zh-CN"/>
              </w:rPr>
              <w:t>乙酸</w:t>
            </w:r>
          </w:p>
        </w:tc>
        <w:tc>
          <w:tcPr>
            <w:tcW w:w="2046" w:type="dxa"/>
            <w:noWrap/>
            <w:vAlign w:val="center"/>
          </w:tcPr>
          <w:p w14:paraId="1A74F0E1">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kern w:val="0"/>
                <w:sz w:val="21"/>
                <w:szCs w:val="21"/>
                <w:highlight w:val="none"/>
              </w:rPr>
              <w:t>表2中物质W</w:t>
            </w:r>
            <w:r>
              <w:rPr>
                <w:rFonts w:hint="eastAsia" w:ascii="宋体" w:hAnsi="宋体" w:eastAsia="宋体" w:cs="宋体"/>
                <w:color w:val="000000" w:themeColor="text1"/>
                <w:kern w:val="0"/>
                <w:sz w:val="21"/>
                <w:szCs w:val="21"/>
                <w:highlight w:val="none"/>
                <w:lang w:val="en-US" w:eastAsia="zh-CN"/>
              </w:rPr>
              <w:t>5.4</w:t>
            </w:r>
          </w:p>
        </w:tc>
        <w:tc>
          <w:tcPr>
            <w:tcW w:w="1282" w:type="dxa"/>
            <w:noWrap/>
            <w:vAlign w:val="center"/>
          </w:tcPr>
          <w:p w14:paraId="330251B7">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5000</w:t>
            </w:r>
          </w:p>
        </w:tc>
        <w:tc>
          <w:tcPr>
            <w:tcW w:w="2477" w:type="dxa"/>
            <w:noWrap/>
            <w:vAlign w:val="center"/>
          </w:tcPr>
          <w:p w14:paraId="6D7AEB27">
            <w:pPr>
              <w:keepNext w:val="0"/>
              <w:keepLines w:val="0"/>
              <w:widowControl w:val="0"/>
              <w:suppressLineNumbers w:val="0"/>
              <w:adjustRightInd w:val="0"/>
              <w:snapToGrid w:val="0"/>
              <w:spacing w:line="240" w:lineRule="auto"/>
              <w:jc w:val="center"/>
              <w:textAlignment w:val="center"/>
              <w:rPr>
                <w:rFonts w:hint="eastAsia" w:ascii="宋体" w:hAnsi="宋体" w:eastAsia="宋体" w:cs="宋体"/>
                <w:bCs/>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0.1</w:t>
            </w:r>
          </w:p>
        </w:tc>
        <w:tc>
          <w:tcPr>
            <w:tcW w:w="1649" w:type="dxa"/>
            <w:noWrap/>
            <w:vAlign w:val="center"/>
          </w:tcPr>
          <w:p w14:paraId="04D91E2A">
            <w:pPr>
              <w:keepNext w:val="0"/>
              <w:keepLines w:val="0"/>
              <w:widowControl w:val="0"/>
              <w:suppressLineNumbers w:val="0"/>
              <w:adjustRightInd w:val="0"/>
              <w:snapToGrid w:val="0"/>
              <w:spacing w:line="240" w:lineRule="auto"/>
              <w:jc w:val="center"/>
              <w:textAlignment w:val="center"/>
              <w:rPr>
                <w:rFonts w:hint="eastAsia" w:ascii="宋体" w:hAnsi="宋体" w:eastAsia="宋体" w:cs="宋体"/>
                <w:bCs/>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0.00002</w:t>
            </w:r>
          </w:p>
        </w:tc>
      </w:tr>
      <w:tr w14:paraId="6A355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7" w:type="dxa"/>
            <w:noWrap/>
            <w:vAlign w:val="center"/>
          </w:tcPr>
          <w:p w14:paraId="62169846">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Cs/>
                <w:color w:val="000000" w:themeColor="text1"/>
                <w:sz w:val="21"/>
                <w:szCs w:val="21"/>
                <w:highlight w:val="none"/>
              </w:rPr>
            </w:pPr>
          </w:p>
        </w:tc>
        <w:tc>
          <w:tcPr>
            <w:tcW w:w="7454" w:type="dxa"/>
            <w:gridSpan w:val="4"/>
            <w:noWrap/>
            <w:vAlign w:val="center"/>
          </w:tcPr>
          <w:p w14:paraId="43C4F017">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Σqi/Q=</w:t>
            </w:r>
            <w:r>
              <w:rPr>
                <w:rFonts w:hint="eastAsia" w:ascii="宋体" w:hAnsi="宋体" w:eastAsia="宋体" w:cs="宋体"/>
                <w:bCs/>
                <w:color w:val="000000" w:themeColor="text1"/>
                <w:sz w:val="21"/>
                <w:szCs w:val="21"/>
                <w:highlight w:val="none"/>
                <w:lang w:val="en-US" w:eastAsia="zh-CN"/>
              </w:rPr>
              <w:t>0.00027</w:t>
            </w:r>
            <w:r>
              <w:rPr>
                <w:rFonts w:hint="eastAsia" w:ascii="宋体" w:hAnsi="宋体" w:eastAsia="宋体" w:cs="宋体"/>
                <w:bCs/>
                <w:color w:val="000000" w:themeColor="text1"/>
                <w:sz w:val="21"/>
                <w:szCs w:val="21"/>
                <w:highlight w:val="none"/>
              </w:rPr>
              <w:t xml:space="preserve"> ＜1</w:t>
            </w:r>
          </w:p>
        </w:tc>
      </w:tr>
    </w:tbl>
    <w:p w14:paraId="43F97B62">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color w:val="000000" w:themeColor="text1"/>
          <w:sz w:val="28"/>
          <w:szCs w:val="28"/>
          <w:highlight w:val="none"/>
        </w:rPr>
      </w:pPr>
      <w:bookmarkStart w:id="684" w:name="OLE_LINK16"/>
      <w:r>
        <w:rPr>
          <w:rFonts w:hint="eastAsia"/>
          <w:bCs/>
          <w:color w:val="000000" w:themeColor="text1"/>
          <w:sz w:val="28"/>
          <w:szCs w:val="28"/>
          <w:highlight w:val="none"/>
        </w:rPr>
        <w:t>根据表3.</w:t>
      </w:r>
      <w:r>
        <w:rPr>
          <w:rFonts w:hint="eastAsia"/>
          <w:bCs/>
          <w:color w:val="000000" w:themeColor="text1"/>
          <w:sz w:val="28"/>
          <w:szCs w:val="28"/>
          <w:highlight w:val="none"/>
          <w:lang w:val="en-US" w:eastAsia="zh-CN"/>
        </w:rPr>
        <w:t>2</w:t>
      </w:r>
      <w:r>
        <w:rPr>
          <w:rFonts w:hint="eastAsia"/>
          <w:bCs/>
          <w:color w:val="000000" w:themeColor="text1"/>
          <w:sz w:val="28"/>
          <w:szCs w:val="28"/>
          <w:highlight w:val="none"/>
        </w:rPr>
        <w:t>-</w:t>
      </w:r>
      <w:r>
        <w:rPr>
          <w:rFonts w:hint="eastAsia"/>
          <w:bCs/>
          <w:color w:val="000000" w:themeColor="text1"/>
          <w:sz w:val="28"/>
          <w:szCs w:val="28"/>
          <w:highlight w:val="none"/>
          <w:lang w:val="en-US" w:eastAsia="zh-CN"/>
        </w:rPr>
        <w:t>5</w:t>
      </w:r>
      <w:r>
        <w:rPr>
          <w:rFonts w:hint="eastAsia"/>
          <w:bCs/>
          <w:color w:val="000000" w:themeColor="text1"/>
          <w:sz w:val="28"/>
          <w:szCs w:val="28"/>
          <w:highlight w:val="none"/>
        </w:rPr>
        <w:t>，华美线业</w:t>
      </w:r>
      <w:r>
        <w:rPr>
          <w:rFonts w:hint="eastAsia"/>
          <w:bCs/>
          <w:color w:val="000000" w:themeColor="text1"/>
          <w:sz w:val="28"/>
          <w:szCs w:val="28"/>
          <w:highlight w:val="none"/>
          <w:lang w:eastAsia="zh-CN"/>
        </w:rPr>
        <w:t>漂染</w:t>
      </w:r>
      <w:r>
        <w:rPr>
          <w:rFonts w:hint="eastAsia"/>
          <w:bCs/>
          <w:color w:val="000000" w:themeColor="text1"/>
          <w:sz w:val="28"/>
          <w:szCs w:val="28"/>
          <w:highlight w:val="none"/>
        </w:rPr>
        <w:t>车间附房、</w:t>
      </w:r>
      <w:r>
        <w:rPr>
          <w:rFonts w:hint="eastAsia"/>
          <w:bCs/>
          <w:color w:val="000000" w:themeColor="text1"/>
          <w:sz w:val="28"/>
          <w:szCs w:val="28"/>
          <w:highlight w:val="none"/>
          <w:lang w:eastAsia="zh-CN"/>
        </w:rPr>
        <w:t>漂染</w:t>
      </w:r>
      <w:r>
        <w:rPr>
          <w:rFonts w:hint="eastAsia"/>
          <w:bCs/>
          <w:color w:val="000000" w:themeColor="text1"/>
          <w:sz w:val="28"/>
          <w:szCs w:val="28"/>
          <w:highlight w:val="none"/>
        </w:rPr>
        <w:t>车间均不构成危险化学品重大危险源</w:t>
      </w:r>
      <w:r>
        <w:rPr>
          <w:rFonts w:hint="eastAsia"/>
          <w:color w:val="000000" w:themeColor="text1"/>
          <w:sz w:val="28"/>
          <w:szCs w:val="28"/>
          <w:highlight w:val="none"/>
        </w:rPr>
        <w:t>。</w:t>
      </w:r>
    </w:p>
    <w:p w14:paraId="523EBC76">
      <w:pPr>
        <w:widowControl w:val="0"/>
        <w:adjustRightInd w:val="0"/>
        <w:snapToGrid w:val="0"/>
        <w:spacing w:beforeLines="0" w:afterLines="0" w:line="360" w:lineRule="auto"/>
        <w:jc w:val="left"/>
        <w:outlineLvl w:val="2"/>
        <w:rPr>
          <w:rFonts w:hint="eastAsia" w:ascii="黑体" w:hAnsi="黑体" w:eastAsia="黑体" w:cs="黑体"/>
          <w:b/>
          <w:bCs/>
          <w:color w:val="000000" w:themeColor="text1"/>
          <w:kern w:val="0"/>
          <w:sz w:val="28"/>
          <w:szCs w:val="28"/>
          <w:highlight w:val="none"/>
          <w:lang w:val="en-US" w:eastAsia="zh-CN"/>
        </w:rPr>
      </w:pPr>
      <w:bookmarkStart w:id="685" w:name="_Toc23208"/>
      <w:bookmarkStart w:id="686" w:name="_Toc17802"/>
      <w:bookmarkStart w:id="687" w:name="_Toc18748"/>
      <w:bookmarkStart w:id="688" w:name="_Toc4592"/>
      <w:bookmarkStart w:id="689" w:name="_Toc14999"/>
      <w:bookmarkStart w:id="690" w:name="_Toc9654"/>
      <w:r>
        <w:rPr>
          <w:rFonts w:hint="eastAsia" w:ascii="黑体" w:hAnsi="黑体" w:eastAsia="黑体" w:cs="黑体"/>
          <w:b/>
          <w:bCs/>
          <w:color w:val="000000" w:themeColor="text1"/>
          <w:kern w:val="0"/>
          <w:sz w:val="28"/>
          <w:szCs w:val="28"/>
          <w:highlight w:val="none"/>
          <w:lang w:val="en-US" w:eastAsia="zh-CN"/>
        </w:rPr>
        <w:t>3.2.13事故案例分析</w:t>
      </w:r>
      <w:bookmarkEnd w:id="685"/>
      <w:bookmarkEnd w:id="686"/>
      <w:bookmarkEnd w:id="687"/>
      <w:bookmarkEnd w:id="688"/>
      <w:bookmarkEnd w:id="689"/>
      <w:bookmarkEnd w:id="690"/>
    </w:p>
    <w:p w14:paraId="275FB02C">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color w:val="000000" w:themeColor="text1"/>
          <w:sz w:val="28"/>
          <w:szCs w:val="28"/>
          <w:highlight w:val="none"/>
        </w:rPr>
      </w:pPr>
      <w:r>
        <w:rPr>
          <w:rFonts w:hint="eastAsia"/>
          <w:color w:val="000000" w:themeColor="text1"/>
          <w:sz w:val="28"/>
          <w:szCs w:val="28"/>
          <w:highlight w:val="none"/>
        </w:rPr>
        <w:t>案例一：</w:t>
      </w:r>
      <w:r>
        <w:rPr>
          <w:rFonts w:hint="eastAsia" w:cs="Arial"/>
          <w:color w:val="000000" w:themeColor="text1"/>
          <w:spacing w:val="0"/>
          <w:sz w:val="28"/>
          <w:szCs w:val="28"/>
          <w:highlight w:val="none"/>
          <w:shd w:val="clear" w:color="auto" w:fill="FFFFFF"/>
        </w:rPr>
        <w:t>浙江武义伟嘉利工贸有限公司“4·17”重大火灾事故</w:t>
      </w:r>
    </w:p>
    <w:p w14:paraId="33935BDD">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cs="Arial"/>
          <w:color w:val="000000" w:themeColor="text1"/>
          <w:spacing w:val="0"/>
          <w:sz w:val="28"/>
          <w:szCs w:val="28"/>
          <w:highlight w:val="none"/>
          <w:shd w:val="clear" w:color="auto" w:fill="FFFFFF"/>
        </w:rPr>
      </w:pPr>
      <w:r>
        <w:rPr>
          <w:rFonts w:hint="eastAsia" w:cs="Arial"/>
          <w:color w:val="000000" w:themeColor="text1"/>
          <w:spacing w:val="0"/>
          <w:sz w:val="28"/>
          <w:szCs w:val="28"/>
          <w:highlight w:val="none"/>
          <w:shd w:val="clear" w:color="auto" w:fill="FFFFFF"/>
        </w:rPr>
        <w:t>2023年4月17日14时1分许，位于浙江省金华市武义县泉溪镇青云路68号的浙江伟嘉利工贸有限公司发生一起重大火灾事故，导致11人死亡，过火面积约9000平方米，直接经济损失2806.5万元。</w:t>
      </w:r>
    </w:p>
    <w:p w14:paraId="2FCD0FE6">
      <w:pPr>
        <w:keepNext w:val="0"/>
        <w:keepLines w:val="0"/>
        <w:pageBreakBefore w:val="0"/>
        <w:widowControl w:val="0"/>
        <w:numPr>
          <w:ilvl w:val="0"/>
          <w:numId w:val="4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s="Arial"/>
          <w:color w:val="000000" w:themeColor="text1"/>
          <w:spacing w:val="0"/>
          <w:sz w:val="28"/>
          <w:szCs w:val="28"/>
          <w:highlight w:val="none"/>
          <w:shd w:val="clear" w:color="auto" w:fill="FFFFFF"/>
        </w:rPr>
      </w:pPr>
      <w:r>
        <w:rPr>
          <w:rFonts w:hint="eastAsia" w:cs="Arial"/>
          <w:color w:val="000000" w:themeColor="text1"/>
          <w:spacing w:val="0"/>
          <w:sz w:val="28"/>
          <w:szCs w:val="28"/>
          <w:highlight w:val="none"/>
          <w:shd w:val="clear" w:color="auto" w:fill="FFFFFF"/>
        </w:rPr>
        <w:t>事故发生经过。</w:t>
      </w:r>
    </w:p>
    <w:p w14:paraId="58692D79">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cs="Arial"/>
          <w:color w:val="000000" w:themeColor="text1"/>
          <w:spacing w:val="0"/>
          <w:sz w:val="28"/>
          <w:szCs w:val="28"/>
          <w:highlight w:val="none"/>
          <w:shd w:val="clear" w:color="auto" w:fill="FFFFFF"/>
        </w:rPr>
      </w:pPr>
      <w:r>
        <w:rPr>
          <w:rFonts w:hint="eastAsia" w:cs="Arial"/>
          <w:color w:val="000000" w:themeColor="text1"/>
          <w:spacing w:val="0"/>
          <w:sz w:val="28"/>
          <w:szCs w:val="28"/>
          <w:highlight w:val="none"/>
          <w:shd w:val="clear" w:color="auto" w:fill="FFFFFF"/>
        </w:rPr>
        <w:t>因家风公司一层喷漆工段气味过大，经常飘到三层烨立公司车间，应房东伟嘉利公司法定代表人胡伟文和烨立公司负责人刘平群要求，家风公司拟对喷漆工段进行封闭改造。2023年4月16日，家风公司法定代表人程俊杰及其妻子应萍、厂长陈金东和雇佣施工负责人成景商量，定于4月17日在喷漆工段的天井流水线上方做一个封闭，防止气味窜到楼上。17日上午，成景带电焊工王兴旭和杨中文以及帮工李光亮在一层外墙打螺丝，12时59分开始在二层天井上部进行电焊施工。14时1分19秒，杨中文和王兴旭</w:t>
      </w:r>
      <w:r>
        <w:rPr>
          <w:rFonts w:hint="eastAsia" w:cs="Arial"/>
          <w:color w:val="000000" w:themeColor="text1"/>
          <w:spacing w:val="0"/>
          <w:sz w:val="28"/>
          <w:szCs w:val="28"/>
          <w:highlight w:val="none"/>
          <w:shd w:val="clear" w:color="auto" w:fill="FFFFFF"/>
          <w:lang w:eastAsia="zh-CN"/>
        </w:rPr>
        <w:t>趴在</w:t>
      </w:r>
      <w:r>
        <w:rPr>
          <w:rFonts w:hint="eastAsia" w:cs="Arial"/>
          <w:color w:val="000000" w:themeColor="text1"/>
          <w:spacing w:val="0"/>
          <w:sz w:val="28"/>
          <w:szCs w:val="28"/>
          <w:highlight w:val="none"/>
          <w:shd w:val="clear" w:color="auto" w:fill="FFFFFF"/>
        </w:rPr>
        <w:t>脚手架上开始焊接立柱顶部；14时1分47秒，焊点下方一楼起火；14时2分08秒，杨中文等人发现起火后从脚手架上下来往二楼北楼梯逃离；14时2分57秒，二层家风公司员工龙贵琴发现冒烟后拨打119报警</w:t>
      </w:r>
      <w:r>
        <w:rPr>
          <w:rFonts w:hint="eastAsia" w:cs="Arial"/>
          <w:color w:val="000000" w:themeColor="text1"/>
          <w:spacing w:val="0"/>
          <w:sz w:val="28"/>
          <w:szCs w:val="28"/>
          <w:highlight w:val="none"/>
          <w:shd w:val="clear" w:color="auto" w:fill="FFFFFF"/>
          <w:lang w:eastAsia="zh-CN"/>
        </w:rPr>
        <w:t>，期间，</w:t>
      </w:r>
      <w:r>
        <w:rPr>
          <w:rFonts w:hint="eastAsia" w:cs="Arial"/>
          <w:color w:val="000000" w:themeColor="text1"/>
          <w:spacing w:val="0"/>
          <w:sz w:val="28"/>
          <w:szCs w:val="28"/>
          <w:highlight w:val="none"/>
          <w:shd w:val="clear" w:color="auto" w:fill="FFFFFF"/>
        </w:rPr>
        <w:t>一层、二层家风公司员工全部逃生；14时3分（起火后73秒），烟气通过南侧楼梯间进入三层烨立公司；14时3分09秒（起火后82秒），三层烨立公司员工龙景新发现南侧楼梯间冒烟，同时提示吴仕兴发生火灾，三层人员（共计12人）在刘平群和卜有贤的指挥下关闭电源并拿取个人物品开始逃生；14时3分43秒（距离起火116秒），大量有毒烟气通过南北两侧楼梯间先后进入三层，除石东从北侧楼梯间逃生外，其余人员未逃出。截至4月18日3时许，经现场搜救，确定11人遇难。</w:t>
      </w:r>
    </w:p>
    <w:p w14:paraId="51D278B2">
      <w:pPr>
        <w:keepNext w:val="0"/>
        <w:keepLines w:val="0"/>
        <w:pageBreakBefore w:val="0"/>
        <w:widowControl w:val="0"/>
        <w:numPr>
          <w:ilvl w:val="0"/>
          <w:numId w:val="4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Arial"/>
          <w:color w:val="000000" w:themeColor="text1"/>
          <w:spacing w:val="0"/>
          <w:sz w:val="28"/>
          <w:szCs w:val="28"/>
          <w:highlight w:val="none"/>
          <w:shd w:val="clear" w:color="auto" w:fill="FFFFFF"/>
        </w:rPr>
      </w:pPr>
      <w:r>
        <w:rPr>
          <w:rFonts w:hint="eastAsia" w:ascii="宋体" w:hAnsi="宋体" w:eastAsia="宋体" w:cs="Arial"/>
          <w:color w:val="000000" w:themeColor="text1"/>
          <w:spacing w:val="0"/>
          <w:sz w:val="28"/>
          <w:szCs w:val="28"/>
          <w:highlight w:val="none"/>
          <w:shd w:val="clear" w:color="auto" w:fill="FFFFFF"/>
        </w:rPr>
        <w:t>事故直接原因</w:t>
      </w:r>
    </w:p>
    <w:p w14:paraId="3A8A54C3">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cs="Arial"/>
          <w:color w:val="000000" w:themeColor="text1"/>
          <w:spacing w:val="0"/>
          <w:sz w:val="28"/>
          <w:szCs w:val="28"/>
          <w:highlight w:val="none"/>
          <w:shd w:val="clear" w:color="auto" w:fill="FFFFFF"/>
        </w:rPr>
      </w:pPr>
      <w:r>
        <w:rPr>
          <w:rFonts w:hint="eastAsia" w:cs="Arial"/>
          <w:color w:val="000000" w:themeColor="text1"/>
          <w:spacing w:val="0"/>
          <w:sz w:val="28"/>
          <w:szCs w:val="28"/>
          <w:highlight w:val="none"/>
          <w:shd w:val="clear" w:color="auto" w:fill="FFFFFF"/>
        </w:rPr>
        <w:t>事故调查组通过现场勘查、视频分析、人员询问等，排除了故意纵火、电气、自燃、遗留火种等引发火灾因素。</w:t>
      </w:r>
    </w:p>
    <w:p w14:paraId="77D4E653">
      <w:pPr>
        <w:keepNext w:val="0"/>
        <w:keepLines w:val="0"/>
        <w:pageBreakBefore w:val="0"/>
        <w:widowControl w:val="0"/>
        <w:numPr>
          <w:ilvl w:val="0"/>
          <w:numId w:val="4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s="Arial"/>
          <w:color w:val="000000" w:themeColor="text1"/>
          <w:spacing w:val="0"/>
          <w:sz w:val="28"/>
          <w:szCs w:val="28"/>
          <w:highlight w:val="none"/>
          <w:shd w:val="clear" w:color="auto" w:fill="FFFFFF"/>
        </w:rPr>
      </w:pPr>
      <w:r>
        <w:rPr>
          <w:rFonts w:hint="eastAsia" w:cs="Arial"/>
          <w:color w:val="000000" w:themeColor="text1"/>
          <w:spacing w:val="0"/>
          <w:sz w:val="28"/>
          <w:szCs w:val="28"/>
          <w:highlight w:val="none"/>
          <w:shd w:val="clear" w:color="auto" w:fill="FFFFFF"/>
        </w:rPr>
        <w:t>起火原因</w:t>
      </w:r>
    </w:p>
    <w:p w14:paraId="5153ADB3">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cs="Arial"/>
          <w:color w:val="000000" w:themeColor="text1"/>
          <w:spacing w:val="0"/>
          <w:sz w:val="28"/>
          <w:szCs w:val="28"/>
          <w:highlight w:val="none"/>
          <w:shd w:val="clear" w:color="auto" w:fill="FFFFFF"/>
        </w:rPr>
      </w:pPr>
      <w:r>
        <w:rPr>
          <w:rFonts w:hint="eastAsia" w:cs="Arial"/>
          <w:color w:val="000000" w:themeColor="text1"/>
          <w:spacing w:val="0"/>
          <w:sz w:val="28"/>
          <w:szCs w:val="28"/>
          <w:highlight w:val="none"/>
          <w:shd w:val="clear" w:color="auto" w:fill="FFFFFF"/>
        </w:rPr>
        <w:t>2023年4月17日14时1分许，家风公司雇佣的电焊工在二层违章电焊作业产生的高温焊渣掉落到一层，引燃放置在拉丝漆喷漆台旁使用过的拉丝调制漆引发火灾。</w:t>
      </w:r>
    </w:p>
    <w:p w14:paraId="4938480B">
      <w:pPr>
        <w:keepNext w:val="0"/>
        <w:keepLines w:val="0"/>
        <w:pageBreakBefore w:val="0"/>
        <w:widowControl w:val="0"/>
        <w:numPr>
          <w:ilvl w:val="0"/>
          <w:numId w:val="4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Arial"/>
          <w:color w:val="000000" w:themeColor="text1"/>
          <w:spacing w:val="0"/>
          <w:sz w:val="28"/>
          <w:szCs w:val="28"/>
          <w:highlight w:val="none"/>
          <w:shd w:val="clear" w:color="auto" w:fill="FFFFFF"/>
        </w:rPr>
      </w:pPr>
      <w:r>
        <w:rPr>
          <w:rFonts w:hint="eastAsia" w:ascii="宋体" w:hAnsi="宋体" w:eastAsia="宋体" w:cs="Arial"/>
          <w:color w:val="000000" w:themeColor="text1"/>
          <w:spacing w:val="0"/>
          <w:sz w:val="28"/>
          <w:szCs w:val="28"/>
          <w:highlight w:val="none"/>
          <w:shd w:val="clear" w:color="auto" w:fill="FFFFFF"/>
        </w:rPr>
        <w:t>火灾迅速蔓延主要原因</w:t>
      </w:r>
    </w:p>
    <w:p w14:paraId="7748C701">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cs="Arial"/>
          <w:color w:val="000000" w:themeColor="text1"/>
          <w:spacing w:val="0"/>
          <w:sz w:val="28"/>
          <w:szCs w:val="28"/>
          <w:highlight w:val="none"/>
          <w:shd w:val="clear" w:color="auto" w:fill="FFFFFF"/>
        </w:rPr>
      </w:pPr>
      <w:r>
        <w:rPr>
          <w:rFonts w:hint="eastAsia" w:cs="Arial"/>
          <w:color w:val="000000" w:themeColor="text1"/>
          <w:spacing w:val="0"/>
          <w:sz w:val="28"/>
          <w:szCs w:val="28"/>
          <w:highlight w:val="none"/>
          <w:shd w:val="clear" w:color="auto" w:fill="FFFFFF"/>
        </w:rPr>
        <w:t>一是起火物质燃烧猛烈，起火后先后引燃了使用过的6桶拉丝调制漆、可燃的玻璃纤维瓦以及存放在拉丝稀释剂仓库的0.9吨以上桶装拉丝稀释剂与油漆，起火后猛烈燃烧，产生大量一氧化碳、甲醛等有毒有害的浓烟。</w:t>
      </w:r>
    </w:p>
    <w:p w14:paraId="04C6E7A5">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cs="Arial"/>
          <w:color w:val="000000" w:themeColor="text1"/>
          <w:spacing w:val="0"/>
          <w:sz w:val="28"/>
          <w:szCs w:val="28"/>
          <w:highlight w:val="none"/>
          <w:shd w:val="clear" w:color="auto" w:fill="FFFFFF"/>
        </w:rPr>
      </w:pPr>
      <w:r>
        <w:rPr>
          <w:rFonts w:hint="eastAsia" w:cs="Arial"/>
          <w:color w:val="000000" w:themeColor="text1"/>
          <w:spacing w:val="0"/>
          <w:sz w:val="28"/>
          <w:szCs w:val="28"/>
          <w:highlight w:val="none"/>
          <w:shd w:val="clear" w:color="auto" w:fill="FFFFFF"/>
        </w:rPr>
        <w:t>二是“烟囱效应”烟气扩散快，一层起火处与二层有生产流水线连通，形成高度达15米的垂直立体空间；厂房南北两侧的两台货梯未设置电梯层门及实体墙电梯围护结构；南北两侧疏散楼梯未封闭；一层起火后，高温有毒烟气直接通过生产流水线连通处、电梯井和疏散楼梯等处快速蔓延扩散至二层三层。</w:t>
      </w:r>
    </w:p>
    <w:p w14:paraId="7B384865">
      <w:pPr>
        <w:keepNext w:val="0"/>
        <w:keepLines w:val="0"/>
        <w:pageBreakBefore w:val="0"/>
        <w:widowControl w:val="0"/>
        <w:numPr>
          <w:ilvl w:val="0"/>
          <w:numId w:val="4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Arial"/>
          <w:color w:val="000000" w:themeColor="text1"/>
          <w:spacing w:val="0"/>
          <w:sz w:val="28"/>
          <w:szCs w:val="28"/>
          <w:highlight w:val="none"/>
          <w:shd w:val="clear" w:color="auto" w:fill="FFFFFF"/>
        </w:rPr>
      </w:pPr>
      <w:r>
        <w:rPr>
          <w:rFonts w:hint="eastAsia" w:ascii="宋体" w:hAnsi="宋体" w:eastAsia="宋体" w:cs="Arial"/>
          <w:color w:val="000000" w:themeColor="text1"/>
          <w:spacing w:val="0"/>
          <w:sz w:val="28"/>
          <w:szCs w:val="28"/>
          <w:highlight w:val="none"/>
          <w:shd w:val="clear" w:color="auto" w:fill="FFFFFF"/>
        </w:rPr>
        <w:t>造成人员死</w:t>
      </w:r>
      <w:r>
        <w:rPr>
          <w:rFonts w:hint="eastAsia" w:cs="Arial"/>
          <w:color w:val="000000" w:themeColor="text1"/>
          <w:spacing w:val="0"/>
          <w:sz w:val="28"/>
          <w:szCs w:val="28"/>
          <w:highlight w:val="none"/>
          <w:shd w:val="clear" w:color="auto" w:fill="FFFFFF"/>
          <w:lang w:eastAsia="zh-CN"/>
        </w:rPr>
        <w:t>亡的</w:t>
      </w:r>
      <w:r>
        <w:rPr>
          <w:rFonts w:hint="eastAsia" w:ascii="宋体" w:hAnsi="宋体" w:eastAsia="宋体" w:cs="Arial"/>
          <w:color w:val="000000" w:themeColor="text1"/>
          <w:spacing w:val="0"/>
          <w:sz w:val="28"/>
          <w:szCs w:val="28"/>
          <w:highlight w:val="none"/>
          <w:shd w:val="clear" w:color="auto" w:fill="FFFFFF"/>
        </w:rPr>
        <w:t>主要原因</w:t>
      </w:r>
    </w:p>
    <w:p w14:paraId="063D09D3">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560" w:firstLineChars="200"/>
        <w:textAlignment w:val="auto"/>
        <w:rPr>
          <w:rFonts w:hint="eastAsia" w:cs="Arial"/>
          <w:color w:val="000000" w:themeColor="text1"/>
          <w:spacing w:val="0"/>
          <w:sz w:val="28"/>
          <w:szCs w:val="28"/>
          <w:highlight w:val="none"/>
          <w:shd w:val="clear" w:color="auto" w:fill="FFFFFF"/>
        </w:rPr>
      </w:pPr>
      <w:r>
        <w:rPr>
          <w:rFonts w:hint="eastAsia" w:cs="Arial"/>
          <w:color w:val="000000" w:themeColor="text1"/>
          <w:spacing w:val="0"/>
          <w:sz w:val="28"/>
          <w:szCs w:val="28"/>
          <w:highlight w:val="none"/>
          <w:shd w:val="clear" w:color="auto" w:fill="FFFFFF"/>
        </w:rPr>
        <w:t>一是拉丝稀释剂与油漆等猛烈燃烧产生有毒有害浓烟。</w:t>
      </w:r>
    </w:p>
    <w:p w14:paraId="75DD8B78">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560" w:firstLineChars="200"/>
        <w:textAlignment w:val="auto"/>
        <w:rPr>
          <w:rFonts w:hint="eastAsia" w:cs="Arial"/>
          <w:color w:val="000000" w:themeColor="text1"/>
          <w:spacing w:val="0"/>
          <w:sz w:val="28"/>
          <w:szCs w:val="28"/>
          <w:highlight w:val="none"/>
          <w:shd w:val="clear" w:color="auto" w:fill="FFFFFF"/>
        </w:rPr>
      </w:pPr>
      <w:r>
        <w:rPr>
          <w:rFonts w:hint="eastAsia" w:cs="Arial"/>
          <w:color w:val="000000" w:themeColor="text1"/>
          <w:spacing w:val="0"/>
          <w:sz w:val="28"/>
          <w:szCs w:val="28"/>
          <w:highlight w:val="none"/>
          <w:shd w:val="clear" w:color="auto" w:fill="FFFFFF"/>
        </w:rPr>
        <w:t>二是起火处一层二层连通，货梯、疏散楼梯未封闭形成“烟囱效应”，大量烟气从生产流水线连通处、电梯井和疏散楼梯等处往二层三层快速扩散，三层员工通过疏散楼梯逃生较为困难。</w:t>
      </w:r>
    </w:p>
    <w:p w14:paraId="0B3C672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560" w:firstLineChars="200"/>
        <w:textAlignment w:val="auto"/>
        <w:rPr>
          <w:rFonts w:hint="eastAsia" w:cs="Arial"/>
          <w:color w:val="000000" w:themeColor="text1"/>
          <w:spacing w:val="0"/>
          <w:sz w:val="28"/>
          <w:szCs w:val="28"/>
          <w:highlight w:val="none"/>
          <w:shd w:val="clear" w:color="auto" w:fill="FFFFFF"/>
        </w:rPr>
      </w:pPr>
      <w:r>
        <w:rPr>
          <w:rFonts w:hint="eastAsia" w:cs="Arial"/>
          <w:color w:val="000000" w:themeColor="text1"/>
          <w:spacing w:val="0"/>
          <w:sz w:val="28"/>
          <w:szCs w:val="28"/>
          <w:highlight w:val="none"/>
          <w:shd w:val="clear" w:color="auto" w:fill="FFFFFF"/>
        </w:rPr>
        <w:t>三是烨立公司未按规定建立应急疏散预案、未开展应急救援演练，火灾发生后烨立公司未及时收到火灾警报，火场组织疏散逃生不及时。</w:t>
      </w:r>
    </w:p>
    <w:p w14:paraId="58286DF5">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color w:val="000000" w:themeColor="text1"/>
          <w:sz w:val="28"/>
          <w:szCs w:val="28"/>
          <w:highlight w:val="none"/>
        </w:rPr>
      </w:pPr>
      <w:r>
        <w:rPr>
          <w:rFonts w:hint="eastAsia"/>
          <w:color w:val="000000" w:themeColor="text1"/>
          <w:sz w:val="28"/>
          <w:szCs w:val="28"/>
          <w:highlight w:val="none"/>
        </w:rPr>
        <w:t>案例</w:t>
      </w:r>
      <w:r>
        <w:rPr>
          <w:rFonts w:hint="eastAsia"/>
          <w:color w:val="000000" w:themeColor="text1"/>
          <w:sz w:val="28"/>
          <w:szCs w:val="28"/>
          <w:highlight w:val="none"/>
          <w:lang w:eastAsia="zh-CN"/>
        </w:rPr>
        <w:t>二</w:t>
      </w:r>
      <w:r>
        <w:rPr>
          <w:rFonts w:hint="eastAsia"/>
          <w:color w:val="000000" w:themeColor="text1"/>
          <w:sz w:val="28"/>
          <w:szCs w:val="28"/>
          <w:highlight w:val="none"/>
        </w:rPr>
        <w:t>：</w:t>
      </w:r>
      <w:r>
        <w:rPr>
          <w:rFonts w:hint="eastAsia" w:cs="Arial"/>
          <w:color w:val="000000" w:themeColor="text1"/>
          <w:spacing w:val="0"/>
          <w:sz w:val="28"/>
          <w:szCs w:val="28"/>
          <w:highlight w:val="none"/>
          <w:shd w:val="clear" w:color="auto" w:fill="FFFFFF"/>
        </w:rPr>
        <w:t>保险粉自燃事故</w:t>
      </w:r>
    </w:p>
    <w:p w14:paraId="573A23AD">
      <w:pPr>
        <w:keepNext w:val="0"/>
        <w:keepLines w:val="0"/>
        <w:pageBreakBefore w:val="0"/>
        <w:widowControl w:val="0"/>
        <w:numPr>
          <w:ilvl w:val="0"/>
          <w:numId w:val="46"/>
        </w:numPr>
        <w:kinsoku/>
        <w:wordWrap/>
        <w:overflowPunct/>
        <w:topLinePunct w:val="0"/>
        <w:autoSpaceDE/>
        <w:autoSpaceDN/>
        <w:bidi w:val="0"/>
        <w:adjustRightInd w:val="0"/>
        <w:snapToGrid w:val="0"/>
        <w:spacing w:line="360" w:lineRule="auto"/>
        <w:ind w:left="0" w:firstLine="560" w:firstLineChars="200"/>
        <w:textAlignment w:val="auto"/>
        <w:rPr>
          <w:rFonts w:hint="eastAsia"/>
          <w:color w:val="000000" w:themeColor="text1"/>
          <w:sz w:val="28"/>
          <w:szCs w:val="28"/>
          <w:highlight w:val="none"/>
          <w:lang w:val="en-US" w:eastAsia="zh-CN"/>
        </w:rPr>
      </w:pPr>
      <w:r>
        <w:rPr>
          <w:rFonts w:hint="eastAsia"/>
          <w:color w:val="000000" w:themeColor="text1"/>
          <w:sz w:val="28"/>
          <w:szCs w:val="28"/>
          <w:highlight w:val="none"/>
          <w:lang w:val="en-US" w:eastAsia="zh-CN"/>
        </w:rPr>
        <w:t>事故经过</w:t>
      </w:r>
    </w:p>
    <w:p w14:paraId="233B39A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560" w:firstLineChars="200"/>
        <w:textAlignment w:val="auto"/>
        <w:rPr>
          <w:rFonts w:hint="eastAsia"/>
          <w:color w:val="000000" w:themeColor="text1"/>
          <w:sz w:val="28"/>
          <w:szCs w:val="28"/>
          <w:highlight w:val="none"/>
        </w:rPr>
      </w:pPr>
      <w:r>
        <w:rPr>
          <w:rFonts w:hint="eastAsia"/>
          <w:color w:val="000000" w:themeColor="text1"/>
          <w:sz w:val="28"/>
          <w:szCs w:val="28"/>
          <w:highlight w:val="none"/>
          <w:lang w:val="en-US" w:eastAsia="zh-CN"/>
        </w:rPr>
        <w:t>2013年</w:t>
      </w:r>
      <w:r>
        <w:rPr>
          <w:rFonts w:hint="eastAsia"/>
          <w:color w:val="000000" w:themeColor="text1"/>
          <w:sz w:val="28"/>
          <w:szCs w:val="28"/>
          <w:highlight w:val="none"/>
        </w:rPr>
        <w:t>8月18日晚</w:t>
      </w:r>
      <w:r>
        <w:rPr>
          <w:rFonts w:hint="eastAsia"/>
          <w:color w:val="000000" w:themeColor="text1"/>
          <w:sz w:val="28"/>
          <w:szCs w:val="28"/>
          <w:highlight w:val="none"/>
          <w:lang w:eastAsia="zh-CN"/>
        </w:rPr>
        <w:t>，绍兴市因暴雨使一些厂房进水，</w:t>
      </w:r>
      <w:r>
        <w:rPr>
          <w:rFonts w:hint="eastAsia"/>
          <w:color w:val="000000" w:themeColor="text1"/>
          <w:sz w:val="28"/>
          <w:szCs w:val="28"/>
          <w:highlight w:val="none"/>
        </w:rPr>
        <w:t>在19日2时10分至7时30分期间</w:t>
      </w:r>
      <w:r>
        <w:rPr>
          <w:rFonts w:hint="eastAsia"/>
          <w:color w:val="000000" w:themeColor="text1"/>
          <w:sz w:val="28"/>
          <w:szCs w:val="28"/>
          <w:highlight w:val="none"/>
          <w:lang w:eastAsia="zh-CN"/>
        </w:rPr>
        <w:t>，</w:t>
      </w:r>
      <w:r>
        <w:rPr>
          <w:rFonts w:hint="eastAsia"/>
          <w:color w:val="000000" w:themeColor="text1"/>
          <w:sz w:val="28"/>
          <w:szCs w:val="28"/>
          <w:highlight w:val="none"/>
        </w:rPr>
        <w:t>绍兴市越城区、绍兴县、袍江新区等地接连发生</w:t>
      </w:r>
      <w:r>
        <w:rPr>
          <w:rFonts w:hint="eastAsia"/>
          <w:color w:val="000000" w:themeColor="text1"/>
          <w:sz w:val="28"/>
          <w:szCs w:val="28"/>
          <w:highlight w:val="none"/>
          <w:lang w:eastAsia="zh-CN"/>
        </w:rPr>
        <w:t>多</w:t>
      </w:r>
      <w:r>
        <w:rPr>
          <w:rFonts w:hint="eastAsia"/>
          <w:color w:val="000000" w:themeColor="text1"/>
          <w:sz w:val="28"/>
          <w:szCs w:val="28"/>
          <w:highlight w:val="none"/>
        </w:rPr>
        <w:t>起保险粉自燃</w:t>
      </w:r>
      <w:r>
        <w:rPr>
          <w:rFonts w:hint="eastAsia"/>
          <w:color w:val="000000" w:themeColor="text1"/>
          <w:sz w:val="28"/>
          <w:szCs w:val="28"/>
          <w:highlight w:val="none"/>
          <w:lang w:eastAsia="zh-CN"/>
        </w:rPr>
        <w:t>，</w:t>
      </w:r>
      <w:r>
        <w:rPr>
          <w:rFonts w:hint="eastAsia"/>
          <w:color w:val="000000" w:themeColor="text1"/>
          <w:sz w:val="28"/>
          <w:szCs w:val="28"/>
          <w:highlight w:val="none"/>
        </w:rPr>
        <w:t>所幸被及时赶到的消防官兵等救援力量扑灭</w:t>
      </w:r>
      <w:r>
        <w:rPr>
          <w:rFonts w:hint="eastAsia"/>
          <w:color w:val="000000" w:themeColor="text1"/>
          <w:sz w:val="28"/>
          <w:szCs w:val="28"/>
          <w:highlight w:val="none"/>
          <w:lang w:eastAsia="zh-CN"/>
        </w:rPr>
        <w:t>，</w:t>
      </w:r>
      <w:r>
        <w:rPr>
          <w:rFonts w:hint="eastAsia"/>
          <w:color w:val="000000" w:themeColor="text1"/>
          <w:sz w:val="28"/>
          <w:szCs w:val="28"/>
          <w:highlight w:val="none"/>
        </w:rPr>
        <w:t>也没有造成人员伤亡。</w:t>
      </w:r>
    </w:p>
    <w:p w14:paraId="1A28B71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560" w:firstLineChars="200"/>
        <w:textAlignment w:val="auto"/>
        <w:rPr>
          <w:rFonts w:hint="eastAsia"/>
          <w:color w:val="000000" w:themeColor="text1"/>
          <w:sz w:val="28"/>
          <w:szCs w:val="28"/>
          <w:highlight w:val="none"/>
        </w:rPr>
      </w:pPr>
      <w:r>
        <w:rPr>
          <w:rFonts w:hint="eastAsia"/>
          <w:color w:val="000000" w:themeColor="text1"/>
          <w:sz w:val="28"/>
          <w:szCs w:val="28"/>
          <w:highlight w:val="none"/>
        </w:rPr>
        <w:t>8月19日2时10分许</w:t>
      </w:r>
      <w:r>
        <w:rPr>
          <w:rFonts w:hint="eastAsia"/>
          <w:color w:val="000000" w:themeColor="text1"/>
          <w:sz w:val="28"/>
          <w:szCs w:val="28"/>
          <w:highlight w:val="none"/>
          <w:lang w:eastAsia="zh-CN"/>
        </w:rPr>
        <w:t>，</w:t>
      </w:r>
      <w:r>
        <w:rPr>
          <w:rFonts w:hint="eastAsia"/>
          <w:color w:val="000000" w:themeColor="text1"/>
          <w:sz w:val="28"/>
          <w:szCs w:val="28"/>
          <w:highlight w:val="none"/>
        </w:rPr>
        <w:t>绍兴县陶堰镇金素村附近一满载10吨保险粉的大货车着火</w:t>
      </w:r>
      <w:r>
        <w:rPr>
          <w:rFonts w:hint="eastAsia"/>
          <w:color w:val="000000" w:themeColor="text1"/>
          <w:sz w:val="28"/>
          <w:szCs w:val="28"/>
          <w:highlight w:val="none"/>
          <w:lang w:eastAsia="zh-CN"/>
        </w:rPr>
        <w:t>，</w:t>
      </w:r>
      <w:r>
        <w:rPr>
          <w:rFonts w:hint="eastAsia"/>
          <w:color w:val="000000" w:themeColor="text1"/>
          <w:sz w:val="28"/>
          <w:szCs w:val="28"/>
          <w:highlight w:val="none"/>
        </w:rPr>
        <w:t>当地</w:t>
      </w:r>
      <w:r>
        <w:rPr>
          <w:rFonts w:hint="eastAsia"/>
          <w:color w:val="000000" w:themeColor="text1"/>
          <w:sz w:val="28"/>
          <w:szCs w:val="28"/>
          <w:highlight w:val="none"/>
          <w:lang w:eastAsia="zh-CN"/>
        </w:rPr>
        <w:t>消防队员</w:t>
      </w:r>
      <w:r>
        <w:rPr>
          <w:rFonts w:hint="eastAsia"/>
          <w:color w:val="000000" w:themeColor="text1"/>
          <w:sz w:val="28"/>
          <w:szCs w:val="28"/>
          <w:highlight w:val="none"/>
        </w:rPr>
        <w:t>火速赶赴现场施救</w:t>
      </w:r>
      <w:r>
        <w:rPr>
          <w:rFonts w:hint="eastAsia"/>
          <w:color w:val="000000" w:themeColor="text1"/>
          <w:sz w:val="28"/>
          <w:szCs w:val="28"/>
          <w:highlight w:val="none"/>
          <w:lang w:eastAsia="zh-CN"/>
        </w:rPr>
        <w:t>，</w:t>
      </w:r>
      <w:r>
        <w:rPr>
          <w:rFonts w:hint="eastAsia"/>
          <w:color w:val="000000" w:themeColor="text1"/>
          <w:sz w:val="28"/>
          <w:szCs w:val="28"/>
          <w:highlight w:val="none"/>
        </w:rPr>
        <w:t>险情被及时排除。</w:t>
      </w:r>
    </w:p>
    <w:p w14:paraId="5B0FB01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560" w:firstLineChars="200"/>
        <w:textAlignment w:val="auto"/>
        <w:rPr>
          <w:rFonts w:hint="eastAsia"/>
          <w:color w:val="000000" w:themeColor="text1"/>
          <w:sz w:val="28"/>
          <w:szCs w:val="28"/>
          <w:highlight w:val="none"/>
        </w:rPr>
      </w:pPr>
      <w:r>
        <w:rPr>
          <w:rFonts w:hint="eastAsia"/>
          <w:color w:val="000000" w:themeColor="text1"/>
          <w:sz w:val="28"/>
          <w:szCs w:val="28"/>
          <w:highlight w:val="none"/>
        </w:rPr>
        <w:t>5时35分</w:t>
      </w:r>
      <w:r>
        <w:rPr>
          <w:rFonts w:hint="eastAsia"/>
          <w:color w:val="000000" w:themeColor="text1"/>
          <w:sz w:val="28"/>
          <w:szCs w:val="28"/>
          <w:highlight w:val="none"/>
          <w:lang w:eastAsia="zh-CN"/>
        </w:rPr>
        <w:t>，</w:t>
      </w:r>
      <w:r>
        <w:rPr>
          <w:rFonts w:hint="eastAsia"/>
          <w:color w:val="000000" w:themeColor="text1"/>
          <w:sz w:val="28"/>
          <w:szCs w:val="28"/>
          <w:highlight w:val="none"/>
        </w:rPr>
        <w:t>绍兴市越城区城南街道骆家葑村小玉山村一印染厂内存有约100吨保险粉的仓库遇水发生自燃。在现场</w:t>
      </w:r>
      <w:r>
        <w:rPr>
          <w:rFonts w:hint="eastAsia"/>
          <w:color w:val="000000" w:themeColor="text1"/>
          <w:sz w:val="28"/>
          <w:szCs w:val="28"/>
          <w:highlight w:val="none"/>
          <w:lang w:eastAsia="zh-CN"/>
        </w:rPr>
        <w:t>，</w:t>
      </w:r>
      <w:r>
        <w:rPr>
          <w:rFonts w:hint="eastAsia"/>
          <w:color w:val="000000" w:themeColor="text1"/>
          <w:sz w:val="28"/>
          <w:szCs w:val="28"/>
          <w:highlight w:val="none"/>
        </w:rPr>
        <w:t>笔者看到浓烟从仓库顶部冒出</w:t>
      </w:r>
      <w:r>
        <w:rPr>
          <w:rFonts w:hint="eastAsia"/>
          <w:color w:val="000000" w:themeColor="text1"/>
          <w:sz w:val="28"/>
          <w:szCs w:val="28"/>
          <w:highlight w:val="none"/>
          <w:lang w:eastAsia="zh-CN"/>
        </w:rPr>
        <w:t>，</w:t>
      </w:r>
      <w:r>
        <w:rPr>
          <w:rFonts w:hint="eastAsia"/>
          <w:color w:val="000000" w:themeColor="text1"/>
          <w:sz w:val="28"/>
          <w:szCs w:val="28"/>
          <w:highlight w:val="none"/>
        </w:rPr>
        <w:t>仓库内保险粉仍在猛烈燃烧</w:t>
      </w:r>
      <w:r>
        <w:rPr>
          <w:rFonts w:hint="eastAsia"/>
          <w:color w:val="000000" w:themeColor="text1"/>
          <w:sz w:val="28"/>
          <w:szCs w:val="28"/>
          <w:highlight w:val="none"/>
          <w:lang w:eastAsia="zh-CN"/>
        </w:rPr>
        <w:t>，</w:t>
      </w:r>
      <w:r>
        <w:rPr>
          <w:rFonts w:hint="eastAsia"/>
          <w:color w:val="000000" w:themeColor="text1"/>
          <w:sz w:val="28"/>
          <w:szCs w:val="28"/>
          <w:highlight w:val="none"/>
        </w:rPr>
        <w:t>空气中充斥着刺鼻的气味</w:t>
      </w:r>
      <w:r>
        <w:rPr>
          <w:rFonts w:hint="eastAsia"/>
          <w:color w:val="000000" w:themeColor="text1"/>
          <w:sz w:val="28"/>
          <w:szCs w:val="28"/>
          <w:highlight w:val="none"/>
          <w:lang w:eastAsia="zh-CN"/>
        </w:rPr>
        <w:t>，</w:t>
      </w:r>
      <w:r>
        <w:rPr>
          <w:rFonts w:hint="eastAsia"/>
          <w:color w:val="000000" w:themeColor="text1"/>
          <w:sz w:val="28"/>
          <w:szCs w:val="28"/>
          <w:highlight w:val="none"/>
        </w:rPr>
        <w:t>现场已设置了警戒</w:t>
      </w:r>
      <w:r>
        <w:rPr>
          <w:rFonts w:hint="eastAsia"/>
          <w:color w:val="000000" w:themeColor="text1"/>
          <w:sz w:val="28"/>
          <w:szCs w:val="28"/>
          <w:highlight w:val="none"/>
          <w:lang w:eastAsia="zh-CN"/>
        </w:rPr>
        <w:t>，</w:t>
      </w:r>
      <w:r>
        <w:rPr>
          <w:rFonts w:hint="eastAsia"/>
          <w:color w:val="000000" w:themeColor="text1"/>
          <w:sz w:val="28"/>
          <w:szCs w:val="28"/>
          <w:highlight w:val="none"/>
        </w:rPr>
        <w:t>越城、绍兴县、诸暨等地的3个消防中队、7辆消防车和50余名</w:t>
      </w:r>
      <w:r>
        <w:rPr>
          <w:rFonts w:hint="eastAsia"/>
          <w:color w:val="000000" w:themeColor="text1"/>
          <w:sz w:val="28"/>
          <w:szCs w:val="28"/>
          <w:highlight w:val="none"/>
          <w:lang w:eastAsia="zh-CN"/>
        </w:rPr>
        <w:t>消防队员</w:t>
      </w:r>
      <w:r>
        <w:rPr>
          <w:rFonts w:hint="eastAsia"/>
          <w:color w:val="000000" w:themeColor="text1"/>
          <w:sz w:val="28"/>
          <w:szCs w:val="28"/>
          <w:highlight w:val="none"/>
        </w:rPr>
        <w:t>正在紧张施救</w:t>
      </w:r>
      <w:r>
        <w:rPr>
          <w:rFonts w:hint="eastAsia"/>
          <w:color w:val="000000" w:themeColor="text1"/>
          <w:sz w:val="28"/>
          <w:szCs w:val="28"/>
          <w:highlight w:val="none"/>
          <w:lang w:eastAsia="zh-CN"/>
        </w:rPr>
        <w:t>，</w:t>
      </w:r>
      <w:r>
        <w:rPr>
          <w:rFonts w:hint="eastAsia"/>
          <w:color w:val="000000" w:themeColor="text1"/>
          <w:sz w:val="28"/>
          <w:szCs w:val="28"/>
          <w:highlight w:val="none"/>
        </w:rPr>
        <w:t>环保、医疗等救援力量也在现场处置</w:t>
      </w:r>
      <w:r>
        <w:rPr>
          <w:rFonts w:hint="eastAsia"/>
          <w:color w:val="000000" w:themeColor="text1"/>
          <w:sz w:val="28"/>
          <w:szCs w:val="28"/>
          <w:highlight w:val="none"/>
          <w:lang w:eastAsia="zh-CN"/>
        </w:rPr>
        <w:t>，</w:t>
      </w:r>
      <w:r>
        <w:rPr>
          <w:rFonts w:hint="eastAsia"/>
          <w:color w:val="000000" w:themeColor="text1"/>
          <w:sz w:val="28"/>
          <w:szCs w:val="28"/>
          <w:highlight w:val="none"/>
        </w:rPr>
        <w:t>并组织人员将未燃烧的保险粉进行转移。直至12时56分</w:t>
      </w:r>
      <w:r>
        <w:rPr>
          <w:rFonts w:hint="eastAsia"/>
          <w:color w:val="000000" w:themeColor="text1"/>
          <w:sz w:val="28"/>
          <w:szCs w:val="28"/>
          <w:highlight w:val="none"/>
          <w:lang w:eastAsia="zh-CN"/>
        </w:rPr>
        <w:t>，</w:t>
      </w:r>
      <w:r>
        <w:rPr>
          <w:rFonts w:hint="eastAsia"/>
          <w:color w:val="000000" w:themeColor="text1"/>
          <w:sz w:val="28"/>
          <w:szCs w:val="28"/>
          <w:highlight w:val="none"/>
        </w:rPr>
        <w:t>火灾被成功扑灭。</w:t>
      </w:r>
    </w:p>
    <w:p w14:paraId="4A1CD5D1">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560" w:firstLineChars="200"/>
        <w:textAlignment w:val="auto"/>
        <w:rPr>
          <w:rFonts w:hint="eastAsia"/>
          <w:color w:val="000000" w:themeColor="text1"/>
          <w:sz w:val="28"/>
          <w:szCs w:val="28"/>
          <w:highlight w:val="none"/>
        </w:rPr>
      </w:pPr>
      <w:r>
        <w:rPr>
          <w:rFonts w:hint="eastAsia"/>
          <w:color w:val="000000" w:themeColor="text1"/>
          <w:sz w:val="28"/>
          <w:szCs w:val="28"/>
          <w:highlight w:val="none"/>
        </w:rPr>
        <w:t>6时许</w:t>
      </w:r>
      <w:r>
        <w:rPr>
          <w:rFonts w:hint="eastAsia"/>
          <w:color w:val="000000" w:themeColor="text1"/>
          <w:sz w:val="28"/>
          <w:szCs w:val="28"/>
          <w:highlight w:val="none"/>
          <w:lang w:eastAsia="zh-CN"/>
        </w:rPr>
        <w:t>，</w:t>
      </w:r>
      <w:r>
        <w:rPr>
          <w:rFonts w:hint="eastAsia"/>
          <w:color w:val="000000" w:themeColor="text1"/>
          <w:sz w:val="28"/>
          <w:szCs w:val="28"/>
          <w:highlight w:val="none"/>
        </w:rPr>
        <w:t>位于绍兴市越城区东湖镇前赵村的化工轻工有限公司城东分公司仓库的30多吨保险粉自燃起火</w:t>
      </w:r>
      <w:r>
        <w:rPr>
          <w:rFonts w:hint="eastAsia"/>
          <w:color w:val="000000" w:themeColor="text1"/>
          <w:sz w:val="28"/>
          <w:szCs w:val="28"/>
          <w:highlight w:val="none"/>
          <w:lang w:eastAsia="zh-CN"/>
        </w:rPr>
        <w:t>，</w:t>
      </w:r>
      <w:r>
        <w:rPr>
          <w:rFonts w:hint="eastAsia"/>
          <w:color w:val="000000" w:themeColor="text1"/>
          <w:sz w:val="28"/>
          <w:szCs w:val="28"/>
          <w:highlight w:val="none"/>
        </w:rPr>
        <w:t>当地公安、消防、医疗、环保等救援力量第一时间赶到施救。在现场</w:t>
      </w:r>
      <w:r>
        <w:rPr>
          <w:rFonts w:hint="eastAsia"/>
          <w:color w:val="000000" w:themeColor="text1"/>
          <w:sz w:val="28"/>
          <w:szCs w:val="28"/>
          <w:highlight w:val="none"/>
          <w:lang w:eastAsia="zh-CN"/>
        </w:rPr>
        <w:t>，</w:t>
      </w:r>
      <w:r>
        <w:rPr>
          <w:rFonts w:hint="eastAsia"/>
          <w:color w:val="000000" w:themeColor="text1"/>
          <w:sz w:val="28"/>
          <w:szCs w:val="28"/>
          <w:highlight w:val="none"/>
        </w:rPr>
        <w:t>只见</w:t>
      </w:r>
      <w:r>
        <w:rPr>
          <w:rFonts w:hint="eastAsia"/>
          <w:color w:val="000000" w:themeColor="text1"/>
          <w:sz w:val="28"/>
          <w:szCs w:val="28"/>
          <w:highlight w:val="none"/>
          <w:lang w:eastAsia="zh-CN"/>
        </w:rPr>
        <w:t>消防队员</w:t>
      </w:r>
      <w:r>
        <w:rPr>
          <w:rFonts w:hint="eastAsia"/>
          <w:color w:val="000000" w:themeColor="text1"/>
          <w:sz w:val="28"/>
          <w:szCs w:val="28"/>
          <w:highlight w:val="none"/>
        </w:rPr>
        <w:t>正在对一堆搬运出来的保险粉进行冲刷、稀释</w:t>
      </w:r>
      <w:r>
        <w:rPr>
          <w:rFonts w:hint="eastAsia"/>
          <w:color w:val="000000" w:themeColor="text1"/>
          <w:sz w:val="28"/>
          <w:szCs w:val="28"/>
          <w:highlight w:val="none"/>
          <w:lang w:eastAsia="zh-CN"/>
        </w:rPr>
        <w:t>，</w:t>
      </w:r>
      <w:r>
        <w:rPr>
          <w:rFonts w:hint="eastAsia"/>
          <w:color w:val="000000" w:themeColor="text1"/>
          <w:sz w:val="28"/>
          <w:szCs w:val="28"/>
          <w:highlight w:val="none"/>
        </w:rPr>
        <w:t>一辆叉车不停地进出仓库</w:t>
      </w:r>
      <w:r>
        <w:rPr>
          <w:rFonts w:hint="eastAsia"/>
          <w:color w:val="000000" w:themeColor="text1"/>
          <w:sz w:val="28"/>
          <w:szCs w:val="28"/>
          <w:highlight w:val="none"/>
          <w:lang w:eastAsia="zh-CN"/>
        </w:rPr>
        <w:t>，</w:t>
      </w:r>
      <w:r>
        <w:rPr>
          <w:rFonts w:hint="eastAsia"/>
          <w:color w:val="000000" w:themeColor="text1"/>
          <w:sz w:val="28"/>
          <w:szCs w:val="28"/>
          <w:highlight w:val="none"/>
        </w:rPr>
        <w:t>把堆放在仓库里的保险粉往外搬</w:t>
      </w:r>
      <w:r>
        <w:rPr>
          <w:rFonts w:hint="eastAsia"/>
          <w:color w:val="000000" w:themeColor="text1"/>
          <w:sz w:val="28"/>
          <w:szCs w:val="28"/>
          <w:highlight w:val="none"/>
          <w:lang w:eastAsia="zh-CN"/>
        </w:rPr>
        <w:t>，</w:t>
      </w:r>
      <w:r>
        <w:rPr>
          <w:rFonts w:hint="eastAsia"/>
          <w:color w:val="000000" w:themeColor="text1"/>
          <w:sz w:val="28"/>
          <w:szCs w:val="28"/>
          <w:highlight w:val="none"/>
        </w:rPr>
        <w:t>仓库门内烟雾缭绕</w:t>
      </w:r>
      <w:r>
        <w:rPr>
          <w:rFonts w:hint="eastAsia"/>
          <w:color w:val="000000" w:themeColor="text1"/>
          <w:sz w:val="28"/>
          <w:szCs w:val="28"/>
          <w:highlight w:val="none"/>
          <w:lang w:eastAsia="zh-CN"/>
        </w:rPr>
        <w:t>，</w:t>
      </w:r>
      <w:r>
        <w:rPr>
          <w:rFonts w:hint="eastAsia"/>
          <w:color w:val="000000" w:themeColor="text1"/>
          <w:sz w:val="28"/>
          <w:szCs w:val="28"/>
          <w:highlight w:val="none"/>
        </w:rPr>
        <w:t>有火光在跳动。截至15时</w:t>
      </w:r>
      <w:r>
        <w:rPr>
          <w:rFonts w:hint="eastAsia"/>
          <w:color w:val="000000" w:themeColor="text1"/>
          <w:sz w:val="28"/>
          <w:szCs w:val="28"/>
          <w:highlight w:val="none"/>
          <w:lang w:eastAsia="zh-CN"/>
        </w:rPr>
        <w:t>，</w:t>
      </w:r>
      <w:r>
        <w:rPr>
          <w:rFonts w:hint="eastAsia"/>
          <w:color w:val="000000" w:themeColor="text1"/>
          <w:sz w:val="28"/>
          <w:szCs w:val="28"/>
          <w:highlight w:val="none"/>
        </w:rPr>
        <w:t>火被完全扑灭</w:t>
      </w:r>
      <w:r>
        <w:rPr>
          <w:rFonts w:hint="eastAsia"/>
          <w:color w:val="000000" w:themeColor="text1"/>
          <w:sz w:val="28"/>
          <w:szCs w:val="28"/>
          <w:highlight w:val="none"/>
          <w:lang w:eastAsia="zh-CN"/>
        </w:rPr>
        <w:t>，</w:t>
      </w:r>
      <w:r>
        <w:rPr>
          <w:rFonts w:hint="eastAsia"/>
          <w:color w:val="000000" w:themeColor="text1"/>
          <w:sz w:val="28"/>
          <w:szCs w:val="28"/>
          <w:highlight w:val="none"/>
        </w:rPr>
        <w:t>没有人员伤亡。</w:t>
      </w:r>
    </w:p>
    <w:p w14:paraId="4D089E7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560" w:firstLineChars="200"/>
        <w:textAlignment w:val="auto"/>
        <w:rPr>
          <w:rFonts w:hint="eastAsia"/>
          <w:color w:val="000000" w:themeColor="text1"/>
          <w:sz w:val="28"/>
          <w:szCs w:val="28"/>
          <w:highlight w:val="none"/>
        </w:rPr>
      </w:pPr>
      <w:r>
        <w:rPr>
          <w:rFonts w:hint="eastAsia"/>
          <w:color w:val="000000" w:themeColor="text1"/>
          <w:sz w:val="28"/>
          <w:szCs w:val="28"/>
          <w:highlight w:val="none"/>
        </w:rPr>
        <w:t>7时30分</w:t>
      </w:r>
      <w:r>
        <w:rPr>
          <w:rFonts w:hint="eastAsia"/>
          <w:color w:val="000000" w:themeColor="text1"/>
          <w:sz w:val="28"/>
          <w:szCs w:val="28"/>
          <w:highlight w:val="none"/>
          <w:lang w:eastAsia="zh-CN"/>
        </w:rPr>
        <w:t>，</w:t>
      </w:r>
      <w:r>
        <w:rPr>
          <w:rFonts w:hint="eastAsia"/>
          <w:color w:val="000000" w:themeColor="text1"/>
          <w:sz w:val="28"/>
          <w:szCs w:val="28"/>
          <w:highlight w:val="none"/>
        </w:rPr>
        <w:t>袍江新区斗门镇西安村村委旁一家企业内的保险粉自燃。</w:t>
      </w:r>
    </w:p>
    <w:p w14:paraId="4014FEBF">
      <w:pPr>
        <w:keepNext w:val="0"/>
        <w:keepLines w:val="0"/>
        <w:pageBreakBefore w:val="0"/>
        <w:widowControl w:val="0"/>
        <w:numPr>
          <w:ilvl w:val="0"/>
          <w:numId w:val="46"/>
        </w:numPr>
        <w:kinsoku/>
        <w:wordWrap/>
        <w:overflowPunct/>
        <w:topLinePunct w:val="0"/>
        <w:autoSpaceDE/>
        <w:autoSpaceDN/>
        <w:bidi w:val="0"/>
        <w:adjustRightInd w:val="0"/>
        <w:snapToGrid w:val="0"/>
        <w:spacing w:line="360" w:lineRule="auto"/>
        <w:ind w:left="0" w:firstLine="560" w:firstLineChars="200"/>
        <w:textAlignment w:val="auto"/>
        <w:rPr>
          <w:rFonts w:hint="eastAsia"/>
          <w:color w:val="000000" w:themeColor="text1"/>
          <w:sz w:val="28"/>
          <w:szCs w:val="28"/>
          <w:highlight w:val="none"/>
        </w:rPr>
      </w:pPr>
      <w:r>
        <w:rPr>
          <w:rFonts w:hint="eastAsia"/>
          <w:color w:val="000000" w:themeColor="text1"/>
          <w:sz w:val="28"/>
          <w:szCs w:val="28"/>
          <w:highlight w:val="none"/>
          <w:lang w:eastAsia="zh-CN"/>
        </w:rPr>
        <w:t>事故原因</w:t>
      </w:r>
    </w:p>
    <w:p w14:paraId="54963362">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eastAsia="宋体"/>
          <w:color w:val="000000" w:themeColor="text1"/>
          <w:sz w:val="28"/>
          <w:szCs w:val="28"/>
          <w:highlight w:val="none"/>
          <w:lang w:eastAsia="zh-CN"/>
        </w:rPr>
      </w:pPr>
      <w:r>
        <w:rPr>
          <w:rFonts w:hint="eastAsia"/>
          <w:color w:val="000000" w:themeColor="text1"/>
          <w:sz w:val="28"/>
          <w:szCs w:val="28"/>
          <w:highlight w:val="none"/>
          <w:lang w:eastAsia="zh-CN"/>
        </w:rPr>
        <w:t>上述事故原因均为保险粉储存、使用场所防水措施不到位，遇暴雨水位上升后雨水进入保险粉储存、使用场所，保险粉与</w:t>
      </w:r>
      <w:r>
        <w:rPr>
          <w:rFonts w:hint="eastAsia"/>
          <w:color w:val="000000" w:themeColor="text1"/>
          <w:sz w:val="28"/>
          <w:szCs w:val="28"/>
          <w:highlight w:val="none"/>
        </w:rPr>
        <w:t>水接触，放出大量热而引起剧烈燃烧</w:t>
      </w:r>
      <w:r>
        <w:rPr>
          <w:rFonts w:hint="eastAsia"/>
          <w:color w:val="000000" w:themeColor="text1"/>
          <w:sz w:val="28"/>
          <w:szCs w:val="28"/>
          <w:highlight w:val="none"/>
          <w:lang w:eastAsia="zh-CN"/>
        </w:rPr>
        <w:t>。</w:t>
      </w:r>
    </w:p>
    <w:bookmarkEnd w:id="387"/>
    <w:bookmarkEnd w:id="388"/>
    <w:bookmarkEnd w:id="389"/>
    <w:bookmarkEnd w:id="390"/>
    <w:bookmarkEnd w:id="684"/>
    <w:p w14:paraId="57631CD8">
      <w:pPr>
        <w:pStyle w:val="6"/>
        <w:keepNext w:val="0"/>
        <w:keepLines w:val="0"/>
        <w:pageBreakBefore w:val="0"/>
        <w:widowControl w:val="0"/>
        <w:kinsoku/>
        <w:wordWrap/>
        <w:overflowPunct/>
        <w:topLinePunct w:val="0"/>
        <w:autoSpaceDE/>
        <w:autoSpaceDN/>
        <w:bidi w:val="0"/>
        <w:adjustRightInd w:val="0"/>
        <w:snapToGrid w:val="0"/>
        <w:spacing w:before="0" w:after="0" w:line="360" w:lineRule="auto"/>
        <w:textAlignment w:val="auto"/>
        <w:rPr>
          <w:rFonts w:hint="eastAsia" w:ascii="黑体" w:hAnsi="黑体" w:eastAsia="黑体"/>
          <w:color w:val="000000" w:themeColor="text1"/>
          <w:sz w:val="28"/>
          <w:szCs w:val="28"/>
          <w:highlight w:val="none"/>
          <w:lang w:eastAsia="zh-CN"/>
        </w:rPr>
      </w:pPr>
      <w:bookmarkStart w:id="691" w:name="_Toc17162"/>
      <w:bookmarkStart w:id="692" w:name="_Toc12565"/>
      <w:bookmarkStart w:id="693" w:name="_Toc23221"/>
      <w:bookmarkStart w:id="694" w:name="_Toc7903"/>
      <w:bookmarkStart w:id="695" w:name="_Toc20766"/>
      <w:bookmarkStart w:id="696" w:name="_Toc27852"/>
      <w:bookmarkStart w:id="697" w:name="_Toc24757"/>
      <w:bookmarkStart w:id="698" w:name="_Toc31614"/>
      <w:bookmarkStart w:id="699" w:name="_Toc15449"/>
      <w:bookmarkStart w:id="700" w:name="_Toc29813"/>
      <w:bookmarkStart w:id="701" w:name="_Toc5082"/>
      <w:bookmarkStart w:id="702" w:name="_Toc32104"/>
      <w:bookmarkStart w:id="703" w:name="_Toc151792150"/>
      <w:bookmarkStart w:id="704" w:name="_Toc176576677"/>
      <w:bookmarkStart w:id="705" w:name="_Toc161042308"/>
      <w:bookmarkStart w:id="706" w:name="_Toc186273663"/>
      <w:bookmarkStart w:id="707" w:name="_Toc150849463"/>
      <w:bookmarkStart w:id="708" w:name="_Toc160859630"/>
      <w:bookmarkStart w:id="709" w:name="_Toc198521511"/>
      <w:bookmarkStart w:id="710" w:name="_Toc198457583"/>
      <w:bookmarkStart w:id="711" w:name="_Toc190762584"/>
      <w:r>
        <w:rPr>
          <w:rFonts w:hint="eastAsia" w:ascii="黑体" w:hAnsi="黑体"/>
          <w:color w:val="000000" w:themeColor="text1"/>
          <w:sz w:val="28"/>
          <w:szCs w:val="28"/>
          <w:highlight w:val="none"/>
        </w:rPr>
        <w:t>3.3危险、有害因素</w:t>
      </w:r>
      <w:bookmarkEnd w:id="691"/>
      <w:bookmarkEnd w:id="692"/>
      <w:bookmarkEnd w:id="693"/>
      <w:bookmarkEnd w:id="694"/>
      <w:r>
        <w:rPr>
          <w:rFonts w:hint="eastAsia" w:ascii="黑体" w:hAnsi="黑体"/>
          <w:color w:val="000000" w:themeColor="text1"/>
          <w:sz w:val="28"/>
          <w:szCs w:val="28"/>
          <w:highlight w:val="none"/>
          <w:lang w:eastAsia="zh-CN"/>
        </w:rPr>
        <w:t>辨识小结</w:t>
      </w:r>
      <w:bookmarkEnd w:id="695"/>
      <w:bookmarkEnd w:id="696"/>
      <w:bookmarkEnd w:id="697"/>
      <w:bookmarkEnd w:id="698"/>
      <w:bookmarkEnd w:id="699"/>
      <w:bookmarkEnd w:id="700"/>
      <w:bookmarkEnd w:id="701"/>
      <w:bookmarkEnd w:id="702"/>
    </w:p>
    <w:p w14:paraId="175BBA12">
      <w:pPr>
        <w:widowControl w:val="0"/>
        <w:adjustRightInd w:val="0"/>
        <w:snapToGrid w:val="0"/>
        <w:spacing w:line="360" w:lineRule="auto"/>
        <w:ind w:firstLine="560"/>
        <w:rPr>
          <w:rFonts w:ascii="宋体" w:hAnsi="宋体"/>
          <w:color w:val="000000" w:themeColor="text1"/>
          <w:sz w:val="28"/>
          <w:szCs w:val="28"/>
          <w:highlight w:val="none"/>
        </w:rPr>
      </w:pPr>
      <w:r>
        <w:rPr>
          <w:rFonts w:hint="eastAsia" w:ascii="宋体" w:hAnsi="宋体"/>
          <w:color w:val="000000" w:themeColor="text1"/>
          <w:sz w:val="28"/>
          <w:szCs w:val="28"/>
          <w:highlight w:val="none"/>
        </w:rPr>
        <w:t>通过以上危险、有害因素分析，</w:t>
      </w:r>
      <w:r>
        <w:rPr>
          <w:rFonts w:hint="eastAsia" w:ascii="宋体" w:hAnsi="宋体"/>
          <w:color w:val="000000" w:themeColor="text1"/>
          <w:sz w:val="28"/>
          <w:szCs w:val="28"/>
          <w:highlight w:val="none"/>
          <w:lang w:eastAsia="zh-CN"/>
        </w:rPr>
        <w:t>小结</w:t>
      </w:r>
      <w:r>
        <w:rPr>
          <w:rFonts w:hint="eastAsia" w:ascii="宋体" w:hAnsi="宋体"/>
          <w:color w:val="000000" w:themeColor="text1"/>
          <w:sz w:val="28"/>
          <w:szCs w:val="28"/>
          <w:highlight w:val="none"/>
        </w:rPr>
        <w:t>如下：</w:t>
      </w:r>
    </w:p>
    <w:p w14:paraId="4FF68C56">
      <w:pPr>
        <w:widowControl w:val="0"/>
        <w:adjustRightInd w:val="0"/>
        <w:snapToGrid w:val="0"/>
        <w:spacing w:line="360" w:lineRule="auto"/>
        <w:ind w:firstLine="560" w:firstLineChars="200"/>
        <w:jc w:val="left"/>
        <w:rPr>
          <w:rFonts w:hint="eastAsia"/>
          <w:color w:val="000000" w:themeColor="text1"/>
          <w:sz w:val="28"/>
          <w:szCs w:val="28"/>
          <w:highlight w:val="none"/>
        </w:rPr>
      </w:pPr>
      <w:r>
        <w:rPr>
          <w:rFonts w:hint="eastAsia" w:ascii="宋体" w:hAnsi="宋体"/>
          <w:color w:val="000000" w:themeColor="text1"/>
          <w:sz w:val="28"/>
          <w:szCs w:val="28"/>
          <w:highlight w:val="none"/>
        </w:rPr>
        <w:t>（1）主要危险、有害因素：火灾、爆炸；存在的次要危险、有害因素是</w:t>
      </w:r>
      <w:bookmarkStart w:id="712" w:name="_Toc141406930"/>
      <w:bookmarkStart w:id="713" w:name="_Toc51642925"/>
      <w:bookmarkStart w:id="714" w:name="_Toc51485771"/>
      <w:bookmarkStart w:id="715" w:name="_Toc207095375"/>
      <w:bookmarkStart w:id="716" w:name="_Toc142986613"/>
      <w:bookmarkStart w:id="717" w:name="_Toc51642789"/>
      <w:r>
        <w:rPr>
          <w:rFonts w:hint="eastAsia" w:ascii="宋体" w:hAnsi="宋体" w:cs="Times New Roman"/>
          <w:color w:val="000000" w:themeColor="text1"/>
          <w:sz w:val="28"/>
          <w:szCs w:val="28"/>
          <w:highlight w:val="none"/>
        </w:rPr>
        <w:t>灼烫</w:t>
      </w:r>
      <w:r>
        <w:rPr>
          <w:rFonts w:hint="eastAsia" w:ascii="宋体" w:hAnsi="宋体" w:cs="Times New Roman"/>
          <w:color w:val="000000" w:themeColor="text1"/>
          <w:sz w:val="28"/>
          <w:szCs w:val="28"/>
          <w:highlight w:val="none"/>
          <w:lang w:eastAsia="zh-CN"/>
        </w:rPr>
        <w:t>、</w:t>
      </w:r>
      <w:r>
        <w:rPr>
          <w:rFonts w:hint="eastAsia" w:ascii="宋体" w:hAnsi="宋体" w:cs="Times New Roman"/>
          <w:color w:val="000000" w:themeColor="text1"/>
          <w:sz w:val="28"/>
          <w:szCs w:val="28"/>
          <w:highlight w:val="none"/>
        </w:rPr>
        <w:t>中毒</w:t>
      </w:r>
      <w:r>
        <w:rPr>
          <w:rFonts w:hint="eastAsia" w:ascii="宋体" w:hAnsi="宋体" w:cs="Times New Roman"/>
          <w:color w:val="000000" w:themeColor="text1"/>
          <w:sz w:val="28"/>
          <w:szCs w:val="28"/>
          <w:highlight w:val="none"/>
          <w:lang w:eastAsia="zh-CN"/>
        </w:rPr>
        <w:t>、</w:t>
      </w:r>
      <w:r>
        <w:rPr>
          <w:rFonts w:hint="eastAsia" w:cs="Times New Roman"/>
          <w:color w:val="000000" w:themeColor="text1"/>
          <w:sz w:val="28"/>
          <w:szCs w:val="28"/>
          <w:highlight w:val="none"/>
        </w:rPr>
        <w:t>机械危害</w:t>
      </w:r>
      <w:r>
        <w:rPr>
          <w:rFonts w:hint="eastAsia" w:cs="Times New Roman"/>
          <w:color w:val="000000" w:themeColor="text1"/>
          <w:sz w:val="28"/>
          <w:szCs w:val="28"/>
          <w:highlight w:val="none"/>
          <w:lang w:eastAsia="zh-CN"/>
        </w:rPr>
        <w:t>、</w:t>
      </w:r>
      <w:r>
        <w:rPr>
          <w:rFonts w:hint="eastAsia" w:cs="Times New Roman"/>
          <w:color w:val="000000" w:themeColor="text1"/>
          <w:sz w:val="28"/>
          <w:szCs w:val="28"/>
          <w:highlight w:val="none"/>
        </w:rPr>
        <w:t>电气危害</w:t>
      </w:r>
      <w:r>
        <w:rPr>
          <w:rFonts w:hint="eastAsia" w:cs="Times New Roman"/>
          <w:color w:val="000000" w:themeColor="text1"/>
          <w:sz w:val="28"/>
          <w:szCs w:val="28"/>
          <w:highlight w:val="none"/>
          <w:lang w:eastAsia="zh-CN"/>
        </w:rPr>
        <w:t>、</w:t>
      </w:r>
      <w:r>
        <w:rPr>
          <w:rFonts w:hint="eastAsia" w:cs="Times New Roman"/>
          <w:color w:val="000000" w:themeColor="text1"/>
          <w:sz w:val="28"/>
          <w:szCs w:val="28"/>
          <w:highlight w:val="none"/>
        </w:rPr>
        <w:t>车辆伤害</w:t>
      </w:r>
      <w:r>
        <w:rPr>
          <w:rFonts w:hint="eastAsia" w:cs="Times New Roman"/>
          <w:color w:val="000000" w:themeColor="text1"/>
          <w:sz w:val="28"/>
          <w:szCs w:val="28"/>
          <w:highlight w:val="none"/>
          <w:lang w:eastAsia="zh-CN"/>
        </w:rPr>
        <w:t>和</w:t>
      </w:r>
      <w:r>
        <w:rPr>
          <w:rFonts w:hint="eastAsia" w:cs="Times New Roman"/>
          <w:color w:val="000000" w:themeColor="text1"/>
          <w:sz w:val="28"/>
          <w:szCs w:val="28"/>
          <w:highlight w:val="none"/>
        </w:rPr>
        <w:t>粉尘危害</w:t>
      </w:r>
      <w:r>
        <w:rPr>
          <w:rFonts w:hint="eastAsia"/>
          <w:color w:val="000000" w:themeColor="text1"/>
          <w:sz w:val="28"/>
          <w:szCs w:val="28"/>
          <w:highlight w:val="none"/>
        </w:rPr>
        <w:t>；</w:t>
      </w:r>
    </w:p>
    <w:p w14:paraId="5F97E4E5">
      <w:pPr>
        <w:widowControl w:val="0"/>
        <w:tabs>
          <w:tab w:val="left" w:pos="6660"/>
        </w:tabs>
        <w:adjustRightInd w:val="0"/>
        <w:snapToGrid w:val="0"/>
        <w:spacing w:line="360" w:lineRule="auto"/>
        <w:ind w:firstLine="560" w:firstLineChars="200"/>
        <w:rPr>
          <w:rFonts w:ascii="宋体" w:hAnsi="宋体"/>
          <w:color w:val="000000" w:themeColor="text1"/>
          <w:sz w:val="28"/>
          <w:szCs w:val="28"/>
          <w:highlight w:val="none"/>
        </w:rPr>
      </w:pPr>
      <w:r>
        <w:rPr>
          <w:rFonts w:hint="eastAsia" w:ascii="宋体" w:hAnsi="宋体"/>
          <w:color w:val="000000" w:themeColor="text1"/>
          <w:sz w:val="28"/>
          <w:szCs w:val="28"/>
          <w:highlight w:val="none"/>
        </w:rPr>
        <w:t>（3）</w:t>
      </w:r>
      <w:r>
        <w:rPr>
          <w:rFonts w:ascii="宋体" w:hAnsi="宋体"/>
          <w:color w:val="000000" w:themeColor="text1"/>
          <w:sz w:val="28"/>
          <w:szCs w:val="28"/>
          <w:highlight w:val="none"/>
        </w:rPr>
        <w:t>根据《危险化学品重大危险源辨识》GB18218-20</w:t>
      </w:r>
      <w:r>
        <w:rPr>
          <w:rFonts w:hint="eastAsia" w:ascii="宋体" w:hAnsi="宋体"/>
          <w:color w:val="000000" w:themeColor="text1"/>
          <w:sz w:val="28"/>
          <w:szCs w:val="28"/>
          <w:highlight w:val="none"/>
        </w:rPr>
        <w:t>18</w:t>
      </w:r>
      <w:r>
        <w:rPr>
          <w:rFonts w:ascii="宋体" w:hAnsi="宋体"/>
          <w:color w:val="000000" w:themeColor="text1"/>
          <w:sz w:val="28"/>
          <w:szCs w:val="28"/>
          <w:highlight w:val="none"/>
        </w:rPr>
        <w:t>进行辨识，</w:t>
      </w:r>
      <w:r>
        <w:rPr>
          <w:rFonts w:hint="eastAsia"/>
          <w:bCs/>
          <w:color w:val="000000" w:themeColor="text1"/>
          <w:sz w:val="28"/>
          <w:szCs w:val="28"/>
          <w:highlight w:val="none"/>
        </w:rPr>
        <w:t>华美线业</w:t>
      </w:r>
      <w:r>
        <w:rPr>
          <w:rFonts w:hint="eastAsia"/>
          <w:bCs/>
          <w:color w:val="000000" w:themeColor="text1"/>
          <w:sz w:val="28"/>
          <w:szCs w:val="28"/>
          <w:highlight w:val="none"/>
          <w:lang w:eastAsia="zh-CN"/>
        </w:rPr>
        <w:t>漂染</w:t>
      </w:r>
      <w:r>
        <w:rPr>
          <w:rFonts w:hint="eastAsia"/>
          <w:bCs/>
          <w:color w:val="000000" w:themeColor="text1"/>
          <w:sz w:val="28"/>
          <w:szCs w:val="28"/>
          <w:highlight w:val="none"/>
        </w:rPr>
        <w:t>车间附房、</w:t>
      </w:r>
      <w:r>
        <w:rPr>
          <w:rFonts w:hint="eastAsia"/>
          <w:bCs/>
          <w:color w:val="000000" w:themeColor="text1"/>
          <w:sz w:val="28"/>
          <w:szCs w:val="28"/>
          <w:highlight w:val="none"/>
          <w:lang w:eastAsia="zh-CN"/>
        </w:rPr>
        <w:t>漂染</w:t>
      </w:r>
      <w:r>
        <w:rPr>
          <w:rFonts w:hint="eastAsia"/>
          <w:bCs/>
          <w:color w:val="000000" w:themeColor="text1"/>
          <w:sz w:val="28"/>
          <w:szCs w:val="28"/>
          <w:highlight w:val="none"/>
        </w:rPr>
        <w:t>车间均不构成危险化学品重大危险源</w:t>
      </w:r>
      <w:r>
        <w:rPr>
          <w:rFonts w:hint="eastAsia" w:ascii="宋体" w:hAnsi="宋体"/>
          <w:color w:val="000000" w:themeColor="text1"/>
          <w:sz w:val="28"/>
          <w:szCs w:val="28"/>
          <w:highlight w:val="none"/>
        </w:rPr>
        <w:t>。</w:t>
      </w:r>
    </w:p>
    <w:bookmarkEnd w:id="712"/>
    <w:bookmarkEnd w:id="713"/>
    <w:bookmarkEnd w:id="714"/>
    <w:bookmarkEnd w:id="715"/>
    <w:bookmarkEnd w:id="716"/>
    <w:bookmarkEnd w:id="717"/>
    <w:p w14:paraId="06C28624">
      <w:pPr>
        <w:widowControl w:val="0"/>
        <w:adjustRightInd w:val="0"/>
        <w:snapToGrid w:val="0"/>
        <w:rPr>
          <w:color w:val="000000" w:themeColor="text1"/>
          <w:sz w:val="28"/>
          <w:szCs w:val="28"/>
          <w:highlight w:val="none"/>
        </w:rPr>
        <w:sectPr>
          <w:footerReference r:id="rId23" w:type="default"/>
          <w:pgSz w:w="11907" w:h="16840"/>
          <w:pgMar w:top="1417" w:right="1134" w:bottom="1134" w:left="1587" w:header="794" w:footer="794" w:gutter="0"/>
          <w:pgBorders>
            <w:top w:val="none" w:sz="0" w:space="0"/>
            <w:left w:val="none" w:sz="0" w:space="0"/>
            <w:bottom w:val="none" w:sz="0" w:space="0"/>
            <w:right w:val="none" w:sz="0" w:space="0"/>
          </w:pgBorders>
          <w:cols w:space="720" w:num="1"/>
          <w:docGrid w:linePitch="312" w:charSpace="0"/>
        </w:sectPr>
      </w:pPr>
    </w:p>
    <w:p w14:paraId="1FD239F5">
      <w:pPr>
        <w:pStyle w:val="5"/>
        <w:keepNext w:val="0"/>
        <w:keepLines w:val="0"/>
        <w:pageBreakBefore w:val="0"/>
        <w:widowControl w:val="0"/>
        <w:kinsoku/>
        <w:wordWrap/>
        <w:topLinePunct w:val="0"/>
        <w:bidi w:val="0"/>
        <w:adjustRightInd w:val="0"/>
        <w:snapToGrid w:val="0"/>
        <w:spacing w:before="240" w:after="240"/>
        <w:rPr>
          <w:rFonts w:hAnsi="黑体"/>
          <w:color w:val="000000" w:themeColor="text1"/>
          <w:kern w:val="0"/>
          <w:highlight w:val="none"/>
        </w:rPr>
      </w:pPr>
      <w:bookmarkStart w:id="718" w:name="_Toc234394523"/>
      <w:bookmarkStart w:id="719" w:name="_Toc449456818"/>
      <w:bookmarkStart w:id="720" w:name="_Toc449456909"/>
      <w:bookmarkStart w:id="721" w:name="_Toc5782"/>
      <w:bookmarkStart w:id="722" w:name="_Toc7760"/>
      <w:bookmarkStart w:id="723" w:name="_Toc20195"/>
      <w:bookmarkStart w:id="724" w:name="_Toc6424"/>
      <w:bookmarkStart w:id="725" w:name="_Toc19580"/>
      <w:bookmarkStart w:id="726" w:name="_Toc20128"/>
      <w:r>
        <w:rPr>
          <w:rFonts w:hint="eastAsia" w:hAnsi="黑体"/>
          <w:color w:val="000000" w:themeColor="text1"/>
          <w:kern w:val="0"/>
          <w:highlight w:val="none"/>
        </w:rPr>
        <w:t xml:space="preserve">4  </w:t>
      </w:r>
      <w:bookmarkEnd w:id="703"/>
      <w:bookmarkEnd w:id="704"/>
      <w:bookmarkEnd w:id="705"/>
      <w:bookmarkEnd w:id="706"/>
      <w:bookmarkEnd w:id="707"/>
      <w:bookmarkEnd w:id="708"/>
      <w:r>
        <w:rPr>
          <w:rFonts w:hint="eastAsia" w:hAnsi="黑体"/>
          <w:color w:val="000000" w:themeColor="text1"/>
          <w:kern w:val="0"/>
          <w:highlight w:val="none"/>
        </w:rPr>
        <w:t>评价单元及</w:t>
      </w:r>
      <w:bookmarkEnd w:id="709"/>
      <w:bookmarkEnd w:id="710"/>
      <w:bookmarkEnd w:id="711"/>
      <w:bookmarkEnd w:id="718"/>
      <w:bookmarkEnd w:id="719"/>
      <w:bookmarkEnd w:id="720"/>
      <w:r>
        <w:rPr>
          <w:rFonts w:hint="eastAsia" w:hAnsi="黑体"/>
          <w:color w:val="000000" w:themeColor="text1"/>
          <w:kern w:val="0"/>
          <w:highlight w:val="none"/>
        </w:rPr>
        <w:t>评价方法</w:t>
      </w:r>
      <w:bookmarkEnd w:id="721"/>
      <w:bookmarkEnd w:id="722"/>
      <w:bookmarkEnd w:id="723"/>
      <w:bookmarkEnd w:id="724"/>
      <w:bookmarkEnd w:id="725"/>
      <w:bookmarkEnd w:id="726"/>
    </w:p>
    <w:p w14:paraId="50DBC493">
      <w:pPr>
        <w:pStyle w:val="6"/>
        <w:keepNext w:val="0"/>
        <w:keepLines w:val="0"/>
        <w:pageBreakBefore w:val="0"/>
        <w:widowControl w:val="0"/>
        <w:kinsoku/>
        <w:wordWrap/>
        <w:topLinePunct w:val="0"/>
        <w:bidi w:val="0"/>
        <w:spacing w:beforeLines="0" w:afterLines="0"/>
        <w:rPr>
          <w:rFonts w:hAnsi="黑体"/>
          <w:color w:val="000000" w:themeColor="text1"/>
          <w:szCs w:val="28"/>
          <w:highlight w:val="none"/>
        </w:rPr>
      </w:pPr>
      <w:bookmarkStart w:id="727" w:name="_Toc151792151"/>
      <w:bookmarkStart w:id="728" w:name="_Toc150849464"/>
      <w:bookmarkStart w:id="729" w:name="_Toc161042309"/>
      <w:bookmarkStart w:id="730" w:name="_Toc176576678"/>
      <w:bookmarkStart w:id="731" w:name="_Toc198457584"/>
      <w:bookmarkStart w:id="732" w:name="_Toc186273664"/>
      <w:bookmarkStart w:id="733" w:name="_Toc190762585"/>
      <w:bookmarkStart w:id="734" w:name="_Toc234394524"/>
      <w:bookmarkStart w:id="735" w:name="_Toc198521512"/>
      <w:bookmarkStart w:id="736" w:name="_Toc449456819"/>
      <w:bookmarkStart w:id="737" w:name="_Toc160859631"/>
      <w:bookmarkStart w:id="738" w:name="_Toc449456910"/>
      <w:bookmarkStart w:id="739" w:name="_Toc9364"/>
      <w:bookmarkStart w:id="740" w:name="_Toc5381"/>
      <w:bookmarkStart w:id="741" w:name="_Toc6217"/>
      <w:bookmarkStart w:id="742" w:name="_Toc18008"/>
      <w:bookmarkStart w:id="743" w:name="_Toc22473"/>
      <w:bookmarkStart w:id="744" w:name="_Toc11907"/>
      <w:bookmarkStart w:id="745" w:name="_Toc72031881"/>
      <w:bookmarkStart w:id="746" w:name="_Toc70412705"/>
      <w:bookmarkStart w:id="747" w:name="_Toc53750223"/>
      <w:bookmarkStart w:id="748" w:name="_Toc54145090"/>
      <w:bookmarkStart w:id="749" w:name="_Toc72032286"/>
      <w:bookmarkStart w:id="750" w:name="_Toc72116237"/>
      <w:bookmarkStart w:id="751" w:name="_Toc53756376"/>
      <w:bookmarkStart w:id="752" w:name="_Toc69909000"/>
      <w:bookmarkStart w:id="753" w:name="_Toc71864075"/>
      <w:bookmarkStart w:id="754" w:name="_Toc72032016"/>
      <w:bookmarkStart w:id="755" w:name="_Toc72032151"/>
      <w:r>
        <w:rPr>
          <w:rFonts w:hint="eastAsia" w:hAnsi="黑体"/>
          <w:color w:val="000000" w:themeColor="text1"/>
          <w:szCs w:val="28"/>
          <w:highlight w:val="none"/>
        </w:rPr>
        <w:t xml:space="preserve">4.1 </w:t>
      </w:r>
      <w:bookmarkEnd w:id="727"/>
      <w:bookmarkEnd w:id="728"/>
      <w:bookmarkEnd w:id="729"/>
      <w:bookmarkEnd w:id="730"/>
      <w:bookmarkEnd w:id="731"/>
      <w:bookmarkEnd w:id="732"/>
      <w:bookmarkEnd w:id="733"/>
      <w:bookmarkEnd w:id="734"/>
      <w:bookmarkEnd w:id="735"/>
      <w:bookmarkEnd w:id="736"/>
      <w:bookmarkEnd w:id="737"/>
      <w:bookmarkEnd w:id="738"/>
      <w:r>
        <w:rPr>
          <w:rFonts w:hint="eastAsia" w:hAnsi="黑体"/>
          <w:color w:val="000000" w:themeColor="text1"/>
          <w:szCs w:val="28"/>
          <w:highlight w:val="none"/>
        </w:rPr>
        <w:t>评价方法</w:t>
      </w:r>
      <w:bookmarkEnd w:id="739"/>
      <w:bookmarkEnd w:id="740"/>
      <w:bookmarkEnd w:id="741"/>
      <w:bookmarkEnd w:id="742"/>
      <w:bookmarkEnd w:id="743"/>
      <w:bookmarkEnd w:id="744"/>
    </w:p>
    <w:bookmarkEnd w:id="745"/>
    <w:bookmarkEnd w:id="746"/>
    <w:bookmarkEnd w:id="747"/>
    <w:bookmarkEnd w:id="748"/>
    <w:bookmarkEnd w:id="749"/>
    <w:bookmarkEnd w:id="750"/>
    <w:bookmarkEnd w:id="751"/>
    <w:bookmarkEnd w:id="752"/>
    <w:bookmarkEnd w:id="753"/>
    <w:bookmarkEnd w:id="754"/>
    <w:bookmarkEnd w:id="755"/>
    <w:p w14:paraId="1C3258C3">
      <w:pPr>
        <w:widowControl w:val="0"/>
        <w:adjustRightInd w:val="0"/>
        <w:snapToGrid w:val="0"/>
        <w:spacing w:line="360" w:lineRule="auto"/>
        <w:ind w:firstLine="560" w:firstLineChars="200"/>
        <w:rPr>
          <w:rFonts w:hint="eastAsia" w:ascii="宋体" w:hAnsi="宋体" w:eastAsia="宋体" w:cs="宋体"/>
          <w:color w:val="000000" w:themeColor="text1"/>
          <w:kern w:val="0"/>
          <w:sz w:val="28"/>
          <w:szCs w:val="28"/>
          <w:highlight w:val="none"/>
        </w:rPr>
      </w:pPr>
      <w:bookmarkStart w:id="756" w:name="_Toc75235172"/>
      <w:bookmarkStart w:id="757" w:name="_Toc75318031"/>
      <w:r>
        <w:rPr>
          <w:rFonts w:hint="eastAsia" w:ascii="宋体" w:hAnsi="宋体" w:eastAsia="宋体" w:cs="宋体"/>
          <w:color w:val="000000" w:themeColor="text1"/>
          <w:kern w:val="0"/>
          <w:sz w:val="28"/>
          <w:szCs w:val="28"/>
          <w:highlight w:val="none"/>
        </w:rPr>
        <w:t>安全评价方法是对系统的危险、有害性及其程度后果进行分析评价的工具。目前已开发出数十种不同特点、适用范围和应用条件的评价方法。按其特性可分为定性安全评价、定量安全评价和综合安全评价。</w:t>
      </w:r>
    </w:p>
    <w:p w14:paraId="31FF2B3A">
      <w:pPr>
        <w:widowControl w:val="0"/>
        <w:autoSpaceDE w:val="0"/>
        <w:autoSpaceDN w:val="0"/>
        <w:adjustRightInd w:val="0"/>
        <w:snapToGrid w:val="0"/>
        <w:spacing w:line="360" w:lineRule="auto"/>
        <w:ind w:firstLine="560"/>
        <w:rPr>
          <w:rFonts w:hint="eastAsia" w:ascii="宋体" w:hAnsi="宋体" w:eastAsia="宋体" w:cs="宋体"/>
          <w:color w:val="000000" w:themeColor="text1"/>
          <w:kern w:val="0"/>
          <w:sz w:val="28"/>
          <w:szCs w:val="28"/>
          <w:highlight w:val="none"/>
          <w:lang w:val="zh-CN"/>
        </w:rPr>
      </w:pPr>
      <w:r>
        <w:rPr>
          <w:rFonts w:hint="eastAsia" w:ascii="宋体" w:hAnsi="宋体" w:eastAsia="宋体" w:cs="宋体"/>
          <w:color w:val="000000" w:themeColor="text1"/>
          <w:kern w:val="0"/>
          <w:sz w:val="28"/>
          <w:szCs w:val="28"/>
          <w:highlight w:val="none"/>
          <w:lang w:val="zh-CN"/>
        </w:rPr>
        <w:t>根据</w:t>
      </w:r>
      <w:r>
        <w:rPr>
          <w:color w:val="000000" w:themeColor="text1"/>
          <w:sz w:val="28"/>
          <w:szCs w:val="28"/>
          <w:highlight w:val="none"/>
        </w:rPr>
        <w:t>华美线业</w:t>
      </w:r>
      <w:r>
        <w:rPr>
          <w:rFonts w:hint="eastAsia" w:ascii="宋体" w:hAnsi="宋体" w:eastAsia="宋体" w:cs="宋体"/>
          <w:bCs/>
          <w:color w:val="000000" w:themeColor="text1"/>
          <w:kern w:val="0"/>
          <w:sz w:val="28"/>
          <w:szCs w:val="28"/>
          <w:highlight w:val="none"/>
          <w:lang w:eastAsia="zh-CN"/>
        </w:rPr>
        <w:t>储存使用</w:t>
      </w:r>
      <w:r>
        <w:rPr>
          <w:rFonts w:hint="eastAsia" w:ascii="Times New Roman" w:hAnsi="Times New Roman" w:cs="Times New Roman"/>
          <w:color w:val="000000" w:themeColor="text1"/>
          <w:sz w:val="28"/>
          <w:szCs w:val="28"/>
          <w:highlight w:val="none"/>
          <w:lang w:eastAsia="zh-CN"/>
        </w:rPr>
        <w:t>危化品</w:t>
      </w:r>
      <w:r>
        <w:rPr>
          <w:rFonts w:hint="eastAsia" w:ascii="宋体" w:hAnsi="宋体" w:eastAsia="宋体" w:cs="宋体"/>
          <w:color w:val="000000" w:themeColor="text1"/>
          <w:kern w:val="0"/>
          <w:sz w:val="28"/>
          <w:szCs w:val="28"/>
          <w:highlight w:val="none"/>
          <w:lang w:val="zh-CN"/>
        </w:rPr>
        <w:t>特点，结合国内外评价方法，确定本次评价采用的评价方法：</w:t>
      </w:r>
    </w:p>
    <w:p w14:paraId="53C3C0E0">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（1）安全检查表法</w:t>
      </w:r>
    </w:p>
    <w:p w14:paraId="3E9DE0E6">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（2）作业条件危险性分析法</w:t>
      </w:r>
    </w:p>
    <w:p w14:paraId="5C122B2E">
      <w:pPr>
        <w:pStyle w:val="7"/>
        <w:keepNext w:val="0"/>
        <w:keepLines w:val="0"/>
        <w:pageBreakBefore w:val="0"/>
        <w:widowControl w:val="0"/>
        <w:kinsoku/>
        <w:wordWrap/>
        <w:topLinePunct w:val="0"/>
        <w:bidi w:val="0"/>
        <w:adjustRightInd w:val="0"/>
        <w:snapToGrid w:val="0"/>
        <w:spacing w:beforeLines="0" w:afterLines="0"/>
        <w:rPr>
          <w:rFonts w:hAnsi="黑体"/>
          <w:color w:val="000000" w:themeColor="text1"/>
          <w:szCs w:val="28"/>
          <w:highlight w:val="none"/>
        </w:rPr>
      </w:pPr>
      <w:bookmarkStart w:id="758" w:name="_Toc29704"/>
      <w:bookmarkStart w:id="759" w:name="_Toc16695"/>
      <w:bookmarkStart w:id="760" w:name="_Toc8795"/>
      <w:bookmarkStart w:id="761" w:name="_Toc30426"/>
      <w:bookmarkStart w:id="762" w:name="_Toc14795"/>
      <w:bookmarkStart w:id="763" w:name="_Toc16103"/>
      <w:r>
        <w:rPr>
          <w:rFonts w:hint="eastAsia" w:hAnsi="黑体"/>
          <w:color w:val="000000" w:themeColor="text1"/>
          <w:szCs w:val="28"/>
          <w:highlight w:val="none"/>
        </w:rPr>
        <w:t>4.1.1 安全检查表法</w:t>
      </w:r>
      <w:bookmarkEnd w:id="758"/>
      <w:bookmarkEnd w:id="759"/>
      <w:bookmarkEnd w:id="760"/>
      <w:bookmarkEnd w:id="761"/>
      <w:bookmarkEnd w:id="762"/>
      <w:bookmarkEnd w:id="763"/>
    </w:p>
    <w:p w14:paraId="68840B68">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安全检查表分析</w:t>
      </w:r>
      <w:r>
        <w:rPr>
          <w:rFonts w:hint="eastAsia"/>
          <w:color w:val="000000" w:themeColor="text1"/>
          <w:sz w:val="28"/>
          <w:szCs w:val="28"/>
          <w:highlight w:val="none"/>
          <w:lang w:eastAsia="zh-CN"/>
        </w:rPr>
        <w:t>（</w:t>
      </w:r>
      <w:r>
        <w:rPr>
          <w:color w:val="000000" w:themeColor="text1"/>
          <w:sz w:val="28"/>
          <w:szCs w:val="28"/>
          <w:highlight w:val="none"/>
        </w:rPr>
        <w:t>Safety checklist Analysis</w:t>
      </w:r>
      <w:r>
        <w:rPr>
          <w:rFonts w:hint="eastAsia"/>
          <w:color w:val="000000" w:themeColor="text1"/>
          <w:sz w:val="28"/>
          <w:szCs w:val="28"/>
          <w:highlight w:val="none"/>
          <w:lang w:eastAsia="zh-CN"/>
        </w:rPr>
        <w:t>）</w:t>
      </w:r>
      <w:r>
        <w:rPr>
          <w:rFonts w:hint="eastAsia"/>
          <w:color w:val="000000" w:themeColor="text1"/>
          <w:sz w:val="28"/>
          <w:szCs w:val="28"/>
          <w:highlight w:val="none"/>
        </w:rPr>
        <w:t>是系统安全工程一种广泛应用的最简便的危险性评价方法。它是将一系列项目包括设备、储运、操作、管理等各个方面进行分析评价以确定系统状态的方法。通过列出检查单元和部位、检查项目、检查要求，确定各项有关标准、规范和规定，进行对照分析而得出一系列基于缺陷或差异的结论。</w:t>
      </w:r>
    </w:p>
    <w:p w14:paraId="6BFE8612">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安全检查表分析包括三个步骤：</w:t>
      </w:r>
    </w:p>
    <w:p w14:paraId="6B58600C">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（1）选择或拟定合适的安全检查表；</w:t>
      </w:r>
    </w:p>
    <w:p w14:paraId="181EBEE8">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（2）完成分析；</w:t>
      </w:r>
    </w:p>
    <w:p w14:paraId="0778A3C5">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（3）编制分析结果文件。</w:t>
      </w:r>
    </w:p>
    <w:p w14:paraId="5E041F52">
      <w:pPr>
        <w:pStyle w:val="7"/>
        <w:keepNext w:val="0"/>
        <w:keepLines w:val="0"/>
        <w:pageBreakBefore w:val="0"/>
        <w:widowControl w:val="0"/>
        <w:kinsoku/>
        <w:wordWrap/>
        <w:topLinePunct w:val="0"/>
        <w:bidi w:val="0"/>
        <w:adjustRightInd w:val="0"/>
        <w:snapToGrid w:val="0"/>
        <w:spacing w:beforeLines="0" w:afterLines="0"/>
        <w:rPr>
          <w:rFonts w:hAnsi="黑体"/>
          <w:color w:val="000000" w:themeColor="text1"/>
          <w:szCs w:val="28"/>
          <w:highlight w:val="none"/>
        </w:rPr>
      </w:pPr>
      <w:bookmarkStart w:id="764" w:name="_Toc9574"/>
      <w:bookmarkStart w:id="765" w:name="_Toc15776"/>
      <w:bookmarkStart w:id="766" w:name="_Toc1819"/>
      <w:bookmarkStart w:id="767" w:name="_Toc18785"/>
      <w:bookmarkStart w:id="768" w:name="_Toc21670"/>
      <w:bookmarkStart w:id="769" w:name="_Toc15743"/>
      <w:r>
        <w:rPr>
          <w:rFonts w:hint="eastAsia" w:hAnsi="黑体"/>
          <w:color w:val="000000" w:themeColor="text1"/>
          <w:szCs w:val="28"/>
          <w:highlight w:val="none"/>
        </w:rPr>
        <w:t>4.1.2 作业条件危险性分析法</w:t>
      </w:r>
      <w:bookmarkEnd w:id="764"/>
      <w:bookmarkEnd w:id="765"/>
      <w:bookmarkEnd w:id="766"/>
      <w:bookmarkEnd w:id="767"/>
      <w:bookmarkEnd w:id="768"/>
      <w:bookmarkEnd w:id="769"/>
    </w:p>
    <w:p w14:paraId="42965F78">
      <w:pPr>
        <w:keepNext w:val="0"/>
        <w:keepLines w:val="0"/>
        <w:pageBreakBefore w:val="0"/>
        <w:widowControl w:val="0"/>
        <w:kinsoku/>
        <w:wordWrap/>
        <w:topLinePunct w:val="0"/>
        <w:bidi w:val="0"/>
        <w:adjustRightInd w:val="0"/>
        <w:snapToGrid w:val="0"/>
        <w:spacing w:line="360" w:lineRule="auto"/>
        <w:rPr>
          <w:color w:val="000000" w:themeColor="text1"/>
          <w:sz w:val="28"/>
          <w:szCs w:val="28"/>
          <w:highlight w:val="none"/>
        </w:rPr>
      </w:pPr>
      <w:r>
        <w:rPr>
          <w:rFonts w:hint="eastAsia"/>
          <w:color w:val="000000" w:themeColor="text1"/>
          <w:sz w:val="28"/>
          <w:szCs w:val="28"/>
          <w:highlight w:val="none"/>
        </w:rPr>
        <w:t xml:space="preserve">    作业条件危险性分析法是一种简单易行的评价操作人员在具有潜在危险性环境中作业时危险性的半定量评价方法，它是由美国的格雷厄姆</w:t>
      </w:r>
      <w:r>
        <w:rPr>
          <w:rFonts w:hint="eastAsia"/>
          <w:color w:val="000000" w:themeColor="text1"/>
          <w:sz w:val="28"/>
          <w:szCs w:val="28"/>
          <w:highlight w:val="none"/>
          <w:lang w:eastAsia="zh-CN"/>
        </w:rPr>
        <w:t>（</w:t>
      </w:r>
      <w:r>
        <w:rPr>
          <w:rFonts w:hint="eastAsia"/>
          <w:color w:val="000000" w:themeColor="text1"/>
          <w:sz w:val="28"/>
          <w:szCs w:val="28"/>
          <w:highlight w:val="none"/>
        </w:rPr>
        <w:t>K .J.G</w:t>
      </w:r>
      <w:r>
        <w:rPr>
          <w:color w:val="000000" w:themeColor="text1"/>
          <w:sz w:val="28"/>
          <w:szCs w:val="28"/>
          <w:highlight w:val="none"/>
        </w:rPr>
        <w:t>raham</w:t>
      </w:r>
      <w:r>
        <w:rPr>
          <w:rFonts w:hint="eastAsia"/>
          <w:color w:val="000000" w:themeColor="text1"/>
          <w:sz w:val="28"/>
          <w:szCs w:val="28"/>
          <w:highlight w:val="none"/>
          <w:lang w:eastAsia="zh-CN"/>
        </w:rPr>
        <w:t>）</w:t>
      </w:r>
      <w:r>
        <w:rPr>
          <w:rFonts w:hint="eastAsia"/>
          <w:color w:val="000000" w:themeColor="text1"/>
          <w:sz w:val="28"/>
          <w:szCs w:val="28"/>
          <w:highlight w:val="none"/>
        </w:rPr>
        <w:t>和金尼</w:t>
      </w:r>
      <w:r>
        <w:rPr>
          <w:rFonts w:hint="eastAsia"/>
          <w:color w:val="000000" w:themeColor="text1"/>
          <w:sz w:val="28"/>
          <w:szCs w:val="28"/>
          <w:highlight w:val="none"/>
          <w:lang w:eastAsia="zh-CN"/>
        </w:rPr>
        <w:t>（</w:t>
      </w:r>
      <w:r>
        <w:rPr>
          <w:color w:val="000000" w:themeColor="text1"/>
          <w:sz w:val="28"/>
          <w:szCs w:val="28"/>
          <w:highlight w:val="none"/>
        </w:rPr>
        <w:t>G.F.Kinney</w:t>
      </w:r>
      <w:r>
        <w:rPr>
          <w:rFonts w:hint="eastAsia"/>
          <w:color w:val="000000" w:themeColor="text1"/>
          <w:sz w:val="28"/>
          <w:szCs w:val="28"/>
          <w:highlight w:val="none"/>
          <w:lang w:eastAsia="zh-CN"/>
        </w:rPr>
        <w:t>）</w:t>
      </w:r>
      <w:r>
        <w:rPr>
          <w:rFonts w:hint="eastAsia"/>
          <w:color w:val="000000" w:themeColor="text1"/>
          <w:sz w:val="28"/>
          <w:szCs w:val="28"/>
          <w:highlight w:val="none"/>
        </w:rPr>
        <w:t>提出的，因此也称为格雷厄姆-金尼法。</w:t>
      </w:r>
    </w:p>
    <w:p w14:paraId="735B28A9">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szCs w:val="28"/>
          <w:highlight w:val="none"/>
        </w:rPr>
      </w:pPr>
      <w:r>
        <w:rPr>
          <w:rFonts w:hint="eastAsia"/>
          <w:color w:val="000000" w:themeColor="text1"/>
          <w:sz w:val="28"/>
          <w:szCs w:val="28"/>
          <w:highlight w:val="none"/>
        </w:rPr>
        <w:t>作业条件危险性评价法用与系统风险有关的三种因素指标值之积来评价操作人员伤亡风险大小，这三种因素是：Ｌ</w:t>
      </w:r>
      <w:r>
        <w:rPr>
          <w:rFonts w:hint="eastAsia"/>
          <w:color w:val="000000" w:themeColor="text1"/>
          <w:sz w:val="28"/>
          <w:szCs w:val="28"/>
          <w:highlight w:val="none"/>
          <w:lang w:eastAsia="zh-CN"/>
        </w:rPr>
        <w:t>（</w:t>
      </w:r>
      <w:r>
        <w:rPr>
          <w:rFonts w:hint="eastAsia"/>
          <w:color w:val="000000" w:themeColor="text1"/>
          <w:sz w:val="28"/>
          <w:szCs w:val="28"/>
          <w:highlight w:val="none"/>
        </w:rPr>
        <w:t>事故发生的可能性</w:t>
      </w:r>
      <w:r>
        <w:rPr>
          <w:rFonts w:hint="eastAsia"/>
          <w:color w:val="000000" w:themeColor="text1"/>
          <w:sz w:val="28"/>
          <w:szCs w:val="28"/>
          <w:highlight w:val="none"/>
          <w:lang w:eastAsia="zh-CN"/>
        </w:rPr>
        <w:t>）</w:t>
      </w:r>
      <w:r>
        <w:rPr>
          <w:rFonts w:hint="eastAsia"/>
          <w:color w:val="000000" w:themeColor="text1"/>
          <w:sz w:val="28"/>
          <w:szCs w:val="28"/>
          <w:highlight w:val="none"/>
        </w:rPr>
        <w:t>、Ｅ</w:t>
      </w:r>
      <w:r>
        <w:rPr>
          <w:rFonts w:hint="eastAsia"/>
          <w:color w:val="000000" w:themeColor="text1"/>
          <w:sz w:val="28"/>
          <w:szCs w:val="28"/>
          <w:highlight w:val="none"/>
          <w:lang w:eastAsia="zh-CN"/>
        </w:rPr>
        <w:t>（</w:t>
      </w:r>
      <w:r>
        <w:rPr>
          <w:rFonts w:hint="eastAsia"/>
          <w:color w:val="000000" w:themeColor="text1"/>
          <w:sz w:val="28"/>
          <w:szCs w:val="28"/>
          <w:highlight w:val="none"/>
        </w:rPr>
        <w:t>人员暴露于危险环境中的频繁程度</w:t>
      </w:r>
      <w:r>
        <w:rPr>
          <w:rFonts w:hint="eastAsia"/>
          <w:color w:val="000000" w:themeColor="text1"/>
          <w:sz w:val="28"/>
          <w:szCs w:val="28"/>
          <w:highlight w:val="none"/>
          <w:lang w:eastAsia="zh-CN"/>
        </w:rPr>
        <w:t>）</w:t>
      </w:r>
      <w:r>
        <w:rPr>
          <w:rFonts w:hint="eastAsia"/>
          <w:color w:val="000000" w:themeColor="text1"/>
          <w:sz w:val="28"/>
          <w:szCs w:val="28"/>
          <w:highlight w:val="none"/>
        </w:rPr>
        <w:t>和Ｃ</w:t>
      </w:r>
      <w:r>
        <w:rPr>
          <w:rFonts w:hint="eastAsia"/>
          <w:color w:val="000000" w:themeColor="text1"/>
          <w:sz w:val="28"/>
          <w:szCs w:val="28"/>
          <w:highlight w:val="none"/>
          <w:lang w:eastAsia="zh-CN"/>
        </w:rPr>
        <w:t>（</w:t>
      </w:r>
      <w:r>
        <w:rPr>
          <w:rFonts w:hint="eastAsia"/>
          <w:color w:val="000000" w:themeColor="text1"/>
          <w:sz w:val="28"/>
          <w:szCs w:val="28"/>
          <w:highlight w:val="none"/>
        </w:rPr>
        <w:t>一旦发生事故可能造成的后果</w:t>
      </w:r>
      <w:r>
        <w:rPr>
          <w:rFonts w:hint="eastAsia"/>
          <w:color w:val="000000" w:themeColor="text1"/>
          <w:sz w:val="28"/>
          <w:szCs w:val="28"/>
          <w:highlight w:val="none"/>
          <w:lang w:eastAsia="zh-CN"/>
        </w:rPr>
        <w:t>）</w:t>
      </w:r>
      <w:r>
        <w:rPr>
          <w:rFonts w:hint="eastAsia"/>
          <w:color w:val="000000" w:themeColor="text1"/>
          <w:sz w:val="28"/>
          <w:szCs w:val="28"/>
          <w:highlight w:val="none"/>
        </w:rPr>
        <w:t>。但是，要取得这三种因素的准确数据，却是相当繁琐的过程。为了简化评价过程，采取半定量计值方法，给三种因素的不同等级分别确定不同的分值，再以三个分值的乘积Ｄ来评价作业条件危险性的大小，即：Ｄ=Ｌ·Ｅ·Ｃ</w:t>
      </w:r>
    </w:p>
    <w:p w14:paraId="131262E2">
      <w:pPr>
        <w:keepNext w:val="0"/>
        <w:keepLines w:val="0"/>
        <w:pageBreakBefore w:val="0"/>
        <w:widowControl w:val="0"/>
        <w:kinsoku/>
        <w:wordWrap/>
        <w:topLinePunct w:val="0"/>
        <w:bidi w:val="0"/>
        <w:adjustRightInd w:val="0"/>
        <w:snapToGrid w:val="0"/>
        <w:spacing w:line="360" w:lineRule="auto"/>
        <w:ind w:firstLine="560"/>
        <w:rPr>
          <w:color w:val="000000" w:themeColor="text1"/>
          <w:sz w:val="28"/>
          <w:szCs w:val="28"/>
          <w:highlight w:val="none"/>
        </w:rPr>
      </w:pPr>
      <w:r>
        <w:rPr>
          <w:rFonts w:hint="eastAsia"/>
          <w:color w:val="000000" w:themeColor="text1"/>
          <w:sz w:val="28"/>
          <w:szCs w:val="28"/>
          <w:highlight w:val="none"/>
        </w:rPr>
        <w:t>评价步骤：</w:t>
      </w:r>
    </w:p>
    <w:p w14:paraId="3C09550E">
      <w:pPr>
        <w:keepNext w:val="0"/>
        <w:keepLines w:val="0"/>
        <w:pageBreakBefore w:val="0"/>
        <w:widowControl w:val="0"/>
        <w:kinsoku/>
        <w:wordWrap/>
        <w:topLinePunct w:val="0"/>
        <w:bidi w:val="0"/>
        <w:adjustRightInd w:val="0"/>
        <w:snapToGrid w:val="0"/>
        <w:spacing w:line="360" w:lineRule="auto"/>
        <w:ind w:firstLine="560"/>
        <w:rPr>
          <w:color w:val="000000" w:themeColor="text1"/>
          <w:sz w:val="28"/>
          <w:szCs w:val="28"/>
          <w:highlight w:val="none"/>
        </w:rPr>
      </w:pPr>
      <w:r>
        <w:rPr>
          <w:rFonts w:hint="eastAsia"/>
          <w:color w:val="000000" w:themeColor="text1"/>
          <w:sz w:val="28"/>
          <w:szCs w:val="28"/>
          <w:highlight w:val="none"/>
        </w:rPr>
        <w:t>（1）以类比作业条件比较为基础，由熟悉作业条件的人员组成评价小组。</w:t>
      </w:r>
    </w:p>
    <w:p w14:paraId="0BE4D14D">
      <w:pPr>
        <w:keepNext w:val="0"/>
        <w:keepLines w:val="0"/>
        <w:pageBreakBefore w:val="0"/>
        <w:widowControl w:val="0"/>
        <w:kinsoku/>
        <w:wordWrap/>
        <w:topLinePunct w:val="0"/>
        <w:bidi w:val="0"/>
        <w:adjustRightInd w:val="0"/>
        <w:snapToGrid w:val="0"/>
        <w:spacing w:line="360" w:lineRule="auto"/>
        <w:ind w:firstLine="560"/>
        <w:rPr>
          <w:color w:val="000000" w:themeColor="text1"/>
          <w:sz w:val="28"/>
          <w:szCs w:val="28"/>
          <w:highlight w:val="none"/>
        </w:rPr>
      </w:pPr>
      <w:r>
        <w:rPr>
          <w:rFonts w:hint="eastAsia"/>
          <w:color w:val="000000" w:themeColor="text1"/>
          <w:sz w:val="28"/>
          <w:szCs w:val="28"/>
          <w:highlight w:val="none"/>
        </w:rPr>
        <w:t>（2）由评价小组成员按照规定标准给Ｌ、Ｅ、Ｃ分别打分，取三组分值的平均值作为Ｌ、Ｅ、Ｃ的计算分值来评价作业条件的危险性等级。</w:t>
      </w:r>
    </w:p>
    <w:p w14:paraId="65A9E82C">
      <w:pPr>
        <w:pStyle w:val="6"/>
        <w:keepNext w:val="0"/>
        <w:keepLines w:val="0"/>
        <w:pageBreakBefore w:val="0"/>
        <w:widowControl w:val="0"/>
        <w:kinsoku/>
        <w:wordWrap/>
        <w:topLinePunct w:val="0"/>
        <w:bidi w:val="0"/>
        <w:spacing w:beforeLines="0" w:afterLines="0"/>
        <w:rPr>
          <w:rFonts w:hAnsi="黑体"/>
          <w:color w:val="000000" w:themeColor="text1"/>
          <w:szCs w:val="28"/>
          <w:highlight w:val="none"/>
        </w:rPr>
      </w:pPr>
      <w:bookmarkStart w:id="770" w:name="_Toc198521513"/>
      <w:bookmarkStart w:id="771" w:name="_Toc449456820"/>
      <w:bookmarkStart w:id="772" w:name="_Toc12300"/>
      <w:bookmarkStart w:id="773" w:name="_Toc190762586"/>
      <w:bookmarkStart w:id="774" w:name="_Toc234394525"/>
      <w:bookmarkStart w:id="775" w:name="_Toc449456911"/>
      <w:bookmarkStart w:id="776" w:name="_Toc28549"/>
      <w:bookmarkStart w:id="777" w:name="_Toc23679"/>
      <w:bookmarkStart w:id="778" w:name="_Toc198457585"/>
      <w:bookmarkStart w:id="779" w:name="_Toc3498"/>
      <w:bookmarkStart w:id="780" w:name="_Toc32080"/>
      <w:bookmarkStart w:id="781" w:name="_Toc12961"/>
      <w:r>
        <w:rPr>
          <w:rFonts w:hint="eastAsia" w:hAnsi="黑体"/>
          <w:color w:val="000000" w:themeColor="text1"/>
          <w:szCs w:val="28"/>
          <w:highlight w:val="none"/>
        </w:rPr>
        <w:t>4.2 评价单元</w:t>
      </w:r>
      <w:bookmarkEnd w:id="770"/>
      <w:bookmarkEnd w:id="771"/>
      <w:bookmarkEnd w:id="772"/>
      <w:bookmarkEnd w:id="773"/>
      <w:bookmarkEnd w:id="774"/>
      <w:bookmarkEnd w:id="775"/>
      <w:bookmarkEnd w:id="776"/>
      <w:bookmarkEnd w:id="777"/>
      <w:bookmarkEnd w:id="778"/>
      <w:bookmarkEnd w:id="779"/>
      <w:bookmarkEnd w:id="780"/>
      <w:bookmarkEnd w:id="781"/>
    </w:p>
    <w:p w14:paraId="7155217C">
      <w:pPr>
        <w:widowControl w:val="0"/>
        <w:adjustRightInd w:val="0"/>
        <w:snapToGrid w:val="0"/>
        <w:spacing w:line="360" w:lineRule="auto"/>
        <w:ind w:firstLine="560" w:firstLineChars="200"/>
        <w:rPr>
          <w:rFonts w:hint="eastAsia" w:ascii="宋体" w:hAnsi="宋体" w:eastAsia="宋体" w:cs="宋体"/>
          <w:color w:val="000000" w:themeColor="text1"/>
          <w:kern w:val="0"/>
          <w:sz w:val="28"/>
          <w:szCs w:val="28"/>
          <w:highlight w:val="none"/>
        </w:rPr>
      </w:pPr>
      <w:bookmarkStart w:id="782" w:name="_Toc498075618"/>
      <w:bookmarkStart w:id="783" w:name="_Toc60846637"/>
      <w:r>
        <w:rPr>
          <w:rFonts w:hint="eastAsia" w:ascii="宋体" w:hAnsi="宋体" w:eastAsia="宋体" w:cs="宋体"/>
          <w:color w:val="000000" w:themeColor="text1"/>
          <w:kern w:val="0"/>
          <w:sz w:val="28"/>
          <w:szCs w:val="28"/>
          <w:highlight w:val="none"/>
        </w:rPr>
        <w:t>评价单元就是在危险、有害因素分析的基础上，根据评价目标和评价方法的需要，将系统分成有限、有确定范围进行评价的单元。</w:t>
      </w:r>
    </w:p>
    <w:p w14:paraId="270362AD">
      <w:pPr>
        <w:widowControl w:val="0"/>
        <w:adjustRightInd w:val="0"/>
        <w:snapToGrid w:val="0"/>
        <w:spacing w:line="360" w:lineRule="auto"/>
        <w:ind w:firstLine="560" w:firstLineChars="200"/>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单元划分的原则主要有两条：</w:t>
      </w:r>
    </w:p>
    <w:p w14:paraId="403C6BE6">
      <w:pPr>
        <w:widowControl w:val="0"/>
        <w:adjustRightInd w:val="0"/>
        <w:snapToGrid w:val="0"/>
        <w:spacing w:line="360" w:lineRule="auto"/>
        <w:ind w:firstLine="420" w:firstLineChars="150"/>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（1）以危险、有害因素的类别为主划分评价单元；</w:t>
      </w:r>
    </w:p>
    <w:p w14:paraId="52709C8D">
      <w:pPr>
        <w:widowControl w:val="0"/>
        <w:adjustRightInd w:val="0"/>
        <w:snapToGrid w:val="0"/>
        <w:spacing w:line="360" w:lineRule="auto"/>
        <w:ind w:firstLine="420" w:firstLineChars="150"/>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（2）以装置和物质特征为主划分评价单元。</w:t>
      </w:r>
    </w:p>
    <w:p w14:paraId="3B0C8479">
      <w:pPr>
        <w:widowControl w:val="0"/>
        <w:adjustRightInd w:val="0"/>
        <w:snapToGrid w:val="0"/>
        <w:spacing w:line="360" w:lineRule="auto"/>
        <w:ind w:firstLine="560" w:firstLineChars="200"/>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本次评价的评价单元</w:t>
      </w:r>
      <w:r>
        <w:rPr>
          <w:rFonts w:hint="eastAsia" w:ascii="宋体" w:hAnsi="宋体" w:eastAsia="宋体" w:cs="宋体"/>
          <w:color w:val="000000" w:themeColor="text1"/>
          <w:kern w:val="0"/>
          <w:sz w:val="28"/>
          <w:szCs w:val="28"/>
          <w:highlight w:val="none"/>
          <w:lang w:eastAsia="zh-CN"/>
        </w:rPr>
        <w:t>划分</w:t>
      </w:r>
      <w:r>
        <w:rPr>
          <w:rFonts w:hint="eastAsia" w:ascii="宋体" w:hAnsi="宋体" w:eastAsia="宋体" w:cs="宋体"/>
          <w:color w:val="000000" w:themeColor="text1"/>
          <w:kern w:val="0"/>
          <w:sz w:val="28"/>
          <w:szCs w:val="28"/>
          <w:highlight w:val="none"/>
        </w:rPr>
        <w:t>及评价方法对照</w:t>
      </w:r>
      <w:r>
        <w:rPr>
          <w:rFonts w:hint="eastAsia" w:ascii="宋体" w:hAnsi="宋体" w:eastAsia="宋体" w:cs="宋体"/>
          <w:color w:val="000000" w:themeColor="text1"/>
          <w:kern w:val="0"/>
          <w:sz w:val="28"/>
          <w:szCs w:val="28"/>
          <w:highlight w:val="none"/>
          <w:lang w:eastAsia="zh-CN"/>
        </w:rPr>
        <w:t>情况</w:t>
      </w:r>
      <w:r>
        <w:rPr>
          <w:rFonts w:hint="eastAsia" w:ascii="宋体" w:hAnsi="宋体" w:eastAsia="宋体" w:cs="宋体"/>
          <w:color w:val="000000" w:themeColor="text1"/>
          <w:kern w:val="0"/>
          <w:sz w:val="28"/>
          <w:szCs w:val="28"/>
          <w:highlight w:val="none"/>
        </w:rPr>
        <w:t>见</w:t>
      </w:r>
      <w:r>
        <w:rPr>
          <w:rFonts w:hint="eastAsia" w:ascii="宋体" w:hAnsi="宋体" w:eastAsia="宋体" w:cs="宋体"/>
          <w:color w:val="000000" w:themeColor="text1"/>
          <w:kern w:val="0"/>
          <w:sz w:val="28"/>
          <w:szCs w:val="28"/>
          <w:highlight w:val="none"/>
          <w:lang w:eastAsia="zh-CN"/>
        </w:rPr>
        <w:t>下表</w:t>
      </w:r>
      <w:r>
        <w:rPr>
          <w:rFonts w:hint="eastAsia" w:ascii="宋体" w:hAnsi="宋体" w:eastAsia="宋体" w:cs="宋体"/>
          <w:color w:val="000000" w:themeColor="text1"/>
          <w:kern w:val="0"/>
          <w:sz w:val="28"/>
          <w:szCs w:val="28"/>
          <w:highlight w:val="none"/>
        </w:rPr>
        <w:t>。</w:t>
      </w:r>
    </w:p>
    <w:bookmarkEnd w:id="782"/>
    <w:bookmarkEnd w:id="783"/>
    <w:p w14:paraId="13830C72">
      <w:pPr>
        <w:widowControl w:val="0"/>
        <w:adjustRightInd w:val="0"/>
        <w:snapToGrid w:val="0"/>
        <w:spacing w:line="360" w:lineRule="auto"/>
        <w:ind w:firstLine="0" w:firstLineChars="0"/>
        <w:jc w:val="center"/>
        <w:rPr>
          <w:rFonts w:ascii="黑体" w:hAnsi="黑体" w:eastAsia="黑体"/>
          <w:b/>
          <w:bCs/>
          <w:color w:val="000000" w:themeColor="text1"/>
          <w:sz w:val="24"/>
          <w:szCs w:val="24"/>
          <w:highlight w:val="none"/>
        </w:rPr>
      </w:pPr>
      <w:r>
        <w:rPr>
          <w:rFonts w:hint="eastAsia" w:ascii="黑体" w:hAnsi="黑体" w:eastAsia="黑体"/>
          <w:b/>
          <w:bCs/>
          <w:color w:val="000000" w:themeColor="text1"/>
          <w:sz w:val="24"/>
          <w:szCs w:val="24"/>
          <w:highlight w:val="none"/>
        </w:rPr>
        <w:t>表</w:t>
      </w:r>
      <w:r>
        <w:rPr>
          <w:rFonts w:ascii="黑体" w:hAnsi="黑体" w:eastAsia="黑体"/>
          <w:b/>
          <w:bCs/>
          <w:color w:val="000000" w:themeColor="text1"/>
          <w:sz w:val="24"/>
          <w:szCs w:val="24"/>
          <w:highlight w:val="none"/>
        </w:rPr>
        <w:t>4.</w:t>
      </w:r>
      <w:r>
        <w:rPr>
          <w:rFonts w:hint="eastAsia" w:ascii="黑体" w:hAnsi="黑体" w:eastAsia="黑体"/>
          <w:b/>
          <w:bCs/>
          <w:color w:val="000000" w:themeColor="text1"/>
          <w:sz w:val="24"/>
          <w:szCs w:val="24"/>
          <w:highlight w:val="none"/>
          <w:lang w:val="en-US" w:eastAsia="zh-CN"/>
        </w:rPr>
        <w:t>2-1</w:t>
      </w:r>
      <w:r>
        <w:rPr>
          <w:rFonts w:ascii="黑体" w:hAnsi="黑体" w:eastAsia="黑体"/>
          <w:b/>
          <w:bCs/>
          <w:color w:val="000000" w:themeColor="text1"/>
          <w:sz w:val="24"/>
          <w:szCs w:val="24"/>
          <w:highlight w:val="none"/>
        </w:rPr>
        <w:t xml:space="preserve"> 评价单元及评价方法</w:t>
      </w:r>
      <w:r>
        <w:rPr>
          <w:rFonts w:hint="eastAsia" w:ascii="黑体" w:hAnsi="黑体" w:eastAsia="黑体"/>
          <w:b/>
          <w:bCs/>
          <w:color w:val="000000" w:themeColor="text1"/>
          <w:sz w:val="24"/>
          <w:szCs w:val="24"/>
          <w:highlight w:val="none"/>
          <w:lang w:eastAsia="zh-CN"/>
        </w:rPr>
        <w:t>一览</w:t>
      </w:r>
      <w:r>
        <w:rPr>
          <w:rFonts w:ascii="黑体" w:hAnsi="黑体" w:eastAsia="黑体"/>
          <w:b/>
          <w:bCs/>
          <w:color w:val="000000" w:themeColor="text1"/>
          <w:sz w:val="24"/>
          <w:szCs w:val="24"/>
          <w:highlight w:val="none"/>
        </w:rPr>
        <w:t>表</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1555"/>
        <w:gridCol w:w="5210"/>
        <w:gridCol w:w="1826"/>
      </w:tblGrid>
      <w:tr w14:paraId="70732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31" w:type="pct"/>
            <w:vAlign w:val="center"/>
          </w:tcPr>
          <w:p w14:paraId="5E9E280D">
            <w:pPr>
              <w:widowControl w:val="0"/>
              <w:adjustRightInd w:val="0"/>
              <w:snapToGrid w:val="0"/>
              <w:jc w:val="center"/>
              <w:rPr>
                <w:rFonts w:ascii="宋体" w:hAnsi="宋体"/>
                <w:b/>
                <w:bCs/>
                <w:color w:val="000000" w:themeColor="text1"/>
                <w:sz w:val="21"/>
                <w:szCs w:val="21"/>
                <w:highlight w:val="none"/>
              </w:rPr>
            </w:pPr>
            <w:r>
              <w:rPr>
                <w:rFonts w:hint="eastAsia" w:ascii="宋体" w:hAnsi="宋体"/>
                <w:b/>
                <w:bCs/>
                <w:color w:val="000000" w:themeColor="text1"/>
                <w:sz w:val="21"/>
                <w:szCs w:val="21"/>
                <w:highlight w:val="none"/>
              </w:rPr>
              <w:t>序号</w:t>
            </w:r>
          </w:p>
        </w:tc>
        <w:tc>
          <w:tcPr>
            <w:tcW w:w="827" w:type="pct"/>
            <w:vAlign w:val="center"/>
          </w:tcPr>
          <w:p w14:paraId="11CA9426">
            <w:pPr>
              <w:widowControl w:val="0"/>
              <w:adjustRightInd w:val="0"/>
              <w:snapToGrid w:val="0"/>
              <w:jc w:val="center"/>
              <w:rPr>
                <w:rFonts w:ascii="宋体" w:hAnsi="宋体"/>
                <w:b/>
                <w:bCs/>
                <w:color w:val="000000" w:themeColor="text1"/>
                <w:sz w:val="21"/>
                <w:szCs w:val="21"/>
                <w:highlight w:val="none"/>
              </w:rPr>
            </w:pPr>
            <w:r>
              <w:rPr>
                <w:rFonts w:hint="eastAsia" w:ascii="宋体" w:hAnsi="宋体"/>
                <w:b/>
                <w:bCs/>
                <w:color w:val="000000" w:themeColor="text1"/>
                <w:kern w:val="0"/>
                <w:sz w:val="21"/>
                <w:szCs w:val="21"/>
                <w:highlight w:val="none"/>
              </w:rPr>
              <w:t>单元</w:t>
            </w:r>
          </w:p>
        </w:tc>
        <w:tc>
          <w:tcPr>
            <w:tcW w:w="2770" w:type="pct"/>
            <w:vAlign w:val="center"/>
          </w:tcPr>
          <w:p w14:paraId="7E739DA9">
            <w:pPr>
              <w:widowControl w:val="0"/>
              <w:adjustRightInd w:val="0"/>
              <w:snapToGrid w:val="0"/>
              <w:jc w:val="center"/>
              <w:rPr>
                <w:rFonts w:ascii="宋体" w:hAnsi="宋体"/>
                <w:b/>
                <w:bCs/>
                <w:color w:val="000000" w:themeColor="text1"/>
                <w:sz w:val="21"/>
                <w:szCs w:val="21"/>
                <w:highlight w:val="none"/>
              </w:rPr>
            </w:pPr>
            <w:r>
              <w:rPr>
                <w:rFonts w:hint="eastAsia" w:ascii="宋体" w:hAnsi="宋体"/>
                <w:b/>
                <w:bCs/>
                <w:color w:val="000000" w:themeColor="text1"/>
                <w:sz w:val="21"/>
                <w:szCs w:val="21"/>
                <w:highlight w:val="none"/>
              </w:rPr>
              <w:t>子单元</w:t>
            </w:r>
          </w:p>
        </w:tc>
        <w:tc>
          <w:tcPr>
            <w:tcW w:w="971" w:type="pct"/>
            <w:vAlign w:val="center"/>
          </w:tcPr>
          <w:p w14:paraId="7B752EA7">
            <w:pPr>
              <w:widowControl w:val="0"/>
              <w:adjustRightInd w:val="0"/>
              <w:snapToGrid w:val="0"/>
              <w:jc w:val="center"/>
              <w:rPr>
                <w:rFonts w:ascii="宋体" w:hAnsi="宋体"/>
                <w:b/>
                <w:bCs/>
                <w:color w:val="000000" w:themeColor="text1"/>
                <w:sz w:val="21"/>
                <w:szCs w:val="21"/>
                <w:highlight w:val="none"/>
              </w:rPr>
            </w:pPr>
            <w:r>
              <w:rPr>
                <w:rFonts w:hint="eastAsia" w:ascii="宋体" w:hAnsi="宋体"/>
                <w:b/>
                <w:bCs/>
                <w:color w:val="000000" w:themeColor="text1"/>
                <w:sz w:val="21"/>
                <w:szCs w:val="21"/>
                <w:highlight w:val="none"/>
              </w:rPr>
              <w:t>评价方法</w:t>
            </w:r>
          </w:p>
        </w:tc>
      </w:tr>
      <w:tr w14:paraId="32DC1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vAlign w:val="center"/>
          </w:tcPr>
          <w:p w14:paraId="135AA1B4">
            <w:pPr>
              <w:widowControl w:val="0"/>
              <w:numPr>
                <w:ilvl w:val="0"/>
                <w:numId w:val="47"/>
              </w:numPr>
              <w:adjustRightInd w:val="0"/>
              <w:snapToGrid w:val="0"/>
              <w:jc w:val="center"/>
              <w:rPr>
                <w:rFonts w:ascii="宋体" w:hAnsi="宋体"/>
                <w:color w:val="000000" w:themeColor="text1"/>
                <w:sz w:val="21"/>
                <w:szCs w:val="21"/>
                <w:highlight w:val="none"/>
              </w:rPr>
            </w:pPr>
          </w:p>
        </w:tc>
        <w:tc>
          <w:tcPr>
            <w:tcW w:w="827" w:type="pct"/>
            <w:vAlign w:val="center"/>
          </w:tcPr>
          <w:p w14:paraId="3DD27EAE">
            <w:pPr>
              <w:widowControl w:val="0"/>
              <w:adjustRightInd w:val="0"/>
              <w:snapToGrid w:val="0"/>
              <w:jc w:val="center"/>
              <w:rPr>
                <w:rFonts w:ascii="宋体"/>
                <w:color w:val="000000" w:themeColor="text1"/>
                <w:sz w:val="21"/>
                <w:szCs w:val="21"/>
                <w:highlight w:val="none"/>
                <w:lang w:val="zh-CN"/>
              </w:rPr>
            </w:pPr>
            <w:r>
              <w:rPr>
                <w:rFonts w:hint="eastAsia" w:ascii="宋体" w:hAnsi="宋体"/>
                <w:color w:val="000000" w:themeColor="text1"/>
                <w:sz w:val="21"/>
                <w:szCs w:val="21"/>
                <w:highlight w:val="none"/>
              </w:rPr>
              <w:t>安全生产基本条件</w:t>
            </w:r>
          </w:p>
        </w:tc>
        <w:tc>
          <w:tcPr>
            <w:tcW w:w="2770" w:type="pct"/>
            <w:vAlign w:val="center"/>
          </w:tcPr>
          <w:p w14:paraId="2B5A3E63">
            <w:pPr>
              <w:widowControl w:val="0"/>
              <w:numPr>
                <w:ilvl w:val="0"/>
                <w:numId w:val="48"/>
              </w:numPr>
              <w:adjustRightInd w:val="0"/>
              <w:snapToGrid w:val="0"/>
              <w:ind w:left="425" w:leftChars="0" w:hanging="425" w:firstLineChars="0"/>
              <w:jc w:val="left"/>
              <w:rPr>
                <w:rFonts w:hint="eastAsia" w:ascii="宋体" w:hAnsi="宋体"/>
                <w:color w:val="000000" w:themeColor="text1"/>
                <w:sz w:val="21"/>
                <w:szCs w:val="21"/>
                <w:highlight w:val="none"/>
                <w:lang w:eastAsia="zh-CN"/>
              </w:rPr>
            </w:pPr>
            <w:r>
              <w:rPr>
                <w:rFonts w:hint="eastAsia" w:ascii="宋体" w:hAnsi="宋体"/>
                <w:color w:val="000000" w:themeColor="text1"/>
                <w:sz w:val="21"/>
                <w:szCs w:val="21"/>
                <w:highlight w:val="none"/>
              </w:rPr>
              <w:t>建筑物</w:t>
            </w:r>
          </w:p>
          <w:p w14:paraId="58FE3A8E">
            <w:pPr>
              <w:widowControl w:val="0"/>
              <w:numPr>
                <w:ilvl w:val="0"/>
                <w:numId w:val="48"/>
              </w:numPr>
              <w:adjustRightInd w:val="0"/>
              <w:snapToGrid w:val="0"/>
              <w:ind w:left="425" w:leftChars="0" w:hanging="425" w:firstLineChars="0"/>
              <w:jc w:val="left"/>
              <w:rPr>
                <w:rFonts w:hint="eastAsia" w:ascii="宋体" w:hAnsi="宋体"/>
                <w:color w:val="000000" w:themeColor="text1"/>
                <w:sz w:val="21"/>
                <w:szCs w:val="21"/>
                <w:highlight w:val="none"/>
                <w:lang w:eastAsia="zh-CN"/>
              </w:rPr>
            </w:pPr>
            <w:r>
              <w:rPr>
                <w:rFonts w:hint="eastAsia" w:ascii="宋体" w:hAnsi="宋体"/>
                <w:color w:val="000000" w:themeColor="text1"/>
                <w:sz w:val="21"/>
                <w:szCs w:val="21"/>
                <w:highlight w:val="none"/>
                <w:lang w:eastAsia="zh-CN"/>
              </w:rPr>
              <w:t>工贸企业危险化学品使用安全管理（</w:t>
            </w:r>
            <w:r>
              <w:rPr>
                <w:rFonts w:hint="eastAsia" w:ascii="宋体" w:hAnsi="宋体"/>
                <w:color w:val="000000" w:themeColor="text1"/>
                <w:sz w:val="21"/>
                <w:szCs w:val="21"/>
                <w:highlight w:val="none"/>
              </w:rPr>
              <w:t>企业（建设项目）总体安全要求、基础安全管理、工艺安全管理、危险化学品采购、危险化学品装卸（运输）、危险化学品使用作业、腐蚀性危险化学品的使用</w:t>
            </w:r>
            <w:r>
              <w:rPr>
                <w:rFonts w:hint="eastAsia" w:ascii="宋体" w:hAnsi="宋体"/>
                <w:color w:val="000000" w:themeColor="text1"/>
                <w:sz w:val="21"/>
                <w:szCs w:val="21"/>
                <w:highlight w:val="none"/>
                <w:lang w:eastAsia="zh-CN"/>
              </w:rPr>
              <w:t>）</w:t>
            </w:r>
          </w:p>
          <w:p w14:paraId="0EBEFBFC">
            <w:pPr>
              <w:widowControl w:val="0"/>
              <w:numPr>
                <w:ilvl w:val="0"/>
                <w:numId w:val="48"/>
              </w:numPr>
              <w:adjustRightInd w:val="0"/>
              <w:snapToGrid w:val="0"/>
              <w:ind w:left="425" w:leftChars="0" w:hanging="425" w:firstLineChars="0"/>
              <w:jc w:val="left"/>
              <w:rPr>
                <w:rFonts w:hint="eastAsia" w:ascii="宋体" w:hAnsi="宋体"/>
                <w:color w:val="000000" w:themeColor="text1"/>
                <w:sz w:val="21"/>
                <w:szCs w:val="21"/>
                <w:highlight w:val="none"/>
                <w:lang w:val="en-GB" w:eastAsia="zh-CN"/>
              </w:rPr>
            </w:pPr>
            <w:r>
              <w:rPr>
                <w:rFonts w:hint="eastAsia" w:ascii="宋体" w:hAnsi="宋体"/>
                <w:color w:val="000000" w:themeColor="text1"/>
                <w:sz w:val="21"/>
                <w:szCs w:val="21"/>
                <w:highlight w:val="none"/>
                <w:lang w:val="en-GB" w:eastAsia="zh-CN"/>
              </w:rPr>
              <w:t>使用危险化学品工业企业安全生产基本规范（建筑布置与结构、工艺和设备设施、仓库罐区、安全管理、应急救援）</w:t>
            </w:r>
          </w:p>
          <w:p w14:paraId="22BC5452">
            <w:pPr>
              <w:widowControl w:val="0"/>
              <w:numPr>
                <w:ilvl w:val="0"/>
                <w:numId w:val="48"/>
              </w:numPr>
              <w:adjustRightInd w:val="0"/>
              <w:snapToGrid w:val="0"/>
              <w:ind w:left="425" w:leftChars="0" w:hanging="425" w:firstLineChars="0"/>
              <w:jc w:val="left"/>
              <w:rPr>
                <w:rFonts w:hint="eastAsia" w:ascii="宋体" w:hAnsi="宋体"/>
                <w:color w:val="000000" w:themeColor="text1"/>
                <w:sz w:val="21"/>
                <w:szCs w:val="21"/>
                <w:highlight w:val="none"/>
                <w:lang w:val="en-GB" w:eastAsia="zh-CN"/>
              </w:rPr>
            </w:pPr>
            <w:r>
              <w:rPr>
                <w:rFonts w:hint="eastAsia" w:ascii="宋体" w:hAnsi="宋体"/>
                <w:color w:val="000000" w:themeColor="text1"/>
                <w:sz w:val="21"/>
                <w:szCs w:val="21"/>
                <w:highlight w:val="none"/>
                <w:lang w:eastAsia="zh-CN"/>
              </w:rPr>
              <w:t>危险化学品储存</w:t>
            </w:r>
          </w:p>
          <w:p w14:paraId="47C6DD4C">
            <w:pPr>
              <w:widowControl w:val="0"/>
              <w:numPr>
                <w:ilvl w:val="0"/>
                <w:numId w:val="48"/>
              </w:numPr>
              <w:adjustRightInd w:val="0"/>
              <w:snapToGrid w:val="0"/>
              <w:ind w:left="425" w:leftChars="0" w:hanging="425" w:firstLineChars="0"/>
              <w:jc w:val="left"/>
              <w:rPr>
                <w:rFonts w:hint="eastAsia" w:ascii="宋体" w:hAnsi="宋体"/>
                <w:color w:val="000000" w:themeColor="text1"/>
                <w:sz w:val="21"/>
                <w:szCs w:val="21"/>
                <w:highlight w:val="none"/>
                <w:lang w:eastAsia="zh-CN"/>
              </w:rPr>
            </w:pPr>
            <w:r>
              <w:rPr>
                <w:rFonts w:hint="eastAsia"/>
                <w:color w:val="000000" w:themeColor="text1"/>
                <w:sz w:val="21"/>
                <w:szCs w:val="21"/>
                <w:highlight w:val="none"/>
                <w:lang w:eastAsia="zh-CN"/>
              </w:rPr>
              <w:t>防火</w:t>
            </w:r>
            <w:r>
              <w:rPr>
                <w:rFonts w:hint="eastAsia" w:ascii="宋体" w:hAnsi="宋体"/>
                <w:color w:val="000000" w:themeColor="text1"/>
                <w:sz w:val="21"/>
                <w:szCs w:val="21"/>
                <w:highlight w:val="none"/>
                <w:lang w:eastAsia="zh-CN"/>
              </w:rPr>
              <w:t>防爆设施</w:t>
            </w:r>
          </w:p>
          <w:p w14:paraId="267A646C">
            <w:pPr>
              <w:widowControl w:val="0"/>
              <w:numPr>
                <w:ilvl w:val="0"/>
                <w:numId w:val="48"/>
              </w:numPr>
              <w:adjustRightInd w:val="0"/>
              <w:snapToGrid w:val="0"/>
              <w:ind w:left="425" w:leftChars="0" w:hanging="425" w:firstLineChars="0"/>
              <w:jc w:val="left"/>
              <w:rPr>
                <w:rFonts w:hint="eastAsia" w:ascii="宋体" w:hAnsi="宋体"/>
                <w:color w:val="000000" w:themeColor="text1"/>
                <w:sz w:val="21"/>
                <w:szCs w:val="21"/>
                <w:highlight w:val="none"/>
                <w:lang w:eastAsia="zh-CN"/>
              </w:rPr>
            </w:pPr>
            <w:r>
              <w:rPr>
                <w:rFonts w:hint="eastAsia" w:ascii="宋体" w:hAnsi="宋体"/>
                <w:color w:val="000000" w:themeColor="text1"/>
                <w:sz w:val="21"/>
                <w:szCs w:val="21"/>
                <w:highlight w:val="none"/>
                <w:lang w:val="en-GB" w:eastAsia="zh-CN"/>
              </w:rPr>
              <w:t>消防设施</w:t>
            </w:r>
          </w:p>
          <w:p w14:paraId="042A4B6B">
            <w:pPr>
              <w:widowControl w:val="0"/>
              <w:numPr>
                <w:ilvl w:val="0"/>
                <w:numId w:val="48"/>
              </w:numPr>
              <w:adjustRightInd w:val="0"/>
              <w:snapToGrid w:val="0"/>
              <w:ind w:left="425" w:leftChars="0" w:hanging="425" w:firstLineChars="0"/>
              <w:jc w:val="left"/>
              <w:rPr>
                <w:rFonts w:hint="eastAsia" w:ascii="宋体" w:hAnsi="宋体"/>
                <w:color w:val="000000" w:themeColor="text1"/>
                <w:sz w:val="21"/>
                <w:szCs w:val="21"/>
                <w:highlight w:val="none"/>
                <w:lang w:eastAsia="zh-CN"/>
              </w:rPr>
            </w:pPr>
            <w:r>
              <w:rPr>
                <w:rFonts w:hint="eastAsia" w:ascii="宋体" w:hAnsi="宋体"/>
                <w:color w:val="000000" w:themeColor="text1"/>
                <w:sz w:val="21"/>
                <w:szCs w:val="21"/>
                <w:highlight w:val="none"/>
                <w:lang w:eastAsia="zh-CN"/>
              </w:rPr>
              <w:t>工贸行业重大事故隐患</w:t>
            </w:r>
          </w:p>
          <w:p w14:paraId="581C1B3C">
            <w:pPr>
              <w:widowControl w:val="0"/>
              <w:numPr>
                <w:ilvl w:val="0"/>
                <w:numId w:val="48"/>
              </w:numPr>
              <w:adjustRightInd w:val="0"/>
              <w:snapToGrid w:val="0"/>
              <w:ind w:left="425" w:leftChars="0" w:hanging="425" w:firstLineChars="0"/>
              <w:jc w:val="left"/>
              <w:rPr>
                <w:rFonts w:hint="eastAsia" w:ascii="宋体" w:hAnsi="宋体" w:eastAsia="宋体"/>
                <w:color w:val="000000" w:themeColor="text1"/>
                <w:sz w:val="21"/>
                <w:szCs w:val="21"/>
                <w:highlight w:val="none"/>
                <w:lang w:eastAsia="zh-CN"/>
              </w:rPr>
            </w:pPr>
            <w:r>
              <w:rPr>
                <w:rFonts w:hint="eastAsia" w:ascii="宋体" w:hAnsi="宋体"/>
                <w:color w:val="000000" w:themeColor="text1"/>
                <w:sz w:val="21"/>
                <w:szCs w:val="21"/>
                <w:highlight w:val="none"/>
                <w:lang w:eastAsia="zh-CN"/>
              </w:rPr>
              <w:t>其他安全生产管理（</w:t>
            </w:r>
            <w:r>
              <w:rPr>
                <w:rFonts w:hint="eastAsia" w:ascii="宋体" w:hAnsi="宋体"/>
                <w:color w:val="000000" w:themeColor="text1"/>
                <w:sz w:val="21"/>
                <w:szCs w:val="21"/>
                <w:highlight w:val="none"/>
              </w:rPr>
              <w:t>安全管理制度、从业人员安全培训、危险作业、应急预案、劳动防护用品、工伤保险</w:t>
            </w:r>
            <w:r>
              <w:rPr>
                <w:rFonts w:hint="eastAsia" w:ascii="宋体" w:hAnsi="宋体"/>
                <w:color w:val="000000" w:themeColor="text1"/>
                <w:sz w:val="21"/>
                <w:szCs w:val="21"/>
                <w:highlight w:val="none"/>
                <w:lang w:eastAsia="zh-CN"/>
              </w:rPr>
              <w:t>）</w:t>
            </w:r>
          </w:p>
        </w:tc>
        <w:tc>
          <w:tcPr>
            <w:tcW w:w="971" w:type="pct"/>
            <w:vAlign w:val="center"/>
          </w:tcPr>
          <w:p w14:paraId="78F41DE2">
            <w:pPr>
              <w:widowControl w:val="0"/>
              <w:adjustRightInd w:val="0"/>
              <w:snapToGrid w:val="0"/>
              <w:jc w:val="center"/>
              <w:rPr>
                <w:rFonts w:ascii="宋体" w:hAnsi="宋体"/>
                <w:color w:val="000000" w:themeColor="text1"/>
                <w:sz w:val="21"/>
                <w:szCs w:val="21"/>
                <w:highlight w:val="none"/>
              </w:rPr>
            </w:pPr>
            <w:r>
              <w:rPr>
                <w:rFonts w:hint="eastAsia" w:ascii="宋体" w:hAnsi="宋体"/>
                <w:color w:val="000000" w:themeColor="text1"/>
                <w:sz w:val="21"/>
                <w:szCs w:val="21"/>
                <w:highlight w:val="none"/>
              </w:rPr>
              <w:t>安全检查表分析</w:t>
            </w:r>
          </w:p>
        </w:tc>
      </w:tr>
      <w:tr w14:paraId="134D0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vAlign w:val="center"/>
          </w:tcPr>
          <w:p w14:paraId="0B87D7F0">
            <w:pPr>
              <w:widowControl w:val="0"/>
              <w:numPr>
                <w:ilvl w:val="0"/>
                <w:numId w:val="47"/>
              </w:numPr>
              <w:adjustRightInd w:val="0"/>
              <w:snapToGrid w:val="0"/>
              <w:jc w:val="center"/>
              <w:rPr>
                <w:rFonts w:ascii="宋体" w:hAnsi="宋体"/>
                <w:color w:val="000000" w:themeColor="text1"/>
                <w:sz w:val="21"/>
                <w:szCs w:val="21"/>
                <w:highlight w:val="none"/>
              </w:rPr>
            </w:pPr>
          </w:p>
        </w:tc>
        <w:tc>
          <w:tcPr>
            <w:tcW w:w="827" w:type="pct"/>
            <w:vAlign w:val="center"/>
          </w:tcPr>
          <w:p w14:paraId="0A31EE36">
            <w:pPr>
              <w:widowControl w:val="0"/>
              <w:adjustRightInd w:val="0"/>
              <w:snapToGrid w:val="0"/>
              <w:jc w:val="center"/>
              <w:rPr>
                <w:rFonts w:hint="eastAsia" w:ascii="宋体" w:hAnsi="宋体" w:eastAsia="宋体"/>
                <w:color w:val="000000" w:themeColor="text1"/>
                <w:sz w:val="21"/>
                <w:szCs w:val="21"/>
                <w:highlight w:val="none"/>
                <w:lang w:eastAsia="zh-CN"/>
              </w:rPr>
            </w:pPr>
            <w:r>
              <w:rPr>
                <w:rFonts w:hint="eastAsia" w:ascii="宋体" w:hAnsi="宋体"/>
                <w:color w:val="000000" w:themeColor="text1"/>
                <w:sz w:val="21"/>
                <w:szCs w:val="21"/>
                <w:highlight w:val="none"/>
                <w:lang w:eastAsia="zh-CN"/>
              </w:rPr>
              <w:t>储存使用过程</w:t>
            </w:r>
          </w:p>
        </w:tc>
        <w:tc>
          <w:tcPr>
            <w:tcW w:w="2770" w:type="pct"/>
            <w:vAlign w:val="center"/>
          </w:tcPr>
          <w:p w14:paraId="3790EDDA">
            <w:pPr>
              <w:widowControl w:val="0"/>
              <w:adjustRightInd w:val="0"/>
              <w:snapToGrid w:val="0"/>
              <w:jc w:val="left"/>
              <w:rPr>
                <w:rFonts w:ascii="宋体" w:hAnsi="宋体"/>
                <w:color w:val="000000" w:themeColor="text1"/>
                <w:sz w:val="21"/>
                <w:szCs w:val="21"/>
                <w:highlight w:val="none"/>
              </w:rPr>
            </w:pPr>
            <w:r>
              <w:rPr>
                <w:rFonts w:hint="eastAsia"/>
                <w:color w:val="000000" w:themeColor="text1"/>
                <w:sz w:val="21"/>
                <w:szCs w:val="21"/>
                <w:highlight w:val="none"/>
              </w:rPr>
              <w:t>危险化学品人工倒入作业、危险化学品装卸存储作业、机械维修作业、电气维修作业。</w:t>
            </w:r>
          </w:p>
        </w:tc>
        <w:tc>
          <w:tcPr>
            <w:tcW w:w="971" w:type="pct"/>
            <w:vAlign w:val="center"/>
          </w:tcPr>
          <w:p w14:paraId="79320DB4">
            <w:pPr>
              <w:widowControl w:val="0"/>
              <w:adjustRightInd w:val="0"/>
              <w:snapToGrid w:val="0"/>
              <w:jc w:val="center"/>
              <w:rPr>
                <w:rFonts w:ascii="宋体" w:hAnsi="宋体"/>
                <w:color w:val="000000" w:themeColor="text1"/>
                <w:sz w:val="21"/>
                <w:szCs w:val="21"/>
                <w:highlight w:val="none"/>
              </w:rPr>
            </w:pPr>
            <w:r>
              <w:rPr>
                <w:rFonts w:hint="eastAsia" w:ascii="宋体" w:hAnsi="宋体"/>
                <w:color w:val="000000" w:themeColor="text1"/>
                <w:sz w:val="21"/>
                <w:szCs w:val="21"/>
                <w:highlight w:val="none"/>
              </w:rPr>
              <w:t>作业条件危险性分析</w:t>
            </w:r>
          </w:p>
        </w:tc>
      </w:tr>
    </w:tbl>
    <w:p w14:paraId="2C121EE5">
      <w:pPr>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highlight w:val="none"/>
        </w:rPr>
      </w:pPr>
    </w:p>
    <w:p w14:paraId="2C8D6B6E">
      <w:pPr>
        <w:keepNext w:val="0"/>
        <w:keepLines w:val="0"/>
        <w:pageBreakBefore w:val="0"/>
        <w:widowControl w:val="0"/>
        <w:kinsoku/>
        <w:wordWrap/>
        <w:topLinePunct w:val="0"/>
        <w:autoSpaceDE w:val="0"/>
        <w:autoSpaceDN w:val="0"/>
        <w:bidi w:val="0"/>
        <w:adjustRightInd w:val="0"/>
        <w:snapToGrid w:val="0"/>
        <w:spacing w:line="360" w:lineRule="auto"/>
        <w:ind w:firstLine="480"/>
        <w:rPr>
          <w:color w:val="000000" w:themeColor="text1"/>
          <w:sz w:val="28"/>
          <w:szCs w:val="28"/>
          <w:highlight w:val="none"/>
        </w:rPr>
        <w:sectPr>
          <w:type w:val="nextColumn"/>
          <w:pgSz w:w="11907" w:h="16840"/>
          <w:pgMar w:top="1417" w:right="1134" w:bottom="1134" w:left="1587" w:header="794" w:footer="794" w:gutter="0"/>
          <w:pgBorders>
            <w:top w:val="none" w:sz="0" w:space="0"/>
            <w:left w:val="none" w:sz="0" w:space="0"/>
            <w:bottom w:val="none" w:sz="0" w:space="0"/>
            <w:right w:val="none" w:sz="0" w:space="0"/>
          </w:pgBorders>
          <w:cols w:space="720" w:num="1"/>
          <w:docGrid w:linePitch="312" w:charSpace="0"/>
        </w:sectPr>
      </w:pPr>
    </w:p>
    <w:bookmarkEnd w:id="756"/>
    <w:bookmarkEnd w:id="757"/>
    <w:p w14:paraId="53D4AA80">
      <w:pPr>
        <w:pStyle w:val="5"/>
        <w:keepNext w:val="0"/>
        <w:keepLines w:val="0"/>
        <w:pageBreakBefore w:val="0"/>
        <w:widowControl w:val="0"/>
        <w:numPr>
          <w:ilvl w:val="0"/>
          <w:numId w:val="49"/>
        </w:numPr>
        <w:kinsoku/>
        <w:wordWrap/>
        <w:topLinePunct w:val="0"/>
        <w:bidi w:val="0"/>
        <w:adjustRightInd w:val="0"/>
        <w:snapToGrid w:val="0"/>
        <w:spacing w:before="240" w:after="240"/>
        <w:ind w:left="0" w:firstLine="0"/>
        <w:rPr>
          <w:color w:val="000000" w:themeColor="text1"/>
          <w:kern w:val="0"/>
          <w:highlight w:val="none"/>
        </w:rPr>
      </w:pPr>
      <w:bookmarkStart w:id="784" w:name="_Toc176576731"/>
      <w:bookmarkEnd w:id="784"/>
      <w:bookmarkStart w:id="785" w:name="_Toc186273686"/>
      <w:bookmarkEnd w:id="785"/>
      <w:bookmarkStart w:id="786" w:name="_Toc161042374"/>
      <w:bookmarkEnd w:id="786"/>
      <w:bookmarkStart w:id="787" w:name="_Toc150849529"/>
      <w:bookmarkEnd w:id="787"/>
      <w:bookmarkStart w:id="788" w:name="_Toc151792216"/>
      <w:bookmarkEnd w:id="788"/>
      <w:bookmarkStart w:id="789" w:name="_Toc160859696"/>
      <w:bookmarkEnd w:id="789"/>
      <w:bookmarkStart w:id="790" w:name="_Toc449456821"/>
      <w:bookmarkStart w:id="791" w:name="_Toc190762587"/>
      <w:bookmarkStart w:id="792" w:name="_Toc198521514"/>
      <w:bookmarkStart w:id="793" w:name="_Toc198457586"/>
      <w:bookmarkStart w:id="794" w:name="_Toc234394526"/>
      <w:bookmarkStart w:id="795" w:name="_Toc449456912"/>
      <w:r>
        <w:rPr>
          <w:rFonts w:hint="eastAsia"/>
          <w:color w:val="000000" w:themeColor="text1"/>
          <w:kern w:val="0"/>
          <w:highlight w:val="none"/>
          <w:lang w:val="en-US" w:eastAsia="zh-CN"/>
        </w:rPr>
        <w:t xml:space="preserve">  </w:t>
      </w:r>
      <w:bookmarkStart w:id="796" w:name="_Toc23019"/>
      <w:bookmarkStart w:id="797" w:name="_Toc25210"/>
      <w:bookmarkStart w:id="798" w:name="_Toc8164"/>
      <w:bookmarkStart w:id="799" w:name="_Toc22784"/>
      <w:bookmarkStart w:id="800" w:name="_Toc4082"/>
      <w:bookmarkStart w:id="801" w:name="_Toc16366"/>
      <w:r>
        <w:rPr>
          <w:rFonts w:hint="eastAsia"/>
          <w:color w:val="000000" w:themeColor="text1"/>
          <w:kern w:val="0"/>
          <w:highlight w:val="none"/>
        </w:rPr>
        <w:t>定性、定量</w:t>
      </w:r>
      <w:bookmarkEnd w:id="790"/>
      <w:bookmarkEnd w:id="791"/>
      <w:bookmarkEnd w:id="792"/>
      <w:bookmarkEnd w:id="793"/>
      <w:bookmarkEnd w:id="794"/>
      <w:bookmarkEnd w:id="795"/>
      <w:r>
        <w:rPr>
          <w:rFonts w:hint="eastAsia"/>
          <w:color w:val="000000" w:themeColor="text1"/>
          <w:kern w:val="0"/>
          <w:highlight w:val="none"/>
        </w:rPr>
        <w:t>评价</w:t>
      </w:r>
      <w:bookmarkEnd w:id="796"/>
      <w:bookmarkEnd w:id="797"/>
      <w:bookmarkEnd w:id="798"/>
      <w:bookmarkEnd w:id="799"/>
      <w:bookmarkEnd w:id="800"/>
      <w:bookmarkEnd w:id="801"/>
    </w:p>
    <w:p w14:paraId="43CC87D8">
      <w:pPr>
        <w:pStyle w:val="6"/>
        <w:keepNext w:val="0"/>
        <w:keepLines w:val="0"/>
        <w:pageBreakBefore w:val="0"/>
        <w:widowControl w:val="0"/>
        <w:kinsoku/>
        <w:wordWrap/>
        <w:topLinePunct w:val="0"/>
        <w:bidi w:val="0"/>
        <w:spacing w:beforeLines="0" w:afterLines="0"/>
        <w:rPr>
          <w:rFonts w:hAnsi="黑体"/>
          <w:color w:val="000000" w:themeColor="text1"/>
          <w:szCs w:val="28"/>
          <w:highlight w:val="none"/>
        </w:rPr>
      </w:pPr>
      <w:bookmarkStart w:id="802" w:name="_Toc31276"/>
      <w:bookmarkStart w:id="803" w:name="_Toc22618"/>
      <w:bookmarkStart w:id="804" w:name="_Toc6448"/>
      <w:bookmarkStart w:id="805" w:name="_Toc14006"/>
      <w:bookmarkStart w:id="806" w:name="_Toc41060531"/>
      <w:bookmarkStart w:id="807" w:name="_Toc11672"/>
      <w:bookmarkStart w:id="808" w:name="_Toc8405"/>
      <w:r>
        <w:rPr>
          <w:rFonts w:hAnsi="黑体"/>
          <w:color w:val="000000" w:themeColor="text1"/>
          <w:szCs w:val="28"/>
          <w:highlight w:val="none"/>
        </w:rPr>
        <w:t>5.1</w:t>
      </w:r>
      <w:r>
        <w:rPr>
          <w:rFonts w:hint="eastAsia" w:hAnsi="黑体"/>
          <w:color w:val="000000" w:themeColor="text1"/>
          <w:szCs w:val="28"/>
          <w:highlight w:val="none"/>
        </w:rPr>
        <w:t>安全生产检查</w:t>
      </w:r>
      <w:bookmarkEnd w:id="802"/>
      <w:bookmarkEnd w:id="803"/>
      <w:bookmarkEnd w:id="804"/>
      <w:bookmarkEnd w:id="805"/>
      <w:bookmarkEnd w:id="806"/>
      <w:bookmarkEnd w:id="807"/>
      <w:bookmarkEnd w:id="808"/>
      <w:bookmarkStart w:id="809" w:name="_Toc12065"/>
    </w:p>
    <w:p w14:paraId="51E40573">
      <w:pPr>
        <w:pStyle w:val="7"/>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auto"/>
        <w:textAlignment w:val="auto"/>
        <w:outlineLvl w:val="2"/>
        <w:rPr>
          <w:rFonts w:hint="eastAsia" w:ascii="黑体" w:hAnsi="CG Times" w:eastAsia="黑体" w:cs="CG Times"/>
          <w:b/>
          <w:bCs/>
          <w:color w:val="000000" w:themeColor="text1"/>
          <w:kern w:val="0"/>
          <w:sz w:val="28"/>
          <w:szCs w:val="28"/>
          <w:highlight w:val="none"/>
          <w:lang w:val="en-GB"/>
        </w:rPr>
      </w:pPr>
      <w:bookmarkStart w:id="810" w:name="_Toc21748"/>
      <w:bookmarkStart w:id="811" w:name="_Toc2672"/>
      <w:bookmarkStart w:id="812" w:name="_Toc19778"/>
      <w:bookmarkStart w:id="813" w:name="_Toc13567"/>
      <w:bookmarkStart w:id="814" w:name="_Toc22727"/>
      <w:bookmarkStart w:id="815" w:name="_Toc1107"/>
      <w:bookmarkStart w:id="816" w:name="_Toc1427"/>
      <w:bookmarkStart w:id="817" w:name="_Toc29885"/>
      <w:bookmarkStart w:id="818" w:name="_Toc7165"/>
      <w:bookmarkStart w:id="819" w:name="_Toc2528"/>
      <w:bookmarkStart w:id="820" w:name="_Toc11447"/>
      <w:bookmarkStart w:id="821" w:name="_Toc9716"/>
      <w:bookmarkStart w:id="822" w:name="_Toc12193"/>
      <w:bookmarkStart w:id="823" w:name="_Toc24467"/>
      <w:bookmarkStart w:id="824" w:name="_Toc1433"/>
      <w:bookmarkStart w:id="825" w:name="_Toc4363"/>
      <w:bookmarkStart w:id="826" w:name="_Toc16696"/>
      <w:bookmarkStart w:id="827" w:name="_Toc10522"/>
      <w:bookmarkStart w:id="828" w:name="_Toc28622"/>
      <w:bookmarkStart w:id="829" w:name="_Toc41060532"/>
      <w:r>
        <w:rPr>
          <w:rFonts w:hint="eastAsia" w:ascii="黑体" w:hAnsi="CG Times" w:eastAsia="黑体" w:cs="CG Times"/>
          <w:b/>
          <w:bCs/>
          <w:color w:val="000000" w:themeColor="text1"/>
          <w:kern w:val="0"/>
          <w:sz w:val="28"/>
          <w:szCs w:val="28"/>
          <w:highlight w:val="none"/>
          <w:lang w:val="en-GB"/>
        </w:rPr>
        <w:t>5.1.1建筑物</w:t>
      </w:r>
      <w:bookmarkEnd w:id="810"/>
      <w:bookmarkEnd w:id="811"/>
      <w:bookmarkEnd w:id="812"/>
      <w:bookmarkEnd w:id="813"/>
      <w:bookmarkEnd w:id="814"/>
      <w:r>
        <w:rPr>
          <w:rFonts w:hint="eastAsia" w:ascii="黑体" w:hAnsi="CG Times" w:eastAsia="黑体" w:cs="CG Times"/>
          <w:b/>
          <w:bCs/>
          <w:color w:val="000000" w:themeColor="text1"/>
          <w:kern w:val="0"/>
          <w:sz w:val="28"/>
          <w:szCs w:val="28"/>
          <w:highlight w:val="none"/>
          <w:lang w:val="en-GB"/>
        </w:rPr>
        <w:t>评价</w:t>
      </w:r>
      <w:bookmarkEnd w:id="815"/>
      <w:bookmarkEnd w:id="816"/>
      <w:bookmarkEnd w:id="817"/>
      <w:bookmarkEnd w:id="818"/>
      <w:bookmarkEnd w:id="819"/>
      <w:bookmarkEnd w:id="820"/>
      <w:bookmarkEnd w:id="821"/>
      <w:bookmarkEnd w:id="822"/>
    </w:p>
    <w:p w14:paraId="043F937D">
      <w:pPr>
        <w:keepNext w:val="0"/>
        <w:keepLines w:val="0"/>
        <w:pageBreakBefore w:val="0"/>
        <w:widowControl w:val="0"/>
        <w:numPr>
          <w:ilvl w:val="255"/>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bCs/>
          <w:color w:val="000000" w:themeColor="text1"/>
          <w:sz w:val="28"/>
          <w:szCs w:val="28"/>
          <w:highlight w:val="none"/>
        </w:rPr>
      </w:pPr>
      <w:r>
        <w:rPr>
          <w:rFonts w:hint="eastAsia" w:ascii="宋体" w:hAnsi="宋体" w:eastAsia="宋体" w:cs="宋体"/>
          <w:bCs/>
          <w:color w:val="000000" w:themeColor="text1"/>
          <w:sz w:val="28"/>
          <w:szCs w:val="28"/>
          <w:highlight w:val="none"/>
        </w:rPr>
        <w:t>依据《建筑设计防火规范》GB50016-2014（2018年版）</w:t>
      </w:r>
      <w:r>
        <w:rPr>
          <w:rFonts w:hint="eastAsia" w:cs="宋体"/>
          <w:bCs/>
          <w:color w:val="000000" w:themeColor="text1"/>
          <w:sz w:val="28"/>
          <w:szCs w:val="28"/>
          <w:highlight w:val="none"/>
          <w:lang w:eastAsia="zh-CN"/>
        </w:rPr>
        <w:t>对本项目</w:t>
      </w:r>
      <w:r>
        <w:rPr>
          <w:rFonts w:hint="eastAsia" w:ascii="宋体" w:hAnsi="宋体" w:eastAsia="宋体" w:cs="宋体"/>
          <w:bCs/>
          <w:color w:val="000000" w:themeColor="text1"/>
          <w:sz w:val="28"/>
          <w:szCs w:val="28"/>
          <w:highlight w:val="none"/>
          <w:lang w:eastAsia="zh-CN"/>
        </w:rPr>
        <w:t>建筑物的耐火等级、层数和防火分区面积情况</w:t>
      </w:r>
      <w:r>
        <w:rPr>
          <w:rFonts w:hint="eastAsia" w:cs="宋体"/>
          <w:bCs/>
          <w:color w:val="000000" w:themeColor="text1"/>
          <w:sz w:val="28"/>
          <w:szCs w:val="28"/>
          <w:highlight w:val="none"/>
          <w:lang w:eastAsia="zh-CN"/>
        </w:rPr>
        <w:t>进行</w:t>
      </w:r>
      <w:r>
        <w:rPr>
          <w:rFonts w:hint="eastAsia" w:ascii="宋体" w:hAnsi="宋体" w:eastAsia="宋体" w:cs="宋体"/>
          <w:bCs/>
          <w:color w:val="000000" w:themeColor="text1"/>
          <w:sz w:val="28"/>
          <w:szCs w:val="28"/>
          <w:highlight w:val="none"/>
        </w:rPr>
        <w:t>检查，检查情况见下表。</w:t>
      </w:r>
    </w:p>
    <w:p w14:paraId="18B88FDC">
      <w:pPr>
        <w:widowControl w:val="0"/>
        <w:adjustRightInd w:val="0"/>
        <w:snapToGrid w:val="0"/>
        <w:spacing w:line="360" w:lineRule="auto"/>
        <w:ind w:firstLine="0" w:firstLineChars="0"/>
        <w:jc w:val="center"/>
        <w:rPr>
          <w:rFonts w:hint="eastAsia" w:ascii="黑体" w:hAnsi="黑体" w:eastAsia="黑体"/>
          <w:b/>
          <w:bCs/>
          <w:color w:val="000000" w:themeColor="text1"/>
          <w:sz w:val="24"/>
          <w:szCs w:val="24"/>
          <w:highlight w:val="none"/>
        </w:rPr>
      </w:pPr>
      <w:r>
        <w:rPr>
          <w:rFonts w:hint="eastAsia" w:ascii="黑体" w:hAnsi="黑体" w:eastAsia="黑体"/>
          <w:b/>
          <w:bCs/>
          <w:color w:val="000000" w:themeColor="text1"/>
          <w:sz w:val="24"/>
          <w:szCs w:val="24"/>
          <w:highlight w:val="none"/>
          <w:lang w:val="en-US" w:eastAsia="zh-CN"/>
        </w:rPr>
        <w:t xml:space="preserve"> 表5.1-1 建筑物</w:t>
      </w:r>
      <w:r>
        <w:rPr>
          <w:rFonts w:hint="eastAsia" w:ascii="黑体" w:hAnsi="黑体" w:eastAsia="黑体"/>
          <w:b/>
          <w:bCs/>
          <w:color w:val="000000" w:themeColor="text1"/>
          <w:sz w:val="24"/>
          <w:szCs w:val="24"/>
          <w:highlight w:val="none"/>
        </w:rPr>
        <w:t>的耐火等级、层数和防火分区面积检查表</w:t>
      </w:r>
    </w:p>
    <w:tbl>
      <w:tblPr>
        <w:tblStyle w:val="61"/>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2"/>
        <w:gridCol w:w="853"/>
        <w:gridCol w:w="797"/>
        <w:gridCol w:w="833"/>
        <w:gridCol w:w="833"/>
        <w:gridCol w:w="919"/>
        <w:gridCol w:w="1186"/>
        <w:gridCol w:w="793"/>
        <w:gridCol w:w="1184"/>
        <w:gridCol w:w="833"/>
      </w:tblGrid>
      <w:tr w14:paraId="79974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8" w:type="pct"/>
            <w:vMerge w:val="restart"/>
            <w:shd w:val="clear" w:color="auto" w:fill="auto"/>
            <w:vAlign w:val="center"/>
          </w:tcPr>
          <w:p w14:paraId="10F059AE">
            <w:pPr>
              <w:widowControl w:val="0"/>
              <w:adjustRightInd w:val="0"/>
              <w:snapToGrid w:val="0"/>
              <w:jc w:val="center"/>
              <w:rPr>
                <w:rFonts w:hint="eastAsia" w:ascii="宋体" w:hAnsi="宋体" w:eastAsia="宋体" w:cs="宋体"/>
                <w:b/>
                <w:bCs w:val="0"/>
                <w:color w:val="000000" w:themeColor="text1"/>
                <w:sz w:val="21"/>
                <w:szCs w:val="21"/>
                <w:highlight w:val="none"/>
                <w:lang w:eastAsia="zh-CN"/>
              </w:rPr>
            </w:pPr>
            <w:r>
              <w:rPr>
                <w:rFonts w:hint="eastAsia" w:cs="宋体"/>
                <w:b/>
                <w:bCs w:val="0"/>
                <w:color w:val="000000" w:themeColor="text1"/>
                <w:sz w:val="21"/>
                <w:szCs w:val="21"/>
                <w:highlight w:val="none"/>
                <w:lang w:eastAsia="zh-CN"/>
              </w:rPr>
              <w:t>建筑物</w:t>
            </w:r>
          </w:p>
        </w:tc>
        <w:tc>
          <w:tcPr>
            <w:tcW w:w="878" w:type="pct"/>
            <w:gridSpan w:val="2"/>
            <w:shd w:val="clear" w:color="auto" w:fill="auto"/>
            <w:vAlign w:val="center"/>
          </w:tcPr>
          <w:p w14:paraId="1EA93F59">
            <w:pPr>
              <w:widowControl w:val="0"/>
              <w:adjustRightInd w:val="0"/>
              <w:snapToGrid w:val="0"/>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耐火等级</w:t>
            </w:r>
          </w:p>
        </w:tc>
        <w:tc>
          <w:tcPr>
            <w:tcW w:w="886" w:type="pct"/>
            <w:gridSpan w:val="2"/>
            <w:shd w:val="clear" w:color="auto" w:fill="auto"/>
            <w:vAlign w:val="center"/>
          </w:tcPr>
          <w:p w14:paraId="32459692">
            <w:pPr>
              <w:widowControl w:val="0"/>
              <w:adjustRightInd w:val="0"/>
              <w:snapToGrid w:val="0"/>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允许层数</w:t>
            </w:r>
          </w:p>
        </w:tc>
        <w:tc>
          <w:tcPr>
            <w:tcW w:w="1120" w:type="pct"/>
            <w:gridSpan w:val="2"/>
            <w:shd w:val="clear" w:color="auto" w:fill="auto"/>
            <w:vAlign w:val="center"/>
          </w:tcPr>
          <w:p w14:paraId="53B162CB">
            <w:pPr>
              <w:widowControl w:val="0"/>
              <w:adjustRightInd w:val="0"/>
              <w:snapToGrid w:val="0"/>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最大允许占地面积（m</w:t>
            </w:r>
            <w:r>
              <w:rPr>
                <w:rFonts w:hint="eastAsia" w:ascii="宋体" w:hAnsi="宋体" w:eastAsia="宋体" w:cs="宋体"/>
                <w:b/>
                <w:bCs w:val="0"/>
                <w:color w:val="000000" w:themeColor="text1"/>
                <w:sz w:val="21"/>
                <w:szCs w:val="21"/>
                <w:highlight w:val="none"/>
                <w:vertAlign w:val="superscript"/>
              </w:rPr>
              <w:t>2</w:t>
            </w:r>
            <w:r>
              <w:rPr>
                <w:rFonts w:hint="eastAsia" w:ascii="宋体" w:hAnsi="宋体" w:eastAsia="宋体" w:cs="宋体"/>
                <w:b/>
                <w:bCs w:val="0"/>
                <w:color w:val="000000" w:themeColor="text1"/>
                <w:sz w:val="21"/>
                <w:szCs w:val="21"/>
                <w:highlight w:val="none"/>
              </w:rPr>
              <w:t>）</w:t>
            </w:r>
          </w:p>
        </w:tc>
        <w:tc>
          <w:tcPr>
            <w:tcW w:w="1052" w:type="pct"/>
            <w:gridSpan w:val="2"/>
            <w:shd w:val="clear" w:color="auto" w:fill="auto"/>
            <w:vAlign w:val="center"/>
          </w:tcPr>
          <w:p w14:paraId="2D96A9EF">
            <w:pPr>
              <w:widowControl w:val="0"/>
              <w:adjustRightInd w:val="0"/>
              <w:snapToGrid w:val="0"/>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每个防火分区最大允许的建筑面积（m</w:t>
            </w:r>
            <w:r>
              <w:rPr>
                <w:rFonts w:hint="eastAsia" w:ascii="宋体" w:hAnsi="宋体" w:eastAsia="宋体" w:cs="宋体"/>
                <w:b/>
                <w:bCs w:val="0"/>
                <w:color w:val="000000" w:themeColor="text1"/>
                <w:sz w:val="21"/>
                <w:szCs w:val="21"/>
                <w:highlight w:val="none"/>
                <w:vertAlign w:val="superscript"/>
              </w:rPr>
              <w:t>2</w:t>
            </w:r>
            <w:r>
              <w:rPr>
                <w:rFonts w:hint="eastAsia" w:ascii="宋体" w:hAnsi="宋体" w:eastAsia="宋体" w:cs="宋体"/>
                <w:b/>
                <w:bCs w:val="0"/>
                <w:color w:val="000000" w:themeColor="text1"/>
                <w:sz w:val="21"/>
                <w:szCs w:val="21"/>
                <w:highlight w:val="none"/>
              </w:rPr>
              <w:t>）</w:t>
            </w:r>
          </w:p>
        </w:tc>
        <w:tc>
          <w:tcPr>
            <w:tcW w:w="443" w:type="pct"/>
            <w:vMerge w:val="restart"/>
            <w:shd w:val="clear" w:color="auto" w:fill="auto"/>
            <w:vAlign w:val="center"/>
          </w:tcPr>
          <w:p w14:paraId="01E542FA">
            <w:pPr>
              <w:widowControl w:val="0"/>
              <w:adjustRightInd w:val="0"/>
              <w:snapToGrid w:val="0"/>
              <w:jc w:val="center"/>
              <w:rPr>
                <w:rFonts w:hint="eastAsia" w:ascii="宋体" w:hAnsi="宋体" w:eastAsia="宋体" w:cs="宋体"/>
                <w:b/>
                <w:bCs w:val="0"/>
                <w:color w:val="000000" w:themeColor="text1"/>
                <w:sz w:val="21"/>
                <w:szCs w:val="21"/>
                <w:highlight w:val="none"/>
              </w:rPr>
            </w:pPr>
            <w:r>
              <w:rPr>
                <w:rFonts w:hint="eastAsia" w:cs="宋体"/>
                <w:b/>
                <w:bCs w:val="0"/>
                <w:color w:val="000000" w:themeColor="text1"/>
                <w:sz w:val="21"/>
                <w:szCs w:val="21"/>
                <w:highlight w:val="none"/>
                <w:lang w:eastAsia="zh-CN"/>
              </w:rPr>
              <w:t>检查</w:t>
            </w:r>
            <w:r>
              <w:rPr>
                <w:rFonts w:hint="eastAsia" w:ascii="宋体" w:hAnsi="宋体" w:eastAsia="宋体" w:cs="宋体"/>
                <w:b/>
                <w:bCs w:val="0"/>
                <w:color w:val="000000" w:themeColor="text1"/>
                <w:sz w:val="21"/>
                <w:szCs w:val="21"/>
                <w:highlight w:val="none"/>
              </w:rPr>
              <w:t>结果</w:t>
            </w:r>
          </w:p>
        </w:tc>
      </w:tr>
      <w:tr w14:paraId="14E83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8" w:type="pct"/>
            <w:vMerge w:val="continue"/>
            <w:shd w:val="clear" w:color="auto" w:fill="auto"/>
            <w:vAlign w:val="center"/>
          </w:tcPr>
          <w:p w14:paraId="396926C8">
            <w:pPr>
              <w:widowControl w:val="0"/>
              <w:adjustRightInd w:val="0"/>
              <w:snapToGrid w:val="0"/>
              <w:jc w:val="center"/>
              <w:rPr>
                <w:rFonts w:hint="eastAsia" w:ascii="宋体" w:hAnsi="宋体" w:eastAsia="宋体" w:cs="宋体"/>
                <w:bCs/>
                <w:color w:val="000000" w:themeColor="text1"/>
                <w:sz w:val="21"/>
                <w:szCs w:val="21"/>
                <w:highlight w:val="none"/>
              </w:rPr>
            </w:pPr>
          </w:p>
        </w:tc>
        <w:tc>
          <w:tcPr>
            <w:tcW w:w="454" w:type="pct"/>
            <w:shd w:val="clear" w:color="auto" w:fill="auto"/>
            <w:vAlign w:val="center"/>
          </w:tcPr>
          <w:p w14:paraId="0C552698">
            <w:pPr>
              <w:widowControl w:val="0"/>
              <w:adjustRightInd w:val="0"/>
              <w:snapToGrid w:val="0"/>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标准要求</w:t>
            </w:r>
          </w:p>
        </w:tc>
        <w:tc>
          <w:tcPr>
            <w:tcW w:w="424" w:type="pct"/>
            <w:shd w:val="clear" w:color="auto" w:fill="auto"/>
            <w:vAlign w:val="center"/>
          </w:tcPr>
          <w:p w14:paraId="27C97D67">
            <w:pPr>
              <w:widowControl w:val="0"/>
              <w:adjustRightInd w:val="0"/>
              <w:snapToGrid w:val="0"/>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实际</w:t>
            </w:r>
          </w:p>
        </w:tc>
        <w:tc>
          <w:tcPr>
            <w:tcW w:w="443" w:type="pct"/>
            <w:shd w:val="clear" w:color="auto" w:fill="auto"/>
            <w:vAlign w:val="center"/>
          </w:tcPr>
          <w:p w14:paraId="15961137">
            <w:pPr>
              <w:widowControl w:val="0"/>
              <w:adjustRightInd w:val="0"/>
              <w:snapToGrid w:val="0"/>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标准要求</w:t>
            </w:r>
          </w:p>
        </w:tc>
        <w:tc>
          <w:tcPr>
            <w:tcW w:w="443" w:type="pct"/>
            <w:shd w:val="clear" w:color="auto" w:fill="auto"/>
            <w:vAlign w:val="center"/>
          </w:tcPr>
          <w:p w14:paraId="48D80E90">
            <w:pPr>
              <w:widowControl w:val="0"/>
              <w:adjustRightInd w:val="0"/>
              <w:snapToGrid w:val="0"/>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实际</w:t>
            </w:r>
          </w:p>
        </w:tc>
        <w:tc>
          <w:tcPr>
            <w:tcW w:w="489" w:type="pct"/>
            <w:shd w:val="clear" w:color="auto" w:fill="auto"/>
            <w:vAlign w:val="center"/>
          </w:tcPr>
          <w:p w14:paraId="75DD0370">
            <w:pPr>
              <w:widowControl w:val="0"/>
              <w:adjustRightInd w:val="0"/>
              <w:snapToGrid w:val="0"/>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标准要求</w:t>
            </w:r>
          </w:p>
        </w:tc>
        <w:tc>
          <w:tcPr>
            <w:tcW w:w="631" w:type="pct"/>
            <w:shd w:val="clear" w:color="auto" w:fill="auto"/>
            <w:vAlign w:val="center"/>
          </w:tcPr>
          <w:p w14:paraId="363CA1AD">
            <w:pPr>
              <w:widowControl w:val="0"/>
              <w:adjustRightInd w:val="0"/>
              <w:snapToGrid w:val="0"/>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实际</w:t>
            </w:r>
          </w:p>
        </w:tc>
        <w:tc>
          <w:tcPr>
            <w:tcW w:w="422" w:type="pct"/>
            <w:shd w:val="clear" w:color="auto" w:fill="auto"/>
            <w:vAlign w:val="center"/>
          </w:tcPr>
          <w:p w14:paraId="07B719A2">
            <w:pPr>
              <w:widowControl w:val="0"/>
              <w:adjustRightInd w:val="0"/>
              <w:snapToGrid w:val="0"/>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标准要求</w:t>
            </w:r>
          </w:p>
        </w:tc>
        <w:tc>
          <w:tcPr>
            <w:tcW w:w="630" w:type="pct"/>
            <w:shd w:val="clear" w:color="auto" w:fill="auto"/>
            <w:vAlign w:val="center"/>
          </w:tcPr>
          <w:p w14:paraId="3739E3D3">
            <w:pPr>
              <w:widowControl w:val="0"/>
              <w:adjustRightInd w:val="0"/>
              <w:snapToGrid w:val="0"/>
              <w:jc w:val="center"/>
              <w:rPr>
                <w:rFonts w:hint="eastAsia" w:ascii="宋体" w:hAnsi="宋体" w:eastAsia="宋体" w:cs="宋体"/>
                <w:b/>
                <w:bCs w:val="0"/>
                <w:color w:val="000000" w:themeColor="text1"/>
                <w:sz w:val="21"/>
                <w:szCs w:val="21"/>
                <w:highlight w:val="none"/>
              </w:rPr>
            </w:pPr>
            <w:r>
              <w:rPr>
                <w:rFonts w:hint="eastAsia" w:ascii="宋体" w:hAnsi="宋体" w:eastAsia="宋体" w:cs="宋体"/>
                <w:b/>
                <w:bCs w:val="0"/>
                <w:color w:val="000000" w:themeColor="text1"/>
                <w:sz w:val="21"/>
                <w:szCs w:val="21"/>
                <w:highlight w:val="none"/>
              </w:rPr>
              <w:t>实际</w:t>
            </w:r>
          </w:p>
        </w:tc>
        <w:tc>
          <w:tcPr>
            <w:tcW w:w="443" w:type="pct"/>
            <w:vMerge w:val="continue"/>
            <w:shd w:val="clear" w:color="auto" w:fill="auto"/>
            <w:vAlign w:val="center"/>
          </w:tcPr>
          <w:p w14:paraId="4B6213B2">
            <w:pPr>
              <w:widowControl w:val="0"/>
              <w:adjustRightInd w:val="0"/>
              <w:snapToGrid w:val="0"/>
              <w:jc w:val="center"/>
              <w:rPr>
                <w:rFonts w:hint="eastAsia" w:ascii="宋体" w:hAnsi="宋体" w:eastAsia="宋体" w:cs="宋体"/>
                <w:bCs/>
                <w:color w:val="000000" w:themeColor="text1"/>
                <w:sz w:val="21"/>
                <w:szCs w:val="21"/>
                <w:highlight w:val="none"/>
              </w:rPr>
            </w:pPr>
          </w:p>
        </w:tc>
      </w:tr>
      <w:tr w14:paraId="0878E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8" w:type="pct"/>
            <w:shd w:val="clear" w:color="auto" w:fill="auto"/>
            <w:vAlign w:val="center"/>
          </w:tcPr>
          <w:p w14:paraId="02948242">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bCs/>
                <w:color w:val="000000" w:themeColor="text1"/>
                <w:sz w:val="21"/>
                <w:szCs w:val="21"/>
                <w:highlight w:val="none"/>
                <w:lang w:val="en-US" w:eastAsia="zh-CN" w:bidi="ar-SA"/>
              </w:rPr>
            </w:pPr>
            <w:r>
              <w:rPr>
                <w:rFonts w:hint="eastAsia" w:ascii="宋体" w:hAnsi="宋体" w:eastAsia="宋体" w:cs="宋体"/>
                <w:color w:val="000000" w:themeColor="text1"/>
                <w:kern w:val="0"/>
                <w:sz w:val="21"/>
                <w:szCs w:val="21"/>
                <w:highlight w:val="none"/>
                <w:lang w:eastAsia="zh-CN"/>
              </w:rPr>
              <w:t>漂染车间</w:t>
            </w:r>
          </w:p>
        </w:tc>
        <w:tc>
          <w:tcPr>
            <w:tcW w:w="454" w:type="pct"/>
            <w:shd w:val="clear" w:color="auto" w:fill="auto"/>
            <w:vAlign w:val="center"/>
          </w:tcPr>
          <w:p w14:paraId="09051A94">
            <w:pPr>
              <w:widowControl w:val="0"/>
              <w:adjustRightInd w:val="0"/>
              <w:snapToGrid w:val="0"/>
              <w:jc w:val="center"/>
              <w:rPr>
                <w:rFonts w:hint="eastAsia" w:ascii="宋体" w:hAnsi="宋体" w:eastAsia="宋体" w:cs="宋体"/>
                <w:bCs/>
                <w:color w:val="000000" w:themeColor="text1"/>
                <w:sz w:val="21"/>
                <w:szCs w:val="21"/>
                <w:highlight w:val="none"/>
                <w:lang w:val="en-US" w:eastAsia="zh-CN" w:bidi="ar-SA"/>
              </w:rPr>
            </w:pPr>
            <w:r>
              <w:rPr>
                <w:rFonts w:hint="eastAsia" w:ascii="宋体" w:hAnsi="宋体" w:eastAsia="宋体" w:cs="宋体"/>
                <w:bCs/>
                <w:color w:val="000000" w:themeColor="text1"/>
                <w:sz w:val="21"/>
                <w:szCs w:val="21"/>
                <w:highlight w:val="none"/>
                <w:lang w:eastAsia="zh-CN"/>
              </w:rPr>
              <w:t>不低于</w:t>
            </w:r>
            <w:r>
              <w:rPr>
                <w:rFonts w:hint="eastAsia" w:cs="宋体"/>
                <w:bCs/>
                <w:color w:val="000000" w:themeColor="text1"/>
                <w:sz w:val="21"/>
                <w:szCs w:val="21"/>
                <w:highlight w:val="none"/>
                <w:lang w:eastAsia="zh-CN"/>
              </w:rPr>
              <w:t>三</w:t>
            </w:r>
            <w:r>
              <w:rPr>
                <w:rFonts w:hint="eastAsia" w:ascii="宋体" w:hAnsi="宋体" w:eastAsia="宋体" w:cs="宋体"/>
                <w:bCs/>
                <w:color w:val="000000" w:themeColor="text1"/>
                <w:sz w:val="21"/>
                <w:szCs w:val="21"/>
                <w:highlight w:val="none"/>
              </w:rPr>
              <w:t>级</w:t>
            </w:r>
          </w:p>
        </w:tc>
        <w:tc>
          <w:tcPr>
            <w:tcW w:w="424" w:type="pct"/>
            <w:shd w:val="clear" w:color="auto" w:fill="auto"/>
            <w:vAlign w:val="center"/>
          </w:tcPr>
          <w:p w14:paraId="390689D0">
            <w:pPr>
              <w:widowControl w:val="0"/>
              <w:adjustRightInd w:val="0"/>
              <w:snapToGrid w:val="0"/>
              <w:jc w:val="center"/>
              <w:rPr>
                <w:rFonts w:hint="eastAsia" w:ascii="宋体" w:hAnsi="宋体" w:eastAsia="宋体" w:cs="宋体"/>
                <w:bCs/>
                <w:color w:val="000000" w:themeColor="text1"/>
                <w:sz w:val="21"/>
                <w:szCs w:val="21"/>
                <w:highlight w:val="none"/>
                <w:lang w:val="en-US" w:eastAsia="zh-CN" w:bidi="ar-SA"/>
              </w:rPr>
            </w:pPr>
            <w:r>
              <w:rPr>
                <w:rFonts w:hint="eastAsia" w:ascii="宋体" w:hAnsi="宋体" w:eastAsia="宋体" w:cs="宋体"/>
                <w:bCs/>
                <w:color w:val="000000" w:themeColor="text1"/>
                <w:sz w:val="21"/>
                <w:szCs w:val="21"/>
                <w:highlight w:val="none"/>
              </w:rPr>
              <w:t>二级</w:t>
            </w:r>
          </w:p>
        </w:tc>
        <w:tc>
          <w:tcPr>
            <w:tcW w:w="443" w:type="pct"/>
            <w:shd w:val="clear" w:color="auto" w:fill="auto"/>
            <w:vAlign w:val="center"/>
          </w:tcPr>
          <w:p w14:paraId="75095030">
            <w:pPr>
              <w:widowControl w:val="0"/>
              <w:adjustRightInd w:val="0"/>
              <w:snapToGrid w:val="0"/>
              <w:jc w:val="center"/>
              <w:rPr>
                <w:rFonts w:hint="default" w:ascii="宋体" w:hAnsi="宋体" w:eastAsia="宋体" w:cs="宋体"/>
                <w:bCs/>
                <w:color w:val="000000" w:themeColor="text1"/>
                <w:sz w:val="21"/>
                <w:szCs w:val="21"/>
                <w:highlight w:val="none"/>
                <w:lang w:val="en-US" w:eastAsia="zh-CN" w:bidi="ar-SA"/>
              </w:rPr>
            </w:pPr>
            <w:r>
              <w:rPr>
                <w:rFonts w:hint="eastAsia" w:ascii="宋体" w:hAnsi="宋体" w:eastAsia="宋体" w:cs="宋体"/>
                <w:bCs/>
                <w:color w:val="000000" w:themeColor="text1"/>
                <w:sz w:val="21"/>
                <w:szCs w:val="21"/>
                <w:highlight w:val="none"/>
                <w:lang w:val="en-US" w:eastAsia="zh-CN" w:bidi="ar-SA"/>
              </w:rPr>
              <w:t>不限</w:t>
            </w:r>
          </w:p>
        </w:tc>
        <w:tc>
          <w:tcPr>
            <w:tcW w:w="443" w:type="pct"/>
            <w:shd w:val="clear" w:color="auto" w:fill="auto"/>
            <w:vAlign w:val="center"/>
          </w:tcPr>
          <w:p w14:paraId="0CCDEADD">
            <w:pPr>
              <w:widowControl w:val="0"/>
              <w:adjustRightInd w:val="0"/>
              <w:snapToGrid w:val="0"/>
              <w:jc w:val="center"/>
              <w:rPr>
                <w:rFonts w:hint="eastAsia" w:ascii="宋体" w:hAnsi="宋体" w:eastAsia="宋体" w:cs="宋体"/>
                <w:bCs/>
                <w:color w:val="000000" w:themeColor="text1"/>
                <w:sz w:val="21"/>
                <w:szCs w:val="21"/>
                <w:highlight w:val="none"/>
                <w:lang w:val="en-US" w:eastAsia="zh-CN" w:bidi="ar-SA"/>
              </w:rPr>
            </w:pPr>
            <w:r>
              <w:rPr>
                <w:rFonts w:hint="eastAsia" w:ascii="宋体" w:hAnsi="宋体" w:eastAsia="宋体" w:cs="宋体"/>
                <w:bCs/>
                <w:color w:val="000000" w:themeColor="text1"/>
                <w:sz w:val="21"/>
                <w:szCs w:val="21"/>
                <w:highlight w:val="none"/>
              </w:rPr>
              <w:t>1层</w:t>
            </w:r>
          </w:p>
        </w:tc>
        <w:tc>
          <w:tcPr>
            <w:tcW w:w="489" w:type="pct"/>
            <w:shd w:val="clear" w:color="auto" w:fill="auto"/>
            <w:vAlign w:val="center"/>
          </w:tcPr>
          <w:p w14:paraId="1D0B31C7">
            <w:pPr>
              <w:widowControl w:val="0"/>
              <w:adjustRightInd w:val="0"/>
              <w:snapToGrid w:val="0"/>
              <w:jc w:val="center"/>
              <w:rPr>
                <w:rFonts w:hint="default" w:ascii="宋体" w:hAnsi="宋体" w:eastAsia="宋体" w:cs="宋体"/>
                <w:bCs/>
                <w:color w:val="000000" w:themeColor="text1"/>
                <w:sz w:val="21"/>
                <w:szCs w:val="21"/>
                <w:highlight w:val="none"/>
                <w:lang w:val="en-US" w:eastAsia="zh-CN" w:bidi="ar-SA"/>
              </w:rPr>
            </w:pPr>
            <w:r>
              <w:rPr>
                <w:rFonts w:hint="eastAsia" w:ascii="宋体" w:hAnsi="宋体" w:eastAsia="宋体" w:cs="宋体"/>
                <w:bCs/>
                <w:color w:val="000000" w:themeColor="text1"/>
                <w:sz w:val="21"/>
                <w:szCs w:val="21"/>
                <w:highlight w:val="none"/>
                <w:lang w:val="en-US" w:eastAsia="zh-CN" w:bidi="ar-SA"/>
              </w:rPr>
              <w:t>/</w:t>
            </w:r>
          </w:p>
        </w:tc>
        <w:tc>
          <w:tcPr>
            <w:tcW w:w="631" w:type="pct"/>
            <w:shd w:val="clear" w:color="auto" w:fill="auto"/>
            <w:vAlign w:val="center"/>
          </w:tcPr>
          <w:p w14:paraId="174C6DF5">
            <w:pPr>
              <w:keepNext w:val="0"/>
              <w:keepLines w:val="0"/>
              <w:pageBreakBefore w:val="0"/>
              <w:widowControl w:val="0"/>
              <w:kinsoku/>
              <w:wordWrap/>
              <w:topLinePunct w:val="0"/>
              <w:bidi w:val="0"/>
              <w:adjustRightInd w:val="0"/>
              <w:snapToGrid w:val="0"/>
              <w:spacing w:beforeLines="30" w:afterLines="30"/>
              <w:jc w:val="center"/>
              <w:rPr>
                <w:rFonts w:hint="eastAsia" w:ascii="宋体" w:hAnsi="宋体" w:eastAsia="宋体" w:cs="宋体"/>
                <w:bCs/>
                <w:color w:val="000000" w:themeColor="text1"/>
                <w:sz w:val="21"/>
                <w:szCs w:val="21"/>
                <w:highlight w:val="none"/>
                <w:lang w:val="en-US" w:eastAsia="zh-CN" w:bidi="ar-SA"/>
              </w:rPr>
            </w:pPr>
            <w:r>
              <w:rPr>
                <w:rFonts w:hint="eastAsia" w:ascii="宋体" w:hAnsi="宋体" w:cs="宋体"/>
                <w:color w:val="000000" w:themeColor="text1"/>
                <w:kern w:val="0"/>
                <w:sz w:val="21"/>
                <w:szCs w:val="21"/>
                <w:highlight w:val="none"/>
                <w:lang w:val="en-US" w:eastAsia="zh-CN"/>
              </w:rPr>
              <w:t>5711</w:t>
            </w:r>
          </w:p>
        </w:tc>
        <w:tc>
          <w:tcPr>
            <w:tcW w:w="422" w:type="pct"/>
            <w:shd w:val="clear" w:color="auto" w:fill="auto"/>
            <w:vAlign w:val="center"/>
          </w:tcPr>
          <w:p w14:paraId="4A61D803">
            <w:pPr>
              <w:widowControl w:val="0"/>
              <w:adjustRightInd w:val="0"/>
              <w:snapToGrid w:val="0"/>
              <w:jc w:val="center"/>
              <w:rPr>
                <w:rFonts w:hint="default" w:ascii="宋体" w:hAnsi="宋体" w:eastAsia="宋体" w:cs="宋体"/>
                <w:bCs/>
                <w:color w:val="000000" w:themeColor="text1"/>
                <w:sz w:val="21"/>
                <w:szCs w:val="21"/>
                <w:highlight w:val="none"/>
                <w:lang w:val="en-US" w:eastAsia="zh-CN" w:bidi="ar-SA"/>
              </w:rPr>
            </w:pPr>
            <w:r>
              <w:rPr>
                <w:rFonts w:hint="eastAsia" w:ascii="宋体" w:hAnsi="宋体" w:eastAsia="宋体" w:cs="宋体"/>
                <w:bCs/>
                <w:color w:val="000000" w:themeColor="text1"/>
                <w:sz w:val="21"/>
                <w:szCs w:val="21"/>
                <w:highlight w:val="none"/>
                <w:lang w:val="en-US" w:eastAsia="zh-CN" w:bidi="ar-SA"/>
              </w:rPr>
              <w:t>8000</w:t>
            </w:r>
          </w:p>
        </w:tc>
        <w:tc>
          <w:tcPr>
            <w:tcW w:w="630" w:type="pct"/>
            <w:shd w:val="clear" w:color="auto" w:fill="auto"/>
            <w:vAlign w:val="center"/>
          </w:tcPr>
          <w:p w14:paraId="780920D1">
            <w:pPr>
              <w:keepNext w:val="0"/>
              <w:keepLines w:val="0"/>
              <w:pageBreakBefore w:val="0"/>
              <w:widowControl w:val="0"/>
              <w:kinsoku/>
              <w:wordWrap/>
              <w:topLinePunct w:val="0"/>
              <w:bidi w:val="0"/>
              <w:adjustRightInd w:val="0"/>
              <w:snapToGrid w:val="0"/>
              <w:spacing w:beforeLines="30" w:afterLines="30"/>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cs="宋体"/>
                <w:color w:val="000000" w:themeColor="text1"/>
                <w:kern w:val="0"/>
                <w:sz w:val="21"/>
                <w:szCs w:val="21"/>
                <w:highlight w:val="none"/>
                <w:lang w:val="en-US" w:eastAsia="zh-CN"/>
              </w:rPr>
              <w:t>5711</w:t>
            </w:r>
          </w:p>
        </w:tc>
        <w:tc>
          <w:tcPr>
            <w:tcW w:w="443" w:type="pct"/>
            <w:shd w:val="clear" w:color="auto" w:fill="auto"/>
            <w:vAlign w:val="center"/>
          </w:tcPr>
          <w:p w14:paraId="1DED6E3C">
            <w:pPr>
              <w:widowControl w:val="0"/>
              <w:adjustRightInd w:val="0"/>
              <w:snapToGrid w:val="0"/>
              <w:jc w:val="center"/>
              <w:rPr>
                <w:rFonts w:hint="default" w:ascii="宋体" w:hAnsi="宋体" w:eastAsia="宋体" w:cs="宋体"/>
                <w:bCs/>
                <w:color w:val="000000" w:themeColor="text1"/>
                <w:sz w:val="21"/>
                <w:szCs w:val="21"/>
                <w:highlight w:val="none"/>
                <w:lang w:val="en-US" w:eastAsia="zh-CN"/>
              </w:rPr>
            </w:pPr>
            <w:r>
              <w:rPr>
                <w:rFonts w:hint="eastAsia" w:ascii="宋体" w:hAnsi="宋体" w:eastAsia="宋体" w:cs="宋体"/>
                <w:bCs/>
                <w:color w:val="000000" w:themeColor="text1"/>
                <w:sz w:val="21"/>
                <w:szCs w:val="21"/>
                <w:highlight w:val="none"/>
                <w:lang w:val="en-US" w:eastAsia="zh-CN"/>
              </w:rPr>
              <w:t>符合</w:t>
            </w:r>
          </w:p>
        </w:tc>
      </w:tr>
      <w:tr w14:paraId="38F0F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8" w:type="pct"/>
            <w:shd w:val="clear" w:color="auto" w:fill="auto"/>
            <w:vAlign w:val="center"/>
          </w:tcPr>
          <w:p w14:paraId="48B48DF5">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bCs/>
                <w:color w:val="000000" w:themeColor="text1"/>
                <w:sz w:val="21"/>
                <w:szCs w:val="21"/>
                <w:highlight w:val="none"/>
                <w:lang w:val="en-US" w:eastAsia="zh-CN" w:bidi="ar-SA"/>
              </w:rPr>
            </w:pPr>
            <w:r>
              <w:rPr>
                <w:rFonts w:hint="eastAsia" w:ascii="宋体" w:hAnsi="宋体" w:eastAsia="宋体" w:cs="宋体"/>
                <w:color w:val="000000" w:themeColor="text1"/>
                <w:kern w:val="0"/>
                <w:sz w:val="21"/>
                <w:szCs w:val="21"/>
                <w:highlight w:val="none"/>
                <w:lang w:eastAsia="zh-CN"/>
              </w:rPr>
              <w:t>漂染车间附房</w:t>
            </w:r>
          </w:p>
        </w:tc>
        <w:tc>
          <w:tcPr>
            <w:tcW w:w="454" w:type="pct"/>
            <w:shd w:val="clear" w:color="auto" w:fill="auto"/>
            <w:vAlign w:val="center"/>
          </w:tcPr>
          <w:p w14:paraId="144A3187">
            <w:pPr>
              <w:widowControl w:val="0"/>
              <w:adjustRightInd w:val="0"/>
              <w:snapToGrid w:val="0"/>
              <w:jc w:val="center"/>
              <w:rPr>
                <w:rFonts w:hint="eastAsia" w:ascii="宋体" w:hAnsi="宋体" w:eastAsia="宋体" w:cs="宋体"/>
                <w:bCs/>
                <w:color w:val="000000" w:themeColor="text1"/>
                <w:sz w:val="21"/>
                <w:szCs w:val="21"/>
                <w:highlight w:val="none"/>
                <w:lang w:val="en-US" w:eastAsia="zh-CN" w:bidi="ar-SA"/>
              </w:rPr>
            </w:pPr>
            <w:r>
              <w:rPr>
                <w:rFonts w:hint="eastAsia" w:ascii="宋体" w:hAnsi="宋体" w:eastAsia="宋体" w:cs="宋体"/>
                <w:bCs/>
                <w:color w:val="000000" w:themeColor="text1"/>
                <w:sz w:val="21"/>
                <w:szCs w:val="21"/>
                <w:highlight w:val="none"/>
                <w:lang w:eastAsia="zh-CN"/>
              </w:rPr>
              <w:t>不低于</w:t>
            </w:r>
            <w:r>
              <w:rPr>
                <w:rFonts w:hint="eastAsia" w:cs="宋体"/>
                <w:bCs/>
                <w:color w:val="000000" w:themeColor="text1"/>
                <w:sz w:val="21"/>
                <w:szCs w:val="21"/>
                <w:highlight w:val="none"/>
                <w:lang w:eastAsia="zh-CN"/>
              </w:rPr>
              <w:t>三</w:t>
            </w:r>
            <w:r>
              <w:rPr>
                <w:rFonts w:hint="eastAsia" w:ascii="宋体" w:hAnsi="宋体" w:eastAsia="宋体" w:cs="宋体"/>
                <w:bCs/>
                <w:color w:val="000000" w:themeColor="text1"/>
                <w:sz w:val="21"/>
                <w:szCs w:val="21"/>
                <w:highlight w:val="none"/>
              </w:rPr>
              <w:t>级</w:t>
            </w:r>
          </w:p>
        </w:tc>
        <w:tc>
          <w:tcPr>
            <w:tcW w:w="424" w:type="pct"/>
            <w:shd w:val="clear" w:color="auto" w:fill="auto"/>
            <w:vAlign w:val="center"/>
          </w:tcPr>
          <w:p w14:paraId="22641D13">
            <w:pPr>
              <w:widowControl w:val="0"/>
              <w:adjustRightInd w:val="0"/>
              <w:snapToGrid w:val="0"/>
              <w:jc w:val="center"/>
              <w:rPr>
                <w:rFonts w:hint="eastAsia" w:ascii="宋体" w:hAnsi="宋体" w:eastAsia="宋体" w:cs="宋体"/>
                <w:bCs/>
                <w:color w:val="000000" w:themeColor="text1"/>
                <w:sz w:val="21"/>
                <w:szCs w:val="21"/>
                <w:highlight w:val="none"/>
                <w:lang w:val="en-US" w:eastAsia="zh-CN" w:bidi="ar-SA"/>
              </w:rPr>
            </w:pPr>
            <w:r>
              <w:rPr>
                <w:rFonts w:hint="eastAsia" w:ascii="宋体" w:hAnsi="宋体" w:eastAsia="宋体" w:cs="宋体"/>
                <w:bCs/>
                <w:color w:val="000000" w:themeColor="text1"/>
                <w:sz w:val="21"/>
                <w:szCs w:val="21"/>
                <w:highlight w:val="none"/>
              </w:rPr>
              <w:t>二级</w:t>
            </w:r>
          </w:p>
        </w:tc>
        <w:tc>
          <w:tcPr>
            <w:tcW w:w="443" w:type="pct"/>
            <w:shd w:val="clear" w:color="auto" w:fill="auto"/>
            <w:vAlign w:val="center"/>
          </w:tcPr>
          <w:p w14:paraId="64CCCBE0">
            <w:pPr>
              <w:widowControl w:val="0"/>
              <w:adjustRightInd w:val="0"/>
              <w:snapToGrid w:val="0"/>
              <w:jc w:val="center"/>
              <w:rPr>
                <w:rFonts w:hint="default" w:ascii="宋体" w:hAnsi="宋体" w:eastAsia="宋体" w:cs="宋体"/>
                <w:bCs/>
                <w:color w:val="000000" w:themeColor="text1"/>
                <w:sz w:val="21"/>
                <w:szCs w:val="21"/>
                <w:highlight w:val="none"/>
                <w:lang w:val="en-US" w:eastAsia="zh-CN" w:bidi="ar-SA"/>
              </w:rPr>
            </w:pPr>
            <w:r>
              <w:rPr>
                <w:rFonts w:hint="eastAsia" w:cs="宋体"/>
                <w:bCs/>
                <w:color w:val="000000" w:themeColor="text1"/>
                <w:sz w:val="21"/>
                <w:szCs w:val="21"/>
                <w:highlight w:val="none"/>
                <w:lang w:val="en-US" w:eastAsia="zh-CN" w:bidi="ar-SA"/>
              </w:rPr>
              <w:t>3层</w:t>
            </w:r>
          </w:p>
        </w:tc>
        <w:tc>
          <w:tcPr>
            <w:tcW w:w="443" w:type="pct"/>
            <w:shd w:val="clear" w:color="auto" w:fill="auto"/>
            <w:vAlign w:val="center"/>
          </w:tcPr>
          <w:p w14:paraId="7EA0BD5E">
            <w:pPr>
              <w:widowControl w:val="0"/>
              <w:adjustRightInd w:val="0"/>
              <w:snapToGrid w:val="0"/>
              <w:jc w:val="center"/>
              <w:rPr>
                <w:rFonts w:hint="eastAsia" w:ascii="宋体" w:hAnsi="宋体" w:eastAsia="宋体" w:cs="宋体"/>
                <w:bCs/>
                <w:color w:val="000000" w:themeColor="text1"/>
                <w:sz w:val="21"/>
                <w:szCs w:val="21"/>
                <w:highlight w:val="none"/>
                <w:lang w:val="en-US" w:eastAsia="zh-CN" w:bidi="ar-SA"/>
              </w:rPr>
            </w:pPr>
            <w:r>
              <w:rPr>
                <w:rFonts w:hint="eastAsia" w:ascii="宋体" w:hAnsi="宋体" w:eastAsia="宋体" w:cs="宋体"/>
                <w:bCs/>
                <w:color w:val="000000" w:themeColor="text1"/>
                <w:sz w:val="21"/>
                <w:szCs w:val="21"/>
                <w:highlight w:val="none"/>
              </w:rPr>
              <w:t>1层</w:t>
            </w:r>
          </w:p>
        </w:tc>
        <w:tc>
          <w:tcPr>
            <w:tcW w:w="489" w:type="pct"/>
            <w:shd w:val="clear" w:color="auto" w:fill="auto"/>
            <w:vAlign w:val="center"/>
          </w:tcPr>
          <w:p w14:paraId="3DDDDC1F">
            <w:pPr>
              <w:widowControl w:val="0"/>
              <w:adjustRightInd w:val="0"/>
              <w:snapToGrid w:val="0"/>
              <w:jc w:val="center"/>
              <w:rPr>
                <w:rFonts w:hint="default" w:ascii="宋体" w:hAnsi="宋体" w:eastAsia="宋体" w:cs="宋体"/>
                <w:bCs/>
                <w:color w:val="000000" w:themeColor="text1"/>
                <w:sz w:val="21"/>
                <w:szCs w:val="21"/>
                <w:highlight w:val="none"/>
                <w:lang w:val="en-US" w:eastAsia="zh-CN" w:bidi="ar-SA"/>
              </w:rPr>
            </w:pPr>
            <w:r>
              <w:rPr>
                <w:rFonts w:hint="eastAsia" w:cs="宋体"/>
                <w:bCs/>
                <w:color w:val="000000" w:themeColor="text1"/>
                <w:sz w:val="21"/>
                <w:szCs w:val="21"/>
                <w:highlight w:val="none"/>
                <w:lang w:val="en-US" w:eastAsia="zh-CN" w:bidi="ar-SA"/>
              </w:rPr>
              <w:t>2000</w:t>
            </w:r>
          </w:p>
        </w:tc>
        <w:tc>
          <w:tcPr>
            <w:tcW w:w="631" w:type="pct"/>
            <w:shd w:val="clear" w:color="auto" w:fill="auto"/>
            <w:vAlign w:val="center"/>
          </w:tcPr>
          <w:p w14:paraId="36688EE9">
            <w:pPr>
              <w:keepNext w:val="0"/>
              <w:keepLines w:val="0"/>
              <w:pageBreakBefore w:val="0"/>
              <w:widowControl w:val="0"/>
              <w:kinsoku/>
              <w:wordWrap/>
              <w:topLinePunct w:val="0"/>
              <w:bidi w:val="0"/>
              <w:adjustRightInd w:val="0"/>
              <w:snapToGrid w:val="0"/>
              <w:spacing w:beforeLines="30" w:afterLines="30"/>
              <w:jc w:val="center"/>
              <w:rPr>
                <w:rFonts w:hint="default" w:ascii="宋体" w:hAnsi="宋体" w:eastAsia="宋体" w:cs="宋体"/>
                <w:bCs/>
                <w:color w:val="000000" w:themeColor="text1"/>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rPr>
              <w:t>163</w:t>
            </w:r>
          </w:p>
        </w:tc>
        <w:tc>
          <w:tcPr>
            <w:tcW w:w="422" w:type="pct"/>
            <w:shd w:val="clear" w:color="auto" w:fill="auto"/>
            <w:vAlign w:val="center"/>
          </w:tcPr>
          <w:p w14:paraId="1154CDDC">
            <w:pPr>
              <w:widowControl w:val="0"/>
              <w:adjustRightInd w:val="0"/>
              <w:snapToGrid w:val="0"/>
              <w:jc w:val="center"/>
              <w:rPr>
                <w:rFonts w:hint="default" w:ascii="宋体" w:hAnsi="宋体" w:eastAsia="宋体" w:cs="宋体"/>
                <w:bCs/>
                <w:color w:val="000000" w:themeColor="text1"/>
                <w:sz w:val="21"/>
                <w:szCs w:val="21"/>
                <w:highlight w:val="none"/>
                <w:lang w:val="en-US" w:eastAsia="zh-CN" w:bidi="ar-SA"/>
              </w:rPr>
            </w:pPr>
            <w:r>
              <w:rPr>
                <w:rFonts w:hint="eastAsia" w:cs="宋体"/>
                <w:bCs/>
                <w:color w:val="000000" w:themeColor="text1"/>
                <w:sz w:val="21"/>
                <w:szCs w:val="21"/>
                <w:highlight w:val="none"/>
                <w:lang w:val="en-US" w:eastAsia="zh-CN" w:bidi="ar-SA"/>
              </w:rPr>
              <w:t>500</w:t>
            </w:r>
          </w:p>
        </w:tc>
        <w:tc>
          <w:tcPr>
            <w:tcW w:w="630" w:type="pct"/>
            <w:shd w:val="clear" w:color="auto" w:fill="auto"/>
            <w:vAlign w:val="center"/>
          </w:tcPr>
          <w:p w14:paraId="6E025241">
            <w:pPr>
              <w:keepNext w:val="0"/>
              <w:keepLines w:val="0"/>
              <w:pageBreakBefore w:val="0"/>
              <w:widowControl w:val="0"/>
              <w:kinsoku/>
              <w:wordWrap/>
              <w:topLinePunct w:val="0"/>
              <w:bidi w:val="0"/>
              <w:adjustRightInd w:val="0"/>
              <w:snapToGrid w:val="0"/>
              <w:spacing w:beforeLines="30" w:afterLines="30"/>
              <w:jc w:val="center"/>
              <w:rPr>
                <w:rFonts w:hint="default" w:ascii="宋体" w:hAnsi="宋体" w:eastAsia="宋体" w:cs="宋体"/>
                <w:bCs/>
                <w:color w:val="000000" w:themeColor="text1"/>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rPr>
              <w:t>163</w:t>
            </w:r>
          </w:p>
        </w:tc>
        <w:tc>
          <w:tcPr>
            <w:tcW w:w="443" w:type="pct"/>
            <w:shd w:val="clear" w:color="auto" w:fill="auto"/>
            <w:vAlign w:val="center"/>
          </w:tcPr>
          <w:p w14:paraId="469ACD8D">
            <w:pPr>
              <w:widowControl w:val="0"/>
              <w:adjustRightInd w:val="0"/>
              <w:snapToGrid w:val="0"/>
              <w:jc w:val="center"/>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lang w:val="en-US" w:eastAsia="zh-CN"/>
              </w:rPr>
              <w:t>符合</w:t>
            </w:r>
          </w:p>
        </w:tc>
      </w:tr>
      <w:tr w14:paraId="6331A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8" w:type="pct"/>
            <w:shd w:val="clear" w:color="auto" w:fill="auto"/>
            <w:vAlign w:val="center"/>
          </w:tcPr>
          <w:p w14:paraId="45B28F22">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bCs/>
                <w:color w:val="000000" w:themeColor="text1"/>
                <w:sz w:val="21"/>
                <w:szCs w:val="21"/>
                <w:highlight w:val="none"/>
              </w:rPr>
            </w:pPr>
            <w:r>
              <w:rPr>
                <w:rFonts w:hint="eastAsia"/>
                <w:color w:val="000000" w:themeColor="text1"/>
                <w:spacing w:val="0"/>
                <w:sz w:val="21"/>
                <w:szCs w:val="21"/>
                <w:highlight w:val="none"/>
              </w:rPr>
              <w:t>废水处理站</w:t>
            </w:r>
            <w:r>
              <w:rPr>
                <w:color w:val="000000" w:themeColor="text1"/>
                <w:spacing w:val="0"/>
                <w:sz w:val="21"/>
                <w:szCs w:val="21"/>
                <w:highlight w:val="none"/>
              </w:rPr>
              <w:t>药剂房</w:t>
            </w:r>
          </w:p>
        </w:tc>
        <w:tc>
          <w:tcPr>
            <w:tcW w:w="454" w:type="pct"/>
            <w:shd w:val="clear" w:color="auto" w:fill="auto"/>
            <w:vAlign w:val="center"/>
          </w:tcPr>
          <w:p w14:paraId="7A9E64F7">
            <w:pPr>
              <w:widowControl w:val="0"/>
              <w:adjustRightInd w:val="0"/>
              <w:snapToGrid w:val="0"/>
              <w:jc w:val="center"/>
              <w:rPr>
                <w:rFonts w:hint="eastAsia" w:ascii="宋体" w:hAnsi="宋体" w:eastAsia="宋体" w:cs="宋体"/>
                <w:bCs/>
                <w:color w:val="000000" w:themeColor="text1"/>
                <w:sz w:val="21"/>
                <w:szCs w:val="21"/>
                <w:highlight w:val="none"/>
                <w:lang w:eastAsia="zh-CN"/>
              </w:rPr>
            </w:pPr>
            <w:r>
              <w:rPr>
                <w:rFonts w:hint="eastAsia" w:ascii="宋体" w:hAnsi="宋体" w:eastAsia="宋体" w:cs="宋体"/>
                <w:bCs/>
                <w:color w:val="000000" w:themeColor="text1"/>
                <w:sz w:val="21"/>
                <w:szCs w:val="21"/>
                <w:highlight w:val="none"/>
                <w:lang w:val="en-US" w:eastAsia="zh-CN" w:bidi="ar-SA"/>
              </w:rPr>
              <w:t>/</w:t>
            </w:r>
          </w:p>
        </w:tc>
        <w:tc>
          <w:tcPr>
            <w:tcW w:w="424" w:type="pct"/>
            <w:shd w:val="clear" w:color="auto" w:fill="auto"/>
            <w:vAlign w:val="center"/>
          </w:tcPr>
          <w:p w14:paraId="50BA0630">
            <w:pPr>
              <w:widowControl w:val="0"/>
              <w:adjustRightInd w:val="0"/>
              <w:snapToGrid w:val="0"/>
              <w:jc w:val="center"/>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二级</w:t>
            </w:r>
          </w:p>
        </w:tc>
        <w:tc>
          <w:tcPr>
            <w:tcW w:w="443" w:type="pct"/>
            <w:shd w:val="clear" w:color="auto" w:fill="auto"/>
            <w:vAlign w:val="center"/>
          </w:tcPr>
          <w:p w14:paraId="3958AED1">
            <w:pPr>
              <w:widowControl w:val="0"/>
              <w:adjustRightInd w:val="0"/>
              <w:snapToGrid w:val="0"/>
              <w:jc w:val="center"/>
              <w:rPr>
                <w:rFonts w:hint="eastAsia" w:ascii="宋体" w:hAnsi="宋体" w:eastAsia="宋体" w:cs="宋体"/>
                <w:bCs/>
                <w:color w:val="000000" w:themeColor="text1"/>
                <w:sz w:val="21"/>
                <w:szCs w:val="21"/>
                <w:highlight w:val="none"/>
                <w:lang w:val="en-US" w:eastAsia="zh-CN"/>
              </w:rPr>
            </w:pPr>
            <w:r>
              <w:rPr>
                <w:rFonts w:hint="eastAsia" w:cs="宋体"/>
                <w:bCs/>
                <w:color w:val="000000" w:themeColor="text1"/>
                <w:sz w:val="21"/>
                <w:szCs w:val="21"/>
                <w:highlight w:val="none"/>
                <w:lang w:val="en-US" w:eastAsia="zh-CN"/>
              </w:rPr>
              <w:t>不限</w:t>
            </w:r>
          </w:p>
        </w:tc>
        <w:tc>
          <w:tcPr>
            <w:tcW w:w="443" w:type="pct"/>
            <w:shd w:val="clear" w:color="auto" w:fill="auto"/>
            <w:vAlign w:val="center"/>
          </w:tcPr>
          <w:p w14:paraId="397B7CF0">
            <w:pPr>
              <w:widowControl w:val="0"/>
              <w:adjustRightInd w:val="0"/>
              <w:snapToGrid w:val="0"/>
              <w:jc w:val="center"/>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1层</w:t>
            </w:r>
          </w:p>
        </w:tc>
        <w:tc>
          <w:tcPr>
            <w:tcW w:w="489" w:type="pct"/>
            <w:shd w:val="clear" w:color="auto" w:fill="auto"/>
            <w:vAlign w:val="center"/>
          </w:tcPr>
          <w:p w14:paraId="135F8CF0">
            <w:pPr>
              <w:widowControl w:val="0"/>
              <w:adjustRightInd w:val="0"/>
              <w:snapToGrid w:val="0"/>
              <w:jc w:val="center"/>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lang w:val="en-US" w:eastAsia="zh-CN" w:bidi="ar-SA"/>
              </w:rPr>
              <w:t>不限</w:t>
            </w:r>
          </w:p>
        </w:tc>
        <w:tc>
          <w:tcPr>
            <w:tcW w:w="631" w:type="pct"/>
            <w:shd w:val="clear" w:color="auto" w:fill="auto"/>
            <w:vAlign w:val="center"/>
          </w:tcPr>
          <w:p w14:paraId="253AB44D">
            <w:pPr>
              <w:keepNext w:val="0"/>
              <w:keepLines w:val="0"/>
              <w:pageBreakBefore w:val="0"/>
              <w:widowControl w:val="0"/>
              <w:kinsoku/>
              <w:wordWrap/>
              <w:topLinePunct w:val="0"/>
              <w:bidi w:val="0"/>
              <w:adjustRightInd w:val="0"/>
              <w:snapToGrid w:val="0"/>
              <w:spacing w:beforeLines="30" w:afterLines="30"/>
              <w:jc w:val="center"/>
              <w:rPr>
                <w:rFonts w:hint="eastAsia" w:ascii="宋体" w:hAnsi="宋体" w:eastAsia="宋体" w:cs="宋体"/>
                <w:bCs/>
                <w:color w:val="000000" w:themeColor="text1"/>
                <w:sz w:val="21"/>
                <w:szCs w:val="21"/>
                <w:highlight w:val="none"/>
              </w:rPr>
            </w:pPr>
            <w:r>
              <w:rPr>
                <w:rFonts w:hint="eastAsia" w:cs="宋体"/>
                <w:color w:val="000000" w:themeColor="text1"/>
                <w:kern w:val="0"/>
                <w:sz w:val="21"/>
                <w:szCs w:val="21"/>
                <w:highlight w:val="none"/>
                <w:lang w:val="en-US" w:eastAsia="zh-CN"/>
              </w:rPr>
              <w:t>84</w:t>
            </w:r>
          </w:p>
        </w:tc>
        <w:tc>
          <w:tcPr>
            <w:tcW w:w="422" w:type="pct"/>
            <w:shd w:val="clear" w:color="auto" w:fill="auto"/>
            <w:vAlign w:val="center"/>
          </w:tcPr>
          <w:p w14:paraId="219EF670">
            <w:pPr>
              <w:widowControl w:val="0"/>
              <w:adjustRightInd w:val="0"/>
              <w:snapToGrid w:val="0"/>
              <w:jc w:val="center"/>
              <w:rPr>
                <w:rFonts w:hint="default" w:ascii="宋体" w:hAnsi="宋体" w:eastAsia="宋体" w:cs="宋体"/>
                <w:bCs/>
                <w:color w:val="000000" w:themeColor="text1"/>
                <w:sz w:val="21"/>
                <w:szCs w:val="21"/>
                <w:highlight w:val="none"/>
                <w:lang w:val="en-US" w:eastAsia="zh-CN"/>
              </w:rPr>
            </w:pPr>
            <w:r>
              <w:rPr>
                <w:rFonts w:hint="eastAsia" w:ascii="宋体" w:hAnsi="宋体" w:eastAsia="宋体" w:cs="宋体"/>
                <w:bCs/>
                <w:color w:val="000000" w:themeColor="text1"/>
                <w:sz w:val="21"/>
                <w:szCs w:val="21"/>
                <w:highlight w:val="none"/>
                <w:lang w:val="en-US" w:eastAsia="zh-CN" w:bidi="ar-SA"/>
              </w:rPr>
              <w:t>不限</w:t>
            </w:r>
          </w:p>
        </w:tc>
        <w:tc>
          <w:tcPr>
            <w:tcW w:w="630" w:type="pct"/>
            <w:shd w:val="clear" w:color="auto" w:fill="auto"/>
            <w:vAlign w:val="center"/>
          </w:tcPr>
          <w:p w14:paraId="081DA808">
            <w:pPr>
              <w:keepNext w:val="0"/>
              <w:keepLines w:val="0"/>
              <w:pageBreakBefore w:val="0"/>
              <w:widowControl w:val="0"/>
              <w:kinsoku/>
              <w:wordWrap/>
              <w:topLinePunct w:val="0"/>
              <w:bidi w:val="0"/>
              <w:adjustRightInd w:val="0"/>
              <w:snapToGrid w:val="0"/>
              <w:spacing w:beforeLines="30" w:afterLines="30"/>
              <w:jc w:val="center"/>
              <w:rPr>
                <w:rFonts w:hint="eastAsia" w:ascii="宋体" w:hAnsi="宋体" w:eastAsia="宋体" w:cs="宋体"/>
                <w:color w:val="000000" w:themeColor="text1"/>
                <w:sz w:val="21"/>
                <w:szCs w:val="21"/>
                <w:highlight w:val="none"/>
                <w:lang w:val="en-US" w:eastAsia="zh-CN"/>
              </w:rPr>
            </w:pPr>
            <w:r>
              <w:rPr>
                <w:rFonts w:hint="eastAsia" w:cs="宋体"/>
                <w:color w:val="000000" w:themeColor="text1"/>
                <w:kern w:val="0"/>
                <w:sz w:val="21"/>
                <w:szCs w:val="21"/>
                <w:highlight w:val="none"/>
                <w:lang w:val="en-US" w:eastAsia="zh-CN"/>
              </w:rPr>
              <w:t>84</w:t>
            </w:r>
          </w:p>
        </w:tc>
        <w:tc>
          <w:tcPr>
            <w:tcW w:w="443" w:type="pct"/>
            <w:shd w:val="clear" w:color="auto" w:fill="auto"/>
            <w:vAlign w:val="center"/>
          </w:tcPr>
          <w:p w14:paraId="45AA6F65">
            <w:pPr>
              <w:widowControl w:val="0"/>
              <w:adjustRightInd w:val="0"/>
              <w:snapToGrid w:val="0"/>
              <w:jc w:val="center"/>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lang w:val="en-US" w:eastAsia="zh-CN"/>
              </w:rPr>
              <w:t>符合</w:t>
            </w:r>
          </w:p>
        </w:tc>
      </w:tr>
    </w:tbl>
    <w:p w14:paraId="16DA7FC0">
      <w:pPr>
        <w:pStyle w:val="738"/>
        <w:keepNext w:val="0"/>
        <w:keepLines w:val="0"/>
        <w:pageBreakBefore w:val="0"/>
        <w:widowControl w:val="0"/>
        <w:kinsoku/>
        <w:wordWrap/>
        <w:overflowPunct/>
        <w:topLinePunct w:val="0"/>
        <w:autoSpaceDE/>
        <w:autoSpaceDN/>
        <w:bidi w:val="0"/>
        <w:adjustRightInd w:val="0"/>
        <w:snapToGrid w:val="0"/>
        <w:spacing w:before="0" w:beforeLines="0" w:after="437" w:afterLines="100" w:line="240" w:lineRule="auto"/>
        <w:ind w:firstLine="0" w:firstLineChars="0"/>
        <w:jc w:val="left"/>
        <w:textAlignment w:val="auto"/>
        <w:rPr>
          <w:rFonts w:hint="eastAsia"/>
          <w:color w:val="000000" w:themeColor="text1"/>
          <w:sz w:val="21"/>
          <w:szCs w:val="21"/>
          <w:highlight w:val="none"/>
          <w:lang w:eastAsia="zh-CN"/>
        </w:rPr>
      </w:pPr>
      <w:r>
        <w:rPr>
          <w:rFonts w:hint="eastAsia"/>
          <w:color w:val="000000" w:themeColor="text1"/>
          <w:sz w:val="21"/>
          <w:szCs w:val="21"/>
          <w:highlight w:val="none"/>
          <w:lang w:eastAsia="zh-CN"/>
        </w:rPr>
        <w:t>注：“</w:t>
      </w:r>
      <w:r>
        <w:rPr>
          <w:rFonts w:hint="eastAsia" w:ascii="宋体" w:hAnsi="宋体" w:eastAsia="宋体" w:cs="宋体"/>
          <w:bCs/>
          <w:color w:val="000000" w:themeColor="text1"/>
          <w:sz w:val="21"/>
          <w:szCs w:val="21"/>
          <w:highlight w:val="none"/>
          <w:lang w:val="en-US" w:eastAsia="zh-CN" w:bidi="ar-SA"/>
        </w:rPr>
        <w:t>/</w:t>
      </w:r>
      <w:r>
        <w:rPr>
          <w:rFonts w:hint="eastAsia"/>
          <w:color w:val="000000" w:themeColor="text1"/>
          <w:sz w:val="21"/>
          <w:szCs w:val="21"/>
          <w:highlight w:val="none"/>
          <w:lang w:eastAsia="zh-CN"/>
        </w:rPr>
        <w:t>”表示无要求。</w:t>
      </w:r>
    </w:p>
    <w:p w14:paraId="4D38C956">
      <w:pPr>
        <w:pStyle w:val="738"/>
        <w:keepNext w:val="0"/>
        <w:keepLines w:val="0"/>
        <w:pageBreakBefore w:val="0"/>
        <w:widowControl w:val="0"/>
        <w:kinsoku/>
        <w:wordWrap/>
        <w:overflowPunct/>
        <w:topLinePunct w:val="0"/>
        <w:autoSpaceDE/>
        <w:autoSpaceDN/>
        <w:bidi w:val="0"/>
        <w:adjustRightInd w:val="0"/>
        <w:snapToGrid w:val="0"/>
        <w:spacing w:before="0" w:beforeLines="0" w:line="360" w:lineRule="auto"/>
        <w:jc w:val="left"/>
        <w:textAlignment w:val="auto"/>
        <w:rPr>
          <w:color w:val="000000" w:themeColor="text1"/>
          <w:highlight w:val="none"/>
        </w:rPr>
      </w:pPr>
      <w:r>
        <w:rPr>
          <w:rFonts w:hint="eastAsia"/>
          <w:color w:val="000000" w:themeColor="text1"/>
          <w:highlight w:val="none"/>
          <w:lang w:eastAsia="zh-CN"/>
        </w:rPr>
        <w:t>依据</w:t>
      </w:r>
      <w:r>
        <w:rPr>
          <w:color w:val="000000" w:themeColor="text1"/>
          <w:highlight w:val="none"/>
        </w:rPr>
        <w:t>《建筑设计防火规范》GB50016-2014（2018年版）</w:t>
      </w:r>
      <w:r>
        <w:rPr>
          <w:rFonts w:hint="eastAsia"/>
          <w:color w:val="000000" w:themeColor="text1"/>
          <w:highlight w:val="none"/>
          <w:lang w:eastAsia="zh-CN"/>
        </w:rPr>
        <w:t>的要求</w:t>
      </w:r>
      <w:r>
        <w:rPr>
          <w:color w:val="000000" w:themeColor="text1"/>
          <w:highlight w:val="none"/>
        </w:rPr>
        <w:t>，</w:t>
      </w:r>
      <w:r>
        <w:rPr>
          <w:rFonts w:hint="eastAsia"/>
          <w:color w:val="000000" w:themeColor="text1"/>
          <w:highlight w:val="none"/>
          <w:lang w:eastAsia="zh-CN"/>
        </w:rPr>
        <w:t>对本项目建筑物平面布置和安全疏散</w:t>
      </w:r>
      <w:r>
        <w:rPr>
          <w:color w:val="000000" w:themeColor="text1"/>
          <w:highlight w:val="none"/>
        </w:rPr>
        <w:t>进行检查，检查</w:t>
      </w:r>
      <w:r>
        <w:rPr>
          <w:rFonts w:hint="eastAsia"/>
          <w:color w:val="000000" w:themeColor="text1"/>
          <w:highlight w:val="none"/>
          <w:lang w:eastAsia="zh-CN"/>
        </w:rPr>
        <w:t>情况见下表</w:t>
      </w:r>
      <w:r>
        <w:rPr>
          <w:rFonts w:hint="eastAsia"/>
          <w:color w:val="000000" w:themeColor="text1"/>
          <w:highlight w:val="none"/>
        </w:rPr>
        <w:t>。</w:t>
      </w:r>
    </w:p>
    <w:p w14:paraId="14C08B32">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黑体" w:hAnsi="黑体" w:eastAsia="黑体"/>
          <w:b/>
          <w:bCs/>
          <w:color w:val="000000" w:themeColor="text1"/>
          <w:sz w:val="24"/>
          <w:szCs w:val="24"/>
          <w:highlight w:val="none"/>
        </w:rPr>
      </w:pPr>
      <w:r>
        <w:rPr>
          <w:rFonts w:hint="eastAsia" w:ascii="黑体" w:hAnsi="黑体" w:eastAsia="黑体"/>
          <w:b/>
          <w:bCs/>
          <w:color w:val="000000" w:themeColor="text1"/>
          <w:sz w:val="24"/>
          <w:szCs w:val="24"/>
          <w:highlight w:val="none"/>
          <w:lang w:val="en-US" w:eastAsia="zh-CN"/>
        </w:rPr>
        <w:t>表5.1-2 建筑物</w:t>
      </w:r>
      <w:r>
        <w:rPr>
          <w:rFonts w:hint="eastAsia" w:ascii="黑体" w:hAnsi="黑体" w:eastAsia="黑体"/>
          <w:b/>
          <w:bCs/>
          <w:color w:val="000000" w:themeColor="text1"/>
          <w:sz w:val="24"/>
          <w:highlight w:val="none"/>
        </w:rPr>
        <w:t>平面布置和安全疏散</w:t>
      </w:r>
      <w:r>
        <w:rPr>
          <w:rFonts w:hint="eastAsia" w:ascii="黑体" w:hAnsi="黑体" w:eastAsia="黑体"/>
          <w:b/>
          <w:bCs/>
          <w:color w:val="000000" w:themeColor="text1"/>
          <w:sz w:val="24"/>
          <w:szCs w:val="24"/>
          <w:highlight w:val="none"/>
        </w:rPr>
        <w:t>检查表</w:t>
      </w:r>
    </w:p>
    <w:tbl>
      <w:tblPr>
        <w:tblStyle w:val="61"/>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9"/>
        <w:gridCol w:w="4098"/>
        <w:gridCol w:w="1379"/>
        <w:gridCol w:w="2624"/>
        <w:gridCol w:w="712"/>
      </w:tblGrid>
      <w:tr w14:paraId="2C761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08" w:type="pct"/>
            <w:vAlign w:val="center"/>
          </w:tcPr>
          <w:p w14:paraId="2C877963">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序号</w:t>
            </w:r>
          </w:p>
        </w:tc>
        <w:tc>
          <w:tcPr>
            <w:tcW w:w="2181" w:type="pct"/>
            <w:vAlign w:val="center"/>
          </w:tcPr>
          <w:p w14:paraId="337BCA72">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检查项目及内容</w:t>
            </w:r>
          </w:p>
        </w:tc>
        <w:tc>
          <w:tcPr>
            <w:tcW w:w="734" w:type="pct"/>
            <w:vAlign w:val="center"/>
          </w:tcPr>
          <w:p w14:paraId="3CEEB1E4">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依据</w:t>
            </w:r>
            <w:r>
              <w:rPr>
                <w:rFonts w:hint="eastAsia" w:ascii="宋体" w:hAnsi="宋体" w:eastAsia="宋体" w:cs="宋体"/>
                <w:b/>
                <w:bCs/>
                <w:color w:val="000000" w:themeColor="text1"/>
                <w:sz w:val="21"/>
                <w:szCs w:val="21"/>
                <w:highlight w:val="none"/>
                <w:lang w:eastAsia="zh-CN"/>
              </w:rPr>
              <w:t>条款</w:t>
            </w:r>
          </w:p>
        </w:tc>
        <w:tc>
          <w:tcPr>
            <w:tcW w:w="1396" w:type="pct"/>
            <w:vAlign w:val="center"/>
          </w:tcPr>
          <w:p w14:paraId="48E51EE5">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lang w:eastAsia="zh-CN"/>
              </w:rPr>
              <w:t>实际情况</w:t>
            </w:r>
          </w:p>
        </w:tc>
        <w:tc>
          <w:tcPr>
            <w:tcW w:w="379" w:type="pct"/>
            <w:vAlign w:val="center"/>
          </w:tcPr>
          <w:p w14:paraId="4815147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rPr>
              <w:t>检查结果</w:t>
            </w:r>
          </w:p>
        </w:tc>
      </w:tr>
      <w:tr w14:paraId="32604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8" w:type="pct"/>
            <w:vAlign w:val="center"/>
          </w:tcPr>
          <w:p w14:paraId="3CF76913">
            <w:pPr>
              <w:keepNext w:val="0"/>
              <w:keepLines w:val="0"/>
              <w:pageBreakBefore w:val="0"/>
              <w:widowControl w:val="0"/>
              <w:numPr>
                <w:ilvl w:val="0"/>
                <w:numId w:val="5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sz w:val="21"/>
                <w:szCs w:val="21"/>
                <w:highlight w:val="none"/>
              </w:rPr>
            </w:pPr>
          </w:p>
        </w:tc>
        <w:tc>
          <w:tcPr>
            <w:tcW w:w="2181" w:type="pct"/>
            <w:vAlign w:val="center"/>
          </w:tcPr>
          <w:p w14:paraId="2B60A18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甲、乙类生产场所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仓库</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不应设置在地下或半地下。</w:t>
            </w:r>
          </w:p>
        </w:tc>
        <w:tc>
          <w:tcPr>
            <w:tcW w:w="734" w:type="pct"/>
            <w:vAlign w:val="center"/>
          </w:tcPr>
          <w:p w14:paraId="6FC1153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sz w:val="21"/>
                <w:szCs w:val="21"/>
                <w:highlight w:val="none"/>
                <w:lang w:val="zh-CN"/>
              </w:rPr>
            </w:pPr>
            <w:r>
              <w:rPr>
                <w:rFonts w:hint="eastAsia" w:ascii="宋体" w:hAnsi="宋体" w:eastAsia="宋体" w:cs="宋体"/>
                <w:color w:val="000000" w:themeColor="text1"/>
                <w:sz w:val="21"/>
                <w:szCs w:val="21"/>
                <w:highlight w:val="none"/>
                <w:lang w:val="zh-CN"/>
              </w:rPr>
              <w:t>GB50016-2014（2018年版）</w:t>
            </w:r>
            <w:r>
              <w:rPr>
                <w:rFonts w:hint="eastAsia" w:ascii="宋体" w:hAnsi="宋体" w:eastAsia="宋体" w:cs="宋体"/>
                <w:color w:val="000000" w:themeColor="text1"/>
                <w:sz w:val="21"/>
                <w:szCs w:val="21"/>
                <w:highlight w:val="none"/>
                <w:lang w:eastAsia="zh-CN"/>
              </w:rPr>
              <w:t>第</w:t>
            </w:r>
            <w:r>
              <w:rPr>
                <w:rFonts w:hint="eastAsia" w:ascii="宋体" w:hAnsi="宋体" w:eastAsia="宋体" w:cs="宋体"/>
                <w:color w:val="000000" w:themeColor="text1"/>
                <w:sz w:val="21"/>
                <w:szCs w:val="21"/>
                <w:highlight w:val="none"/>
              </w:rPr>
              <w:t>3.3.4</w:t>
            </w:r>
            <w:r>
              <w:rPr>
                <w:rFonts w:hint="eastAsia" w:ascii="宋体" w:hAnsi="宋体" w:eastAsia="宋体" w:cs="宋体"/>
                <w:color w:val="000000" w:themeColor="text1"/>
                <w:sz w:val="21"/>
                <w:szCs w:val="21"/>
                <w:highlight w:val="none"/>
                <w:lang w:eastAsia="zh-CN"/>
              </w:rPr>
              <w:t>条</w:t>
            </w:r>
          </w:p>
        </w:tc>
        <w:tc>
          <w:tcPr>
            <w:tcW w:w="1396" w:type="pct"/>
            <w:vAlign w:val="center"/>
          </w:tcPr>
          <w:p w14:paraId="56BE977B">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不涉及甲乙类生产场所，漂染车间附房（乙类仓库）设置在地上。</w:t>
            </w:r>
          </w:p>
        </w:tc>
        <w:tc>
          <w:tcPr>
            <w:tcW w:w="379" w:type="pct"/>
            <w:vAlign w:val="center"/>
          </w:tcPr>
          <w:p w14:paraId="458ABD85">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符合</w:t>
            </w:r>
          </w:p>
        </w:tc>
      </w:tr>
      <w:tr w14:paraId="3ED2B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8" w:type="pct"/>
            <w:vAlign w:val="center"/>
          </w:tcPr>
          <w:p w14:paraId="6E913965">
            <w:pPr>
              <w:keepNext w:val="0"/>
              <w:keepLines w:val="0"/>
              <w:pageBreakBefore w:val="0"/>
              <w:widowControl w:val="0"/>
              <w:numPr>
                <w:ilvl w:val="0"/>
                <w:numId w:val="5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sz w:val="21"/>
                <w:szCs w:val="21"/>
                <w:highlight w:val="none"/>
              </w:rPr>
            </w:pPr>
          </w:p>
        </w:tc>
        <w:tc>
          <w:tcPr>
            <w:tcW w:w="2181" w:type="pct"/>
            <w:vAlign w:val="center"/>
          </w:tcPr>
          <w:p w14:paraId="4037146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员工宿舍严禁设置在厂房内。</w:t>
            </w:r>
          </w:p>
          <w:p w14:paraId="0FAEBA7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办公室、休息室等不应设置在甲、乙类厂房内，确需贴邻本厂房时，其耐火等级不应低于二级，并应采用耐火极限不低于3.00h的防爆墙与厂房分隔。且应设置独立的安全出口。</w:t>
            </w:r>
          </w:p>
          <w:p w14:paraId="09009AA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办公室、休息室设置在丙类厂房内时，应采用耐火极限不低于2.50h的防火隔墙和1.00h的楼板与其他部位分隔，并应至少设置1个独立的安全出口。如隔墙上需开设相互连通的门时，应采用乙级防火门。</w:t>
            </w:r>
          </w:p>
        </w:tc>
        <w:tc>
          <w:tcPr>
            <w:tcW w:w="734" w:type="pct"/>
            <w:vAlign w:val="center"/>
          </w:tcPr>
          <w:p w14:paraId="0E01A0F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sz w:val="21"/>
                <w:szCs w:val="21"/>
                <w:highlight w:val="none"/>
                <w:lang w:val="zh-CN"/>
              </w:rPr>
            </w:pPr>
            <w:r>
              <w:rPr>
                <w:rFonts w:hint="eastAsia" w:ascii="宋体" w:hAnsi="宋体" w:eastAsia="宋体" w:cs="宋体"/>
                <w:color w:val="000000" w:themeColor="text1"/>
                <w:sz w:val="21"/>
                <w:szCs w:val="21"/>
                <w:highlight w:val="none"/>
                <w:lang w:val="zh-CN"/>
              </w:rPr>
              <w:t>GB50016-2014（2018年版）</w:t>
            </w:r>
            <w:r>
              <w:rPr>
                <w:rFonts w:hint="eastAsia" w:ascii="宋体" w:hAnsi="宋体" w:eastAsia="宋体" w:cs="宋体"/>
                <w:color w:val="000000" w:themeColor="text1"/>
                <w:sz w:val="21"/>
                <w:szCs w:val="21"/>
                <w:highlight w:val="none"/>
                <w:lang w:eastAsia="zh-CN"/>
              </w:rPr>
              <w:t>第</w:t>
            </w:r>
            <w:r>
              <w:rPr>
                <w:rFonts w:hint="eastAsia" w:ascii="宋体" w:hAnsi="宋体" w:eastAsia="宋体" w:cs="宋体"/>
                <w:color w:val="000000" w:themeColor="text1"/>
                <w:sz w:val="21"/>
                <w:szCs w:val="21"/>
                <w:highlight w:val="none"/>
              </w:rPr>
              <w:t>3.3.5</w:t>
            </w:r>
            <w:r>
              <w:rPr>
                <w:rFonts w:hint="eastAsia" w:ascii="宋体" w:hAnsi="宋体" w:eastAsia="宋体" w:cs="宋体"/>
                <w:color w:val="000000" w:themeColor="text1"/>
                <w:sz w:val="21"/>
                <w:szCs w:val="21"/>
                <w:highlight w:val="none"/>
                <w:lang w:eastAsia="zh-CN"/>
              </w:rPr>
              <w:t>条</w:t>
            </w:r>
          </w:p>
        </w:tc>
        <w:tc>
          <w:tcPr>
            <w:tcW w:w="1396" w:type="pct"/>
            <w:vAlign w:val="center"/>
          </w:tcPr>
          <w:p w14:paraId="72D8F05E">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员工宿舍未设置在漂染车间内。</w:t>
            </w:r>
          </w:p>
          <w:p w14:paraId="0496E8FA">
            <w:pPr>
              <w:pStyle w:val="2"/>
              <w:widowControl w:val="0"/>
              <w:adjustRightInd w:val="0"/>
              <w:snapToGrid w:val="0"/>
              <w:ind w:firstLine="0" w:firstLineChars="0"/>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漂染车间（丙类厂房）内设置了办公室，</w:t>
            </w:r>
            <w:r>
              <w:rPr>
                <w:rFonts w:hint="eastAsia" w:ascii="宋体" w:hAnsi="宋体" w:eastAsia="宋体" w:cs="宋体"/>
                <w:color w:val="000000" w:themeColor="text1"/>
                <w:sz w:val="21"/>
                <w:szCs w:val="21"/>
                <w:highlight w:val="none"/>
              </w:rPr>
              <w:t>隔墙上门</w:t>
            </w:r>
            <w:r>
              <w:rPr>
                <w:rFonts w:hint="eastAsia" w:ascii="宋体" w:hAnsi="宋体" w:eastAsia="宋体" w:cs="宋体"/>
                <w:color w:val="000000" w:themeColor="text1"/>
                <w:sz w:val="21"/>
                <w:szCs w:val="21"/>
                <w:highlight w:val="none"/>
                <w:lang w:eastAsia="zh-CN"/>
              </w:rPr>
              <w:t>未</w:t>
            </w:r>
            <w:r>
              <w:rPr>
                <w:rFonts w:hint="eastAsia" w:ascii="宋体" w:hAnsi="宋体" w:eastAsia="宋体" w:cs="宋体"/>
                <w:color w:val="000000" w:themeColor="text1"/>
                <w:sz w:val="21"/>
                <w:szCs w:val="21"/>
                <w:highlight w:val="none"/>
              </w:rPr>
              <w:t>采用乙级防火门</w:t>
            </w:r>
            <w:r>
              <w:rPr>
                <w:rFonts w:hint="eastAsia" w:ascii="宋体" w:hAnsi="宋体" w:eastAsia="宋体" w:cs="宋体"/>
                <w:color w:val="000000" w:themeColor="text1"/>
                <w:sz w:val="21"/>
                <w:szCs w:val="21"/>
                <w:highlight w:val="none"/>
                <w:lang w:eastAsia="zh-CN"/>
              </w:rPr>
              <w:t>（为自动玻璃门）</w:t>
            </w:r>
            <w:r>
              <w:rPr>
                <w:rFonts w:hint="eastAsia" w:ascii="宋体" w:hAnsi="宋体" w:eastAsia="宋体" w:cs="宋体"/>
                <w:color w:val="000000" w:themeColor="text1"/>
                <w:sz w:val="21"/>
                <w:szCs w:val="21"/>
                <w:highlight w:val="none"/>
              </w:rPr>
              <w:t>。</w:t>
            </w:r>
          </w:p>
        </w:tc>
        <w:tc>
          <w:tcPr>
            <w:tcW w:w="379" w:type="pct"/>
            <w:vAlign w:val="center"/>
          </w:tcPr>
          <w:p w14:paraId="4F66EA8E">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不符合</w:t>
            </w:r>
          </w:p>
        </w:tc>
      </w:tr>
      <w:tr w14:paraId="732AB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8" w:type="pct"/>
            <w:vAlign w:val="center"/>
          </w:tcPr>
          <w:p w14:paraId="0B25871B">
            <w:pPr>
              <w:keepNext w:val="0"/>
              <w:keepLines w:val="0"/>
              <w:pageBreakBefore w:val="0"/>
              <w:widowControl w:val="0"/>
              <w:numPr>
                <w:ilvl w:val="0"/>
                <w:numId w:val="5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sz w:val="21"/>
                <w:szCs w:val="21"/>
                <w:highlight w:val="none"/>
              </w:rPr>
            </w:pPr>
          </w:p>
        </w:tc>
        <w:tc>
          <w:tcPr>
            <w:tcW w:w="2181" w:type="pct"/>
            <w:vAlign w:val="center"/>
          </w:tcPr>
          <w:p w14:paraId="34BFD17A">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员工宿舍严禁设置在仓库内。</w:t>
            </w:r>
          </w:p>
          <w:p w14:paraId="1D920F6D">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办公室、休息室等严禁设置在甲、乙类仓库内，也不应贴邻。</w:t>
            </w:r>
          </w:p>
          <w:p w14:paraId="1D92994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办公室、休息室设置在丙、丁类仓库内时，应采用耐火极限不低于2.50h的防火隔墙和1.00h的楼板与其他部位分隔，并应设置独立的安全出口。隔墙上需开设相互连通的门时，应采用乙级防火门。</w:t>
            </w:r>
          </w:p>
        </w:tc>
        <w:tc>
          <w:tcPr>
            <w:tcW w:w="734" w:type="pct"/>
            <w:vAlign w:val="center"/>
          </w:tcPr>
          <w:p w14:paraId="2035BC2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sz w:val="21"/>
                <w:szCs w:val="21"/>
                <w:highlight w:val="none"/>
                <w:lang w:val="zh-CN"/>
              </w:rPr>
            </w:pPr>
            <w:r>
              <w:rPr>
                <w:rFonts w:hint="eastAsia" w:ascii="宋体" w:hAnsi="宋体" w:eastAsia="宋体" w:cs="宋体"/>
                <w:color w:val="000000" w:themeColor="text1"/>
                <w:sz w:val="21"/>
                <w:szCs w:val="21"/>
                <w:highlight w:val="none"/>
                <w:lang w:val="zh-CN"/>
              </w:rPr>
              <w:t>GB50016-2014（2018年版）</w:t>
            </w:r>
            <w:r>
              <w:rPr>
                <w:rFonts w:hint="eastAsia" w:ascii="宋体" w:hAnsi="宋体" w:eastAsia="宋体" w:cs="宋体"/>
                <w:color w:val="000000" w:themeColor="text1"/>
                <w:sz w:val="21"/>
                <w:szCs w:val="21"/>
                <w:highlight w:val="none"/>
                <w:lang w:eastAsia="zh-CN"/>
              </w:rPr>
              <w:t>第</w:t>
            </w:r>
            <w:r>
              <w:rPr>
                <w:rFonts w:hint="eastAsia" w:ascii="宋体" w:hAnsi="宋体" w:eastAsia="宋体" w:cs="宋体"/>
                <w:color w:val="000000" w:themeColor="text1"/>
                <w:sz w:val="21"/>
                <w:szCs w:val="21"/>
                <w:highlight w:val="none"/>
              </w:rPr>
              <w:t>3.3.9</w:t>
            </w:r>
            <w:r>
              <w:rPr>
                <w:rFonts w:hint="eastAsia" w:ascii="宋体" w:hAnsi="宋体" w:eastAsia="宋体" w:cs="宋体"/>
                <w:color w:val="000000" w:themeColor="text1"/>
                <w:sz w:val="21"/>
                <w:szCs w:val="21"/>
                <w:highlight w:val="none"/>
                <w:lang w:eastAsia="zh-CN"/>
              </w:rPr>
              <w:t>条</w:t>
            </w:r>
          </w:p>
        </w:tc>
        <w:tc>
          <w:tcPr>
            <w:tcW w:w="1396" w:type="pct"/>
            <w:vAlign w:val="center"/>
          </w:tcPr>
          <w:p w14:paraId="72C6ADA5">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员工宿舍未设置在漂染车间附房、药剂房内。</w:t>
            </w:r>
          </w:p>
          <w:p w14:paraId="161A7C73">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漂染车间附房（乙类仓库）内设置了办公室。</w:t>
            </w:r>
          </w:p>
        </w:tc>
        <w:tc>
          <w:tcPr>
            <w:tcW w:w="379" w:type="pct"/>
            <w:vAlign w:val="center"/>
          </w:tcPr>
          <w:p w14:paraId="2AF033F7">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不符合</w:t>
            </w:r>
          </w:p>
        </w:tc>
      </w:tr>
      <w:tr w14:paraId="55CBE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8" w:type="pct"/>
            <w:vAlign w:val="center"/>
          </w:tcPr>
          <w:p w14:paraId="6C4E258D">
            <w:pPr>
              <w:keepNext w:val="0"/>
              <w:keepLines w:val="0"/>
              <w:pageBreakBefore w:val="0"/>
              <w:widowControl w:val="0"/>
              <w:numPr>
                <w:ilvl w:val="0"/>
                <w:numId w:val="5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sz w:val="21"/>
                <w:szCs w:val="21"/>
                <w:highlight w:val="none"/>
              </w:rPr>
            </w:pPr>
          </w:p>
        </w:tc>
        <w:tc>
          <w:tcPr>
            <w:tcW w:w="2181" w:type="pct"/>
            <w:vAlign w:val="center"/>
          </w:tcPr>
          <w:p w14:paraId="42B5420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甲、乙、丙类液体仓库应设置防止液体流散的设施。遇湿会发生燃烧爆炸的物品仓库应采取防止水浸渍的措施。</w:t>
            </w:r>
          </w:p>
        </w:tc>
        <w:tc>
          <w:tcPr>
            <w:tcW w:w="734" w:type="pct"/>
            <w:vAlign w:val="center"/>
          </w:tcPr>
          <w:p w14:paraId="0C47ED7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sz w:val="21"/>
                <w:szCs w:val="21"/>
                <w:highlight w:val="none"/>
                <w:lang w:val="zh-CN"/>
              </w:rPr>
            </w:pPr>
            <w:r>
              <w:rPr>
                <w:rFonts w:hint="eastAsia" w:ascii="宋体" w:hAnsi="宋体" w:eastAsia="宋体" w:cs="宋体"/>
                <w:color w:val="000000" w:themeColor="text1"/>
                <w:sz w:val="21"/>
                <w:szCs w:val="21"/>
                <w:highlight w:val="none"/>
                <w:lang w:val="zh-CN"/>
              </w:rPr>
              <w:t>GB50016-2014（2018年版）</w:t>
            </w:r>
            <w:r>
              <w:rPr>
                <w:rFonts w:hint="eastAsia" w:ascii="宋体" w:hAnsi="宋体" w:eastAsia="宋体" w:cs="宋体"/>
                <w:color w:val="000000" w:themeColor="text1"/>
                <w:sz w:val="21"/>
                <w:szCs w:val="21"/>
                <w:highlight w:val="none"/>
                <w:lang w:eastAsia="zh-CN"/>
              </w:rPr>
              <w:t>第</w:t>
            </w:r>
            <w:r>
              <w:rPr>
                <w:rFonts w:hint="eastAsia" w:ascii="宋体" w:hAnsi="宋体" w:eastAsia="宋体" w:cs="宋体"/>
                <w:color w:val="000000" w:themeColor="text1"/>
                <w:sz w:val="21"/>
                <w:szCs w:val="21"/>
                <w:highlight w:val="none"/>
              </w:rPr>
              <w:t>3.6.12</w:t>
            </w:r>
            <w:r>
              <w:rPr>
                <w:rFonts w:hint="eastAsia" w:ascii="宋体" w:hAnsi="宋体" w:eastAsia="宋体" w:cs="宋体"/>
                <w:color w:val="000000" w:themeColor="text1"/>
                <w:sz w:val="21"/>
                <w:szCs w:val="21"/>
                <w:highlight w:val="none"/>
                <w:lang w:eastAsia="zh-CN"/>
              </w:rPr>
              <w:t>条</w:t>
            </w:r>
          </w:p>
        </w:tc>
        <w:tc>
          <w:tcPr>
            <w:tcW w:w="1396" w:type="pct"/>
            <w:vAlign w:val="center"/>
          </w:tcPr>
          <w:p w14:paraId="7723D390">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1#隔间内乙酸储存区域设置了防流散围堰。</w:t>
            </w:r>
          </w:p>
        </w:tc>
        <w:tc>
          <w:tcPr>
            <w:tcW w:w="379" w:type="pct"/>
            <w:vAlign w:val="center"/>
          </w:tcPr>
          <w:p w14:paraId="4811DFC2">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符合</w:t>
            </w:r>
          </w:p>
        </w:tc>
      </w:tr>
      <w:tr w14:paraId="3E9F6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8" w:type="pct"/>
            <w:vAlign w:val="center"/>
          </w:tcPr>
          <w:p w14:paraId="6168D9D8">
            <w:pPr>
              <w:keepNext w:val="0"/>
              <w:keepLines w:val="0"/>
              <w:pageBreakBefore w:val="0"/>
              <w:widowControl w:val="0"/>
              <w:numPr>
                <w:ilvl w:val="0"/>
                <w:numId w:val="5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sz w:val="21"/>
                <w:szCs w:val="21"/>
                <w:highlight w:val="none"/>
              </w:rPr>
            </w:pPr>
          </w:p>
        </w:tc>
        <w:tc>
          <w:tcPr>
            <w:tcW w:w="2181" w:type="pct"/>
            <w:vAlign w:val="center"/>
          </w:tcPr>
          <w:p w14:paraId="5B22486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rPr>
              <w:t>厂房的安全出口应分散布置。每个防火分区或一个防火分区的每个楼层，其相邻2个安全出口最近边缘之间的水平距离不应小于5m。</w:t>
            </w:r>
          </w:p>
        </w:tc>
        <w:tc>
          <w:tcPr>
            <w:tcW w:w="734" w:type="pct"/>
            <w:vAlign w:val="center"/>
          </w:tcPr>
          <w:p w14:paraId="013946C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sz w:val="21"/>
                <w:szCs w:val="21"/>
                <w:highlight w:val="none"/>
                <w:lang w:val="zh-CN" w:eastAsia="zh-CN" w:bidi="ar-SA"/>
              </w:rPr>
            </w:pPr>
            <w:r>
              <w:rPr>
                <w:rFonts w:hint="eastAsia" w:ascii="宋体" w:hAnsi="宋体" w:eastAsia="宋体" w:cs="宋体"/>
                <w:color w:val="000000" w:themeColor="text1"/>
                <w:sz w:val="21"/>
                <w:szCs w:val="21"/>
                <w:highlight w:val="none"/>
                <w:lang w:val="zh-CN"/>
              </w:rPr>
              <w:t>GB50016-2014（2018年版）第</w:t>
            </w:r>
            <w:r>
              <w:rPr>
                <w:rFonts w:hint="eastAsia" w:ascii="宋体" w:hAnsi="宋体" w:eastAsia="宋体" w:cs="宋体"/>
                <w:color w:val="000000" w:themeColor="text1"/>
                <w:kern w:val="0"/>
                <w:sz w:val="21"/>
                <w:szCs w:val="21"/>
                <w:highlight w:val="none"/>
                <w:lang w:val="en-US" w:eastAsia="zh-CN"/>
              </w:rPr>
              <w:t>3.7.1</w:t>
            </w:r>
            <w:r>
              <w:rPr>
                <w:rFonts w:hint="eastAsia" w:ascii="宋体" w:hAnsi="宋体" w:eastAsia="宋体" w:cs="宋体"/>
                <w:color w:val="000000" w:themeColor="text1"/>
                <w:sz w:val="21"/>
                <w:szCs w:val="21"/>
                <w:highlight w:val="none"/>
                <w:lang w:val="zh-CN"/>
              </w:rPr>
              <w:t>条</w:t>
            </w:r>
          </w:p>
        </w:tc>
        <w:tc>
          <w:tcPr>
            <w:tcW w:w="1396" w:type="pct"/>
            <w:vAlign w:val="center"/>
          </w:tcPr>
          <w:p w14:paraId="19E2B45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kern w:val="0"/>
                <w:sz w:val="21"/>
                <w:szCs w:val="21"/>
                <w:highlight w:val="none"/>
                <w:lang w:eastAsia="zh-CN"/>
              </w:rPr>
              <w:t>漂染车间</w:t>
            </w:r>
            <w:r>
              <w:rPr>
                <w:rFonts w:hint="eastAsia" w:ascii="宋体" w:hAnsi="宋体" w:eastAsia="宋体" w:cs="宋体"/>
                <w:color w:val="000000" w:themeColor="text1"/>
                <w:kern w:val="0"/>
                <w:sz w:val="21"/>
                <w:szCs w:val="21"/>
                <w:highlight w:val="none"/>
                <w:lang w:val="en-US" w:eastAsia="zh-CN"/>
              </w:rPr>
              <w:t>的安全出口分散布置。危险化学备货库房每个隔间均设有安全出口。</w:t>
            </w:r>
          </w:p>
        </w:tc>
        <w:tc>
          <w:tcPr>
            <w:tcW w:w="379" w:type="pct"/>
            <w:vAlign w:val="center"/>
          </w:tcPr>
          <w:p w14:paraId="1631C50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sz w:val="21"/>
                <w:szCs w:val="21"/>
                <w:highlight w:val="none"/>
                <w:lang w:eastAsia="zh-CN"/>
              </w:rPr>
              <w:t>符合</w:t>
            </w:r>
          </w:p>
        </w:tc>
      </w:tr>
      <w:tr w14:paraId="1726E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8" w:type="pct"/>
            <w:vAlign w:val="center"/>
          </w:tcPr>
          <w:p w14:paraId="33362332">
            <w:pPr>
              <w:keepNext w:val="0"/>
              <w:keepLines w:val="0"/>
              <w:pageBreakBefore w:val="0"/>
              <w:widowControl w:val="0"/>
              <w:numPr>
                <w:ilvl w:val="0"/>
                <w:numId w:val="5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sz w:val="21"/>
                <w:szCs w:val="21"/>
                <w:highlight w:val="none"/>
              </w:rPr>
            </w:pPr>
          </w:p>
        </w:tc>
        <w:tc>
          <w:tcPr>
            <w:tcW w:w="2181" w:type="pct"/>
            <w:vAlign w:val="center"/>
          </w:tcPr>
          <w:p w14:paraId="2C9ED5A1">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厂房内每个防火分区或一个防火分区内的每个楼层，其安全出口的数量应经计算确定，且不应少于2个；当符合下列条件时，可设置1个安全出口：</w:t>
            </w:r>
          </w:p>
          <w:p w14:paraId="78E3617F">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1  甲类厂房，每层建筑面积不大于100m</w:t>
            </w:r>
            <w:r>
              <w:rPr>
                <w:rFonts w:hint="eastAsia" w:ascii="宋体" w:hAnsi="宋体" w:eastAsia="宋体" w:cs="宋体"/>
                <w:color w:val="000000" w:themeColor="text1"/>
                <w:kern w:val="0"/>
                <w:sz w:val="21"/>
                <w:szCs w:val="21"/>
                <w:highlight w:val="none"/>
                <w:vertAlign w:val="superscript"/>
                <w:lang w:val="en-US" w:eastAsia="zh-CN"/>
              </w:rPr>
              <w:t>2</w:t>
            </w:r>
            <w:r>
              <w:rPr>
                <w:rFonts w:hint="eastAsia" w:ascii="宋体" w:hAnsi="宋体" w:eastAsia="宋体" w:cs="宋体"/>
                <w:color w:val="000000" w:themeColor="text1"/>
                <w:kern w:val="0"/>
                <w:sz w:val="21"/>
                <w:szCs w:val="21"/>
                <w:highlight w:val="none"/>
                <w:lang w:val="en-US" w:eastAsia="zh-CN"/>
              </w:rPr>
              <w:t>。且同一时间的作业人数不超过5人；</w:t>
            </w:r>
          </w:p>
          <w:p w14:paraId="2F29E92F">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2  乙类厂房，每层建筑面积不大于150m</w:t>
            </w:r>
            <w:r>
              <w:rPr>
                <w:rFonts w:hint="eastAsia" w:ascii="宋体" w:hAnsi="宋体" w:eastAsia="宋体" w:cs="宋体"/>
                <w:color w:val="000000" w:themeColor="text1"/>
                <w:kern w:val="0"/>
                <w:sz w:val="21"/>
                <w:szCs w:val="21"/>
                <w:highlight w:val="none"/>
                <w:vertAlign w:val="superscript"/>
                <w:lang w:val="en-US" w:eastAsia="zh-CN"/>
              </w:rPr>
              <w:t>2</w:t>
            </w:r>
            <w:r>
              <w:rPr>
                <w:rFonts w:hint="eastAsia" w:ascii="宋体" w:hAnsi="宋体" w:eastAsia="宋体" w:cs="宋体"/>
                <w:color w:val="000000" w:themeColor="text1"/>
                <w:kern w:val="0"/>
                <w:sz w:val="21"/>
                <w:szCs w:val="21"/>
                <w:highlight w:val="none"/>
                <w:lang w:val="en-US" w:eastAsia="zh-CN"/>
              </w:rPr>
              <w:t>，且同一时间的作业人数不超过10人；</w:t>
            </w:r>
          </w:p>
          <w:p w14:paraId="160BA5A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3  丙类厂房，每层建筑面积不大于250m</w:t>
            </w:r>
            <w:r>
              <w:rPr>
                <w:rFonts w:hint="eastAsia" w:ascii="宋体" w:hAnsi="宋体" w:eastAsia="宋体" w:cs="宋体"/>
                <w:color w:val="000000" w:themeColor="text1"/>
                <w:kern w:val="0"/>
                <w:sz w:val="21"/>
                <w:szCs w:val="21"/>
                <w:highlight w:val="none"/>
                <w:vertAlign w:val="superscript"/>
                <w:lang w:val="en-US" w:eastAsia="zh-CN"/>
              </w:rPr>
              <w:t>2</w:t>
            </w:r>
            <w:r>
              <w:rPr>
                <w:rFonts w:hint="eastAsia" w:ascii="宋体" w:hAnsi="宋体" w:eastAsia="宋体" w:cs="宋体"/>
                <w:color w:val="000000" w:themeColor="text1"/>
                <w:kern w:val="0"/>
                <w:sz w:val="21"/>
                <w:szCs w:val="21"/>
                <w:highlight w:val="none"/>
                <w:lang w:val="en-US" w:eastAsia="zh-CN"/>
              </w:rPr>
              <w:t>，且同一时间的作业人数不超过20人；</w:t>
            </w:r>
          </w:p>
          <w:p w14:paraId="474AE864">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4  丁、戊类厂房，每层建筑面积不大于400m</w:t>
            </w:r>
            <w:r>
              <w:rPr>
                <w:rFonts w:hint="eastAsia" w:ascii="宋体" w:hAnsi="宋体" w:eastAsia="宋体" w:cs="宋体"/>
                <w:color w:val="000000" w:themeColor="text1"/>
                <w:kern w:val="0"/>
                <w:sz w:val="21"/>
                <w:szCs w:val="21"/>
                <w:highlight w:val="none"/>
                <w:vertAlign w:val="superscript"/>
                <w:lang w:val="en-US" w:eastAsia="zh-CN"/>
              </w:rPr>
              <w:t>2</w:t>
            </w:r>
            <w:r>
              <w:rPr>
                <w:rFonts w:hint="eastAsia" w:ascii="宋体" w:hAnsi="宋体" w:eastAsia="宋体" w:cs="宋体"/>
                <w:color w:val="000000" w:themeColor="text1"/>
                <w:kern w:val="0"/>
                <w:sz w:val="21"/>
                <w:szCs w:val="21"/>
                <w:highlight w:val="none"/>
                <w:lang w:val="en-US" w:eastAsia="zh-CN"/>
              </w:rPr>
              <w:t>，且同一时间的作业人数不超过30人；</w:t>
            </w:r>
          </w:p>
          <w:p w14:paraId="0F4BA62E">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5  地下或半地下厂房（包括地下或半地下室），每层建筑面积不大于50m</w:t>
            </w:r>
            <w:r>
              <w:rPr>
                <w:rFonts w:hint="eastAsia" w:ascii="宋体" w:hAnsi="宋体" w:eastAsia="宋体" w:cs="宋体"/>
                <w:color w:val="000000" w:themeColor="text1"/>
                <w:kern w:val="0"/>
                <w:sz w:val="21"/>
                <w:szCs w:val="21"/>
                <w:highlight w:val="none"/>
                <w:vertAlign w:val="superscript"/>
                <w:lang w:val="en-US" w:eastAsia="zh-CN"/>
              </w:rPr>
              <w:t>2</w:t>
            </w:r>
            <w:r>
              <w:rPr>
                <w:rFonts w:hint="eastAsia" w:ascii="宋体" w:hAnsi="宋体" w:eastAsia="宋体" w:cs="宋体"/>
                <w:color w:val="000000" w:themeColor="text1"/>
                <w:kern w:val="0"/>
                <w:sz w:val="21"/>
                <w:szCs w:val="21"/>
                <w:highlight w:val="none"/>
                <w:lang w:val="en-US" w:eastAsia="zh-CN"/>
              </w:rPr>
              <w:t>，且同一时间的作业人数不超过15人。</w:t>
            </w:r>
          </w:p>
        </w:tc>
        <w:tc>
          <w:tcPr>
            <w:tcW w:w="734" w:type="pct"/>
            <w:vAlign w:val="center"/>
          </w:tcPr>
          <w:p w14:paraId="36E7EF1D">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zh-CN"/>
              </w:rPr>
              <w:t>GB50016-2014（2018年版）第</w:t>
            </w:r>
            <w:r>
              <w:rPr>
                <w:rFonts w:hint="eastAsia" w:ascii="宋体" w:hAnsi="宋体" w:eastAsia="宋体" w:cs="宋体"/>
                <w:color w:val="000000" w:themeColor="text1"/>
                <w:kern w:val="0"/>
                <w:sz w:val="21"/>
                <w:szCs w:val="21"/>
                <w:highlight w:val="none"/>
                <w:lang w:val="en-US" w:eastAsia="zh-CN"/>
              </w:rPr>
              <w:t>3.7.2</w:t>
            </w:r>
            <w:r>
              <w:rPr>
                <w:rFonts w:hint="eastAsia" w:ascii="宋体" w:hAnsi="宋体" w:eastAsia="宋体" w:cs="宋体"/>
                <w:color w:val="000000" w:themeColor="text1"/>
                <w:sz w:val="21"/>
                <w:szCs w:val="21"/>
                <w:highlight w:val="none"/>
                <w:lang w:val="zh-CN"/>
              </w:rPr>
              <w:t>条</w:t>
            </w:r>
          </w:p>
        </w:tc>
        <w:tc>
          <w:tcPr>
            <w:tcW w:w="1396" w:type="pct"/>
            <w:vAlign w:val="center"/>
          </w:tcPr>
          <w:p w14:paraId="5CF54A5D">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kern w:val="0"/>
                <w:sz w:val="21"/>
                <w:szCs w:val="21"/>
                <w:highlight w:val="none"/>
                <w:lang w:eastAsia="zh-CN"/>
              </w:rPr>
              <w:t>漂染车间</w:t>
            </w:r>
            <w:r>
              <w:rPr>
                <w:rFonts w:hint="eastAsia" w:ascii="宋体" w:hAnsi="宋体" w:eastAsia="宋体" w:cs="宋体"/>
                <w:color w:val="000000" w:themeColor="text1"/>
                <w:kern w:val="0"/>
                <w:sz w:val="21"/>
                <w:szCs w:val="21"/>
                <w:highlight w:val="none"/>
                <w:lang w:val="en-US" w:eastAsia="zh-CN"/>
              </w:rPr>
              <w:t>8个安全出口。</w:t>
            </w:r>
          </w:p>
        </w:tc>
        <w:tc>
          <w:tcPr>
            <w:tcW w:w="379" w:type="pct"/>
            <w:vAlign w:val="center"/>
          </w:tcPr>
          <w:p w14:paraId="732DD62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14189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8" w:type="pct"/>
            <w:vAlign w:val="center"/>
          </w:tcPr>
          <w:p w14:paraId="2929054B">
            <w:pPr>
              <w:keepNext w:val="0"/>
              <w:keepLines w:val="0"/>
              <w:pageBreakBefore w:val="0"/>
              <w:widowControl w:val="0"/>
              <w:numPr>
                <w:ilvl w:val="0"/>
                <w:numId w:val="5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sz w:val="21"/>
                <w:szCs w:val="21"/>
                <w:highlight w:val="none"/>
              </w:rPr>
            </w:pPr>
          </w:p>
        </w:tc>
        <w:tc>
          <w:tcPr>
            <w:tcW w:w="2181" w:type="pct"/>
            <w:vAlign w:val="center"/>
          </w:tcPr>
          <w:p w14:paraId="2B7F3F8B">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rPr>
              <w:t>厂房内任一点至最近安全出口的直线距离不应大于表3.7.4的规定。</w:t>
            </w:r>
          </w:p>
        </w:tc>
        <w:tc>
          <w:tcPr>
            <w:tcW w:w="734" w:type="pct"/>
            <w:vAlign w:val="center"/>
          </w:tcPr>
          <w:p w14:paraId="4C45007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zh-CN"/>
              </w:rPr>
              <w:t>GB50016-2014（2018年版）第</w:t>
            </w:r>
            <w:r>
              <w:rPr>
                <w:rFonts w:hint="eastAsia" w:ascii="宋体" w:hAnsi="宋体" w:eastAsia="宋体" w:cs="宋体"/>
                <w:color w:val="000000" w:themeColor="text1"/>
                <w:kern w:val="0"/>
                <w:sz w:val="21"/>
                <w:szCs w:val="21"/>
                <w:highlight w:val="none"/>
                <w:lang w:val="en-US" w:eastAsia="zh-CN"/>
              </w:rPr>
              <w:t>3.7.4</w:t>
            </w:r>
            <w:r>
              <w:rPr>
                <w:rFonts w:hint="eastAsia" w:ascii="宋体" w:hAnsi="宋体" w:eastAsia="宋体" w:cs="宋体"/>
                <w:color w:val="000000" w:themeColor="text1"/>
                <w:sz w:val="21"/>
                <w:szCs w:val="21"/>
                <w:highlight w:val="none"/>
                <w:lang w:val="zh-CN"/>
              </w:rPr>
              <w:t>条</w:t>
            </w:r>
          </w:p>
        </w:tc>
        <w:tc>
          <w:tcPr>
            <w:tcW w:w="1396" w:type="pct"/>
            <w:vAlign w:val="center"/>
          </w:tcPr>
          <w:p w14:paraId="3D551A57">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kern w:val="0"/>
                <w:sz w:val="21"/>
                <w:szCs w:val="21"/>
                <w:highlight w:val="none"/>
                <w:lang w:eastAsia="zh-CN"/>
              </w:rPr>
              <w:t>漂染车间</w:t>
            </w:r>
            <w:r>
              <w:rPr>
                <w:rFonts w:hint="eastAsia" w:ascii="宋体" w:hAnsi="宋体" w:eastAsia="宋体" w:cs="宋体"/>
                <w:color w:val="000000" w:themeColor="text1"/>
                <w:kern w:val="0"/>
                <w:sz w:val="21"/>
                <w:szCs w:val="21"/>
                <w:highlight w:val="none"/>
                <w:lang w:val="en-US" w:eastAsia="zh-CN"/>
              </w:rPr>
              <w:t>内任一点至最近安全出口的直线距离不大于80m。</w:t>
            </w:r>
          </w:p>
        </w:tc>
        <w:tc>
          <w:tcPr>
            <w:tcW w:w="379" w:type="pct"/>
            <w:vAlign w:val="center"/>
          </w:tcPr>
          <w:p w14:paraId="6E2BA3D4">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3F64B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8" w:type="pct"/>
            <w:vAlign w:val="center"/>
          </w:tcPr>
          <w:p w14:paraId="7F85E719">
            <w:pPr>
              <w:keepNext w:val="0"/>
              <w:keepLines w:val="0"/>
              <w:pageBreakBefore w:val="0"/>
              <w:widowControl w:val="0"/>
              <w:numPr>
                <w:ilvl w:val="0"/>
                <w:numId w:val="5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sz w:val="21"/>
                <w:szCs w:val="21"/>
                <w:highlight w:val="none"/>
              </w:rPr>
            </w:pPr>
          </w:p>
        </w:tc>
        <w:tc>
          <w:tcPr>
            <w:tcW w:w="2181" w:type="pct"/>
            <w:vAlign w:val="center"/>
          </w:tcPr>
          <w:p w14:paraId="42E29AC5">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rPr>
              <w:t>厂房内疏散楼梯、走道、门的各自总净宽度，应根据疏散人数按每100人的最小疏散净宽度不小于表3.7.5的规定计算确定。但疏散楼梯的最小净宽度不宜小于1.10m，疏散走道的最小净宽度不宜小于1.40m，门的最小净宽度不宜小于0.90m。当每层疏散人数不相等时，疏散楼梯的总净宽度应分层计算，下层楼梯总净宽度应按该层及以上疏散人数最多一层的疏散人数计算。</w:t>
            </w:r>
          </w:p>
        </w:tc>
        <w:tc>
          <w:tcPr>
            <w:tcW w:w="734" w:type="pct"/>
            <w:vAlign w:val="center"/>
          </w:tcPr>
          <w:p w14:paraId="2EB7B252">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zh-CN"/>
              </w:rPr>
              <w:t>GB50016-2014（2018年版）第</w:t>
            </w:r>
            <w:r>
              <w:rPr>
                <w:rFonts w:hint="eastAsia" w:ascii="宋体" w:hAnsi="宋体" w:eastAsia="宋体" w:cs="宋体"/>
                <w:color w:val="000000" w:themeColor="text1"/>
                <w:kern w:val="0"/>
                <w:sz w:val="21"/>
                <w:szCs w:val="21"/>
                <w:highlight w:val="none"/>
                <w:lang w:val="en-US" w:eastAsia="zh-CN"/>
              </w:rPr>
              <w:t>3.7.5</w:t>
            </w:r>
            <w:r>
              <w:rPr>
                <w:rFonts w:hint="eastAsia" w:ascii="宋体" w:hAnsi="宋体" w:eastAsia="宋体" w:cs="宋体"/>
                <w:color w:val="000000" w:themeColor="text1"/>
                <w:sz w:val="21"/>
                <w:szCs w:val="21"/>
                <w:highlight w:val="none"/>
                <w:lang w:val="zh-CN"/>
              </w:rPr>
              <w:t>条</w:t>
            </w:r>
          </w:p>
        </w:tc>
        <w:tc>
          <w:tcPr>
            <w:tcW w:w="1396" w:type="pct"/>
            <w:vAlign w:val="center"/>
          </w:tcPr>
          <w:p w14:paraId="73FC6722">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平台CD、平台F</w:t>
            </w:r>
            <w:r>
              <w:rPr>
                <w:rFonts w:hint="eastAsia" w:ascii="宋体" w:hAnsi="宋体" w:eastAsia="宋体" w:cs="宋体"/>
                <w:color w:val="000000" w:themeColor="text1"/>
                <w:kern w:val="0"/>
                <w:sz w:val="21"/>
                <w:szCs w:val="21"/>
                <w:highlight w:val="none"/>
                <w:lang w:val="en-US" w:eastAsia="zh-CN"/>
              </w:rPr>
              <w:t>疏散楼梯净宽度1.1m、走道净宽度1.4m。</w:t>
            </w:r>
          </w:p>
        </w:tc>
        <w:tc>
          <w:tcPr>
            <w:tcW w:w="379" w:type="pct"/>
            <w:vAlign w:val="center"/>
          </w:tcPr>
          <w:p w14:paraId="432295F3">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3739F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8" w:type="pct"/>
            <w:vAlign w:val="center"/>
          </w:tcPr>
          <w:p w14:paraId="7CA1A4D9">
            <w:pPr>
              <w:keepNext w:val="0"/>
              <w:keepLines w:val="0"/>
              <w:pageBreakBefore w:val="0"/>
              <w:widowControl w:val="0"/>
              <w:numPr>
                <w:ilvl w:val="0"/>
                <w:numId w:val="5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sz w:val="21"/>
                <w:szCs w:val="21"/>
                <w:highlight w:val="none"/>
              </w:rPr>
            </w:pPr>
          </w:p>
        </w:tc>
        <w:tc>
          <w:tcPr>
            <w:tcW w:w="2181" w:type="pct"/>
            <w:vAlign w:val="center"/>
          </w:tcPr>
          <w:p w14:paraId="56368DAE">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仓库的安全出口应分散布置。每个防火分区或一个防火分区的每个楼层，其相邻2个安全出口最近边缘之间的水平距离不应小于5m。</w:t>
            </w:r>
          </w:p>
        </w:tc>
        <w:tc>
          <w:tcPr>
            <w:tcW w:w="734" w:type="pct"/>
            <w:vAlign w:val="center"/>
          </w:tcPr>
          <w:p w14:paraId="6E9EA336">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000000" w:themeColor="text1"/>
                <w:sz w:val="21"/>
                <w:szCs w:val="21"/>
                <w:highlight w:val="none"/>
                <w:lang w:val="zh-CN"/>
              </w:rPr>
            </w:pPr>
            <w:r>
              <w:rPr>
                <w:rFonts w:hint="eastAsia" w:ascii="宋体" w:hAnsi="宋体" w:eastAsia="宋体" w:cs="宋体"/>
                <w:color w:val="000000" w:themeColor="text1"/>
                <w:sz w:val="21"/>
                <w:szCs w:val="21"/>
                <w:highlight w:val="none"/>
                <w:lang w:val="zh-CN"/>
              </w:rPr>
              <w:t>GB50016-2014（2018年版）第</w:t>
            </w:r>
            <w:r>
              <w:rPr>
                <w:rFonts w:hint="eastAsia" w:ascii="宋体" w:hAnsi="宋体" w:eastAsia="宋体" w:cs="宋体"/>
                <w:color w:val="000000" w:themeColor="text1"/>
                <w:kern w:val="0"/>
                <w:sz w:val="21"/>
                <w:szCs w:val="21"/>
                <w:highlight w:val="none"/>
                <w:lang w:val="en-US" w:eastAsia="zh-CN"/>
              </w:rPr>
              <w:t>3.8.1</w:t>
            </w:r>
            <w:r>
              <w:rPr>
                <w:rFonts w:hint="eastAsia" w:ascii="宋体" w:hAnsi="宋体" w:eastAsia="宋体" w:cs="宋体"/>
                <w:color w:val="000000" w:themeColor="text1"/>
                <w:sz w:val="21"/>
                <w:szCs w:val="21"/>
                <w:highlight w:val="none"/>
                <w:lang w:val="zh-CN"/>
              </w:rPr>
              <w:t>条</w:t>
            </w:r>
          </w:p>
        </w:tc>
        <w:tc>
          <w:tcPr>
            <w:tcW w:w="1396" w:type="pct"/>
            <w:vAlign w:val="center"/>
          </w:tcPr>
          <w:p w14:paraId="1F4A8494">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废水处理站</w:t>
            </w:r>
            <w:r>
              <w:rPr>
                <w:rFonts w:hint="eastAsia" w:ascii="宋体" w:hAnsi="宋体" w:eastAsia="宋体" w:cs="宋体"/>
                <w:color w:val="000000" w:themeColor="text1"/>
                <w:kern w:val="0"/>
                <w:sz w:val="21"/>
                <w:szCs w:val="21"/>
                <w:highlight w:val="none"/>
                <w:lang w:eastAsia="zh-CN"/>
              </w:rPr>
              <w:t>药剂房</w:t>
            </w:r>
            <w:r>
              <w:rPr>
                <w:rFonts w:hint="eastAsia" w:ascii="宋体" w:hAnsi="宋体" w:eastAsia="宋体" w:cs="宋体"/>
                <w:color w:val="000000" w:themeColor="text1"/>
                <w:kern w:val="0"/>
                <w:sz w:val="21"/>
                <w:szCs w:val="21"/>
                <w:highlight w:val="none"/>
                <w:lang w:val="en-US" w:eastAsia="zh-CN"/>
              </w:rPr>
              <w:t>的安全出口分散布置。</w:t>
            </w:r>
          </w:p>
        </w:tc>
        <w:tc>
          <w:tcPr>
            <w:tcW w:w="379" w:type="pct"/>
            <w:vAlign w:val="center"/>
          </w:tcPr>
          <w:p w14:paraId="47D77682">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2C32B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8" w:type="pct"/>
            <w:vAlign w:val="center"/>
          </w:tcPr>
          <w:p w14:paraId="3CAE6829">
            <w:pPr>
              <w:keepNext w:val="0"/>
              <w:keepLines w:val="0"/>
              <w:pageBreakBefore w:val="0"/>
              <w:widowControl w:val="0"/>
              <w:numPr>
                <w:ilvl w:val="0"/>
                <w:numId w:val="5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sz w:val="21"/>
                <w:szCs w:val="21"/>
                <w:highlight w:val="none"/>
              </w:rPr>
            </w:pPr>
          </w:p>
        </w:tc>
        <w:tc>
          <w:tcPr>
            <w:tcW w:w="2181" w:type="pct"/>
            <w:vAlign w:val="center"/>
          </w:tcPr>
          <w:p w14:paraId="6AC8969E">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sz w:val="21"/>
                <w:szCs w:val="21"/>
                <w:highlight w:val="none"/>
              </w:rPr>
              <w:t>每座仓库的安全出口不应少于2个，当一座仓库的占地面积不大于300m</w:t>
            </w:r>
            <w:r>
              <w:rPr>
                <w:rFonts w:hint="eastAsia" w:ascii="宋体" w:hAnsi="宋体" w:eastAsia="宋体" w:cs="宋体"/>
                <w:color w:val="000000" w:themeColor="text1"/>
                <w:sz w:val="21"/>
                <w:szCs w:val="21"/>
                <w:highlight w:val="none"/>
                <w:vertAlign w:val="superscript"/>
              </w:rPr>
              <w:t>2</w:t>
            </w:r>
            <w:r>
              <w:rPr>
                <w:rFonts w:hint="eastAsia" w:ascii="宋体" w:hAnsi="宋体" w:eastAsia="宋体" w:cs="宋体"/>
                <w:color w:val="000000" w:themeColor="text1"/>
                <w:sz w:val="21"/>
                <w:szCs w:val="21"/>
                <w:highlight w:val="none"/>
              </w:rPr>
              <w:t>时，可设置1个安全出口。仓库内每个防火分区通向疏散走道、楼梯或室外的出口不宜少于2个，当防火分区的建筑面积不大于100m</w:t>
            </w:r>
            <w:r>
              <w:rPr>
                <w:rFonts w:hint="eastAsia" w:ascii="宋体" w:hAnsi="宋体" w:eastAsia="宋体" w:cs="宋体"/>
                <w:color w:val="000000" w:themeColor="text1"/>
                <w:sz w:val="21"/>
                <w:szCs w:val="21"/>
                <w:highlight w:val="none"/>
                <w:vertAlign w:val="superscript"/>
              </w:rPr>
              <w:t>2</w:t>
            </w:r>
            <w:r>
              <w:rPr>
                <w:rFonts w:hint="eastAsia" w:ascii="宋体" w:hAnsi="宋体" w:eastAsia="宋体" w:cs="宋体"/>
                <w:color w:val="000000" w:themeColor="text1"/>
                <w:sz w:val="21"/>
                <w:szCs w:val="21"/>
                <w:highlight w:val="none"/>
              </w:rPr>
              <w:t>时，可设置1个出口。通向疏散走道或楼梯的门应为乙级防火门。</w:t>
            </w:r>
          </w:p>
        </w:tc>
        <w:tc>
          <w:tcPr>
            <w:tcW w:w="734" w:type="pct"/>
            <w:vAlign w:val="center"/>
          </w:tcPr>
          <w:p w14:paraId="7F5EAB3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zh-CN"/>
              </w:rPr>
              <w:t>GB50016-2014（2018年版）</w:t>
            </w:r>
            <w:r>
              <w:rPr>
                <w:rFonts w:hint="eastAsia" w:ascii="宋体" w:hAnsi="宋体" w:eastAsia="宋体" w:cs="宋体"/>
                <w:color w:val="000000" w:themeColor="text1"/>
                <w:sz w:val="21"/>
                <w:szCs w:val="21"/>
                <w:highlight w:val="none"/>
                <w:lang w:eastAsia="zh-CN"/>
              </w:rPr>
              <w:t>第</w:t>
            </w:r>
            <w:r>
              <w:rPr>
                <w:rFonts w:hint="eastAsia" w:ascii="宋体" w:hAnsi="宋体" w:eastAsia="宋体" w:cs="宋体"/>
                <w:color w:val="000000" w:themeColor="text1"/>
                <w:sz w:val="21"/>
                <w:szCs w:val="21"/>
                <w:highlight w:val="none"/>
              </w:rPr>
              <w:t>3.8.2</w:t>
            </w:r>
            <w:r>
              <w:rPr>
                <w:rFonts w:hint="eastAsia" w:ascii="宋体" w:hAnsi="宋体" w:eastAsia="宋体" w:cs="宋体"/>
                <w:color w:val="000000" w:themeColor="text1"/>
                <w:sz w:val="21"/>
                <w:szCs w:val="21"/>
                <w:highlight w:val="none"/>
                <w:lang w:eastAsia="zh-CN"/>
              </w:rPr>
              <w:t>条</w:t>
            </w:r>
          </w:p>
        </w:tc>
        <w:tc>
          <w:tcPr>
            <w:tcW w:w="1396" w:type="pct"/>
            <w:vAlign w:val="center"/>
          </w:tcPr>
          <w:p w14:paraId="03DB23E5">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危险化学备货库房每个隔间建筑面积不大于100m</w:t>
            </w:r>
            <w:r>
              <w:rPr>
                <w:rFonts w:hint="eastAsia" w:ascii="宋体" w:hAnsi="宋体" w:eastAsia="宋体" w:cs="宋体"/>
                <w:color w:val="000000" w:themeColor="text1"/>
                <w:kern w:val="0"/>
                <w:sz w:val="21"/>
                <w:szCs w:val="21"/>
                <w:highlight w:val="none"/>
                <w:vertAlign w:val="superscript"/>
                <w:lang w:val="en-US" w:eastAsia="zh-CN"/>
              </w:rPr>
              <w:t>2</w:t>
            </w:r>
            <w:r>
              <w:rPr>
                <w:rFonts w:hint="eastAsia" w:ascii="宋体" w:hAnsi="宋体" w:eastAsia="宋体" w:cs="宋体"/>
                <w:color w:val="000000" w:themeColor="text1"/>
                <w:kern w:val="0"/>
                <w:sz w:val="21"/>
                <w:szCs w:val="21"/>
                <w:highlight w:val="none"/>
                <w:vertAlign w:val="baseline"/>
                <w:lang w:val="en-US" w:eastAsia="zh-CN"/>
              </w:rPr>
              <w:t>，</w:t>
            </w:r>
            <w:r>
              <w:rPr>
                <w:rFonts w:hint="eastAsia" w:ascii="宋体" w:hAnsi="宋体" w:eastAsia="宋体" w:cs="宋体"/>
                <w:color w:val="000000" w:themeColor="text1"/>
                <w:kern w:val="0"/>
                <w:sz w:val="21"/>
                <w:szCs w:val="21"/>
                <w:highlight w:val="none"/>
                <w:lang w:val="en-US" w:eastAsia="zh-CN"/>
              </w:rPr>
              <w:t>均设有安全出口。</w:t>
            </w:r>
          </w:p>
          <w:p w14:paraId="52A724A1">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rPr>
              <w:t>废水处理站</w:t>
            </w:r>
            <w:r>
              <w:rPr>
                <w:rFonts w:hint="eastAsia" w:ascii="宋体" w:hAnsi="宋体" w:eastAsia="宋体" w:cs="宋体"/>
                <w:color w:val="000000" w:themeColor="text1"/>
                <w:kern w:val="0"/>
                <w:sz w:val="21"/>
                <w:szCs w:val="21"/>
                <w:highlight w:val="none"/>
                <w:lang w:val="en-US" w:eastAsia="zh-CN"/>
              </w:rPr>
              <w:t>药剂房占地面积84</w:t>
            </w:r>
            <w:r>
              <w:rPr>
                <w:rFonts w:hint="eastAsia" w:ascii="宋体" w:hAnsi="宋体" w:eastAsia="宋体" w:cs="宋体"/>
                <w:color w:val="000000" w:themeColor="text1"/>
                <w:sz w:val="21"/>
                <w:szCs w:val="21"/>
                <w:highlight w:val="none"/>
              </w:rPr>
              <w:t>m</w:t>
            </w:r>
            <w:r>
              <w:rPr>
                <w:rFonts w:hint="eastAsia" w:ascii="宋体" w:hAnsi="宋体" w:eastAsia="宋体" w:cs="宋体"/>
                <w:color w:val="000000" w:themeColor="text1"/>
                <w:sz w:val="21"/>
                <w:szCs w:val="21"/>
                <w:highlight w:val="none"/>
                <w:vertAlign w:val="superscript"/>
              </w:rPr>
              <w:t>2</w:t>
            </w:r>
            <w:r>
              <w:rPr>
                <w:rFonts w:hint="eastAsia" w:ascii="宋体" w:hAnsi="宋体" w:eastAsia="宋体" w:cs="宋体"/>
                <w:color w:val="000000" w:themeColor="text1"/>
                <w:sz w:val="21"/>
                <w:szCs w:val="21"/>
                <w:highlight w:val="none"/>
              </w:rPr>
              <w:t>，设置</w:t>
            </w:r>
            <w:r>
              <w:rPr>
                <w:rFonts w:hint="eastAsia" w:ascii="宋体" w:hAnsi="宋体" w:eastAsia="宋体" w:cs="宋体"/>
                <w:color w:val="000000" w:themeColor="text1"/>
                <w:sz w:val="21"/>
                <w:szCs w:val="21"/>
                <w:highlight w:val="none"/>
                <w:lang w:eastAsia="zh-CN"/>
              </w:rPr>
              <w:t>了</w:t>
            </w:r>
            <w:r>
              <w:rPr>
                <w:rFonts w:hint="eastAsia" w:ascii="宋体" w:hAnsi="宋体" w:eastAsia="宋体" w:cs="宋体"/>
                <w:color w:val="000000" w:themeColor="text1"/>
                <w:sz w:val="21"/>
                <w:szCs w:val="21"/>
                <w:highlight w:val="none"/>
                <w:lang w:val="en-US" w:eastAsia="zh-CN"/>
              </w:rPr>
              <w:t>2</w:t>
            </w:r>
            <w:r>
              <w:rPr>
                <w:rFonts w:hint="eastAsia" w:ascii="宋体" w:hAnsi="宋体" w:eastAsia="宋体" w:cs="宋体"/>
                <w:color w:val="000000" w:themeColor="text1"/>
                <w:sz w:val="21"/>
                <w:szCs w:val="21"/>
                <w:highlight w:val="none"/>
              </w:rPr>
              <w:t>个安全出口。</w:t>
            </w:r>
          </w:p>
        </w:tc>
        <w:tc>
          <w:tcPr>
            <w:tcW w:w="379" w:type="pct"/>
            <w:vAlign w:val="center"/>
          </w:tcPr>
          <w:p w14:paraId="63703802">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bl>
    <w:p w14:paraId="789BC0C2">
      <w:pPr>
        <w:keepNext w:val="0"/>
        <w:keepLines w:val="0"/>
        <w:pageBreakBefore w:val="0"/>
        <w:widowControl w:val="0"/>
        <w:numPr>
          <w:ilvl w:val="255"/>
          <w:numId w:val="0"/>
        </w:numPr>
        <w:kinsoku/>
        <w:wordWrap/>
        <w:overflowPunct/>
        <w:topLinePunct w:val="0"/>
        <w:autoSpaceDE/>
        <w:autoSpaceDN/>
        <w:bidi w:val="0"/>
        <w:adjustRightInd w:val="0"/>
        <w:snapToGrid w:val="0"/>
        <w:spacing w:before="219" w:beforeLines="50" w:line="360" w:lineRule="auto"/>
        <w:ind w:firstLine="560" w:firstLineChars="200"/>
        <w:jc w:val="left"/>
        <w:textAlignment w:val="auto"/>
        <w:rPr>
          <w:rFonts w:hint="eastAsia" w:ascii="宋体" w:hAnsi="宋体" w:eastAsia="宋体" w:cs="宋体"/>
          <w:b w:val="0"/>
          <w:bCs/>
          <w:color w:val="000000" w:themeColor="text1"/>
          <w:sz w:val="28"/>
          <w:szCs w:val="28"/>
          <w:highlight w:val="none"/>
        </w:rPr>
      </w:pPr>
      <w:r>
        <w:rPr>
          <w:rFonts w:hint="eastAsia" w:ascii="宋体" w:hAnsi="宋体" w:eastAsia="宋体" w:cs="宋体"/>
          <w:b w:val="0"/>
          <w:bCs/>
          <w:color w:val="000000" w:themeColor="text1"/>
          <w:sz w:val="28"/>
          <w:szCs w:val="28"/>
          <w:highlight w:val="none"/>
        </w:rPr>
        <w:t>依据《建筑设计防火规范》GB50016-2014（2018年版）检查</w:t>
      </w:r>
      <w:r>
        <w:rPr>
          <w:rFonts w:hint="eastAsia" w:ascii="宋体" w:hAnsi="宋体" w:eastAsia="宋体" w:cs="宋体"/>
          <w:b w:val="0"/>
          <w:bCs/>
          <w:color w:val="000000" w:themeColor="text1"/>
          <w:sz w:val="28"/>
          <w:szCs w:val="28"/>
          <w:highlight w:val="none"/>
          <w:lang w:eastAsia="zh-CN"/>
        </w:rPr>
        <w:t>本项目</w:t>
      </w:r>
      <w:r>
        <w:rPr>
          <w:rFonts w:hint="eastAsia" w:ascii="宋体" w:hAnsi="宋体" w:eastAsia="宋体" w:cs="宋体"/>
          <w:b w:val="0"/>
          <w:bCs/>
          <w:color w:val="000000" w:themeColor="text1"/>
          <w:kern w:val="0"/>
          <w:sz w:val="28"/>
          <w:szCs w:val="28"/>
          <w:highlight w:val="none"/>
          <w:lang w:eastAsia="zh-CN"/>
        </w:rPr>
        <w:t>建（构）筑物</w:t>
      </w:r>
      <w:r>
        <w:rPr>
          <w:rFonts w:hint="eastAsia" w:ascii="宋体" w:hAnsi="宋体" w:eastAsia="宋体" w:cs="宋体"/>
          <w:b w:val="0"/>
          <w:bCs/>
          <w:color w:val="000000" w:themeColor="text1"/>
          <w:sz w:val="28"/>
          <w:szCs w:val="28"/>
          <w:highlight w:val="none"/>
          <w:lang w:eastAsia="zh-CN"/>
        </w:rPr>
        <w:t>防火间距情况</w:t>
      </w:r>
      <w:r>
        <w:rPr>
          <w:rFonts w:hint="eastAsia" w:ascii="宋体" w:hAnsi="宋体" w:eastAsia="宋体" w:cs="宋体"/>
          <w:b w:val="0"/>
          <w:bCs/>
          <w:color w:val="000000" w:themeColor="text1"/>
          <w:sz w:val="28"/>
          <w:szCs w:val="28"/>
          <w:highlight w:val="none"/>
        </w:rPr>
        <w:t>，检查情况见下表。</w:t>
      </w:r>
    </w:p>
    <w:p w14:paraId="0BCBCDAB">
      <w:pPr>
        <w:keepNext w:val="0"/>
        <w:keepLines w:val="0"/>
        <w:pageBreakBefore w:val="0"/>
        <w:widowControl w:val="0"/>
        <w:numPr>
          <w:ilvl w:val="-1"/>
          <w:numId w:val="0"/>
        </w:numPr>
        <w:kinsoku/>
        <w:wordWrap/>
        <w:topLinePunct w:val="0"/>
        <w:bidi w:val="0"/>
        <w:adjustRightInd w:val="0"/>
        <w:snapToGrid w:val="0"/>
        <w:spacing w:before="0" w:beforeLines="-2147483648" w:line="360" w:lineRule="auto"/>
        <w:jc w:val="center"/>
        <w:rPr>
          <w:rFonts w:hint="eastAsia" w:ascii="黑体" w:hAnsi="黑体" w:eastAsia="黑体"/>
          <w:b/>
          <w:bCs/>
          <w:color w:val="000000" w:themeColor="text1"/>
          <w:kern w:val="0"/>
          <w:sz w:val="24"/>
          <w:highlight w:val="none"/>
        </w:rPr>
      </w:pPr>
      <w:r>
        <w:rPr>
          <w:rFonts w:hint="eastAsia" w:ascii="黑体" w:hAnsi="黑体" w:eastAsia="黑体"/>
          <w:b/>
          <w:bCs/>
          <w:color w:val="000000" w:themeColor="text1"/>
          <w:sz w:val="24"/>
          <w:szCs w:val="24"/>
          <w:highlight w:val="none"/>
          <w:lang w:val="en-US" w:eastAsia="zh-CN"/>
        </w:rPr>
        <w:t xml:space="preserve">表5.1-3 </w:t>
      </w:r>
      <w:r>
        <w:rPr>
          <w:rFonts w:hint="eastAsia" w:ascii="黑体" w:hAnsi="黑体" w:eastAsia="黑体"/>
          <w:b/>
          <w:bCs/>
          <w:color w:val="000000" w:themeColor="text1"/>
          <w:kern w:val="0"/>
          <w:sz w:val="24"/>
          <w:highlight w:val="none"/>
          <w:lang w:eastAsia="zh-CN"/>
        </w:rPr>
        <w:t>涉及危化品建（构）筑物防火间距情况</w:t>
      </w:r>
      <w:r>
        <w:rPr>
          <w:rFonts w:hint="eastAsia" w:ascii="黑体" w:hAnsi="黑体" w:eastAsia="黑体"/>
          <w:b/>
          <w:bCs/>
          <w:color w:val="000000" w:themeColor="text1"/>
          <w:kern w:val="0"/>
          <w:sz w:val="24"/>
          <w:highlight w:val="none"/>
        </w:rPr>
        <w:t>表</w:t>
      </w:r>
    </w:p>
    <w:tbl>
      <w:tblPr>
        <w:tblStyle w:val="6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582"/>
        <w:gridCol w:w="780"/>
        <w:gridCol w:w="1987"/>
        <w:gridCol w:w="961"/>
        <w:gridCol w:w="2026"/>
        <w:gridCol w:w="983"/>
        <w:gridCol w:w="647"/>
      </w:tblGrid>
      <w:tr w14:paraId="0E0CD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27" w:type="pct"/>
            <w:vAlign w:val="center"/>
          </w:tcPr>
          <w:p w14:paraId="4065C850">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bCs w:val="0"/>
                <w:color w:val="000000" w:themeColor="text1"/>
                <w:kern w:val="0"/>
                <w:sz w:val="21"/>
                <w:szCs w:val="21"/>
                <w:highlight w:val="none"/>
                <w:lang w:eastAsia="zh-CN"/>
              </w:rPr>
            </w:pPr>
            <w:r>
              <w:rPr>
                <w:rFonts w:hint="eastAsia" w:ascii="宋体" w:hAnsi="宋体" w:eastAsia="宋体" w:cs="宋体"/>
                <w:b/>
                <w:bCs w:val="0"/>
                <w:color w:val="000000" w:themeColor="text1"/>
                <w:kern w:val="0"/>
                <w:sz w:val="21"/>
                <w:szCs w:val="21"/>
                <w:highlight w:val="none"/>
                <w:lang w:eastAsia="zh-CN"/>
              </w:rPr>
              <w:t>序号</w:t>
            </w:r>
          </w:p>
        </w:tc>
        <w:tc>
          <w:tcPr>
            <w:tcW w:w="842" w:type="pct"/>
            <w:vAlign w:val="center"/>
          </w:tcPr>
          <w:p w14:paraId="3F0AD74E">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bCs w:val="0"/>
                <w:color w:val="000000" w:themeColor="text1"/>
                <w:kern w:val="0"/>
                <w:sz w:val="21"/>
                <w:szCs w:val="21"/>
                <w:highlight w:val="none"/>
              </w:rPr>
            </w:pPr>
            <w:r>
              <w:rPr>
                <w:rFonts w:hint="eastAsia" w:ascii="宋体" w:hAnsi="宋体" w:eastAsia="宋体" w:cs="宋体"/>
                <w:b/>
                <w:bCs w:val="0"/>
                <w:color w:val="000000" w:themeColor="text1"/>
                <w:kern w:val="0"/>
                <w:sz w:val="21"/>
                <w:szCs w:val="21"/>
                <w:highlight w:val="none"/>
              </w:rPr>
              <w:t>涉及危化品建（构）筑物</w:t>
            </w:r>
          </w:p>
        </w:tc>
        <w:tc>
          <w:tcPr>
            <w:tcW w:w="415" w:type="pct"/>
            <w:vAlign w:val="center"/>
          </w:tcPr>
          <w:p w14:paraId="6F551F16">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bCs w:val="0"/>
                <w:color w:val="000000" w:themeColor="text1"/>
                <w:kern w:val="0"/>
                <w:sz w:val="21"/>
                <w:szCs w:val="21"/>
                <w:highlight w:val="none"/>
              </w:rPr>
            </w:pPr>
            <w:r>
              <w:rPr>
                <w:rFonts w:hint="eastAsia" w:ascii="宋体" w:hAnsi="宋体" w:eastAsia="宋体" w:cs="宋体"/>
                <w:b/>
                <w:bCs w:val="0"/>
                <w:color w:val="000000" w:themeColor="text1"/>
                <w:kern w:val="0"/>
                <w:sz w:val="21"/>
                <w:szCs w:val="21"/>
                <w:highlight w:val="none"/>
              </w:rPr>
              <w:t>方位</w:t>
            </w:r>
          </w:p>
        </w:tc>
        <w:tc>
          <w:tcPr>
            <w:tcW w:w="1057" w:type="pct"/>
            <w:vAlign w:val="center"/>
          </w:tcPr>
          <w:p w14:paraId="3CB8483C">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bCs w:val="0"/>
                <w:color w:val="000000" w:themeColor="text1"/>
                <w:kern w:val="0"/>
                <w:sz w:val="21"/>
                <w:szCs w:val="21"/>
                <w:highlight w:val="none"/>
              </w:rPr>
            </w:pPr>
            <w:r>
              <w:rPr>
                <w:rFonts w:hint="eastAsia" w:ascii="宋体" w:hAnsi="宋体" w:eastAsia="宋体" w:cs="宋体"/>
                <w:b/>
                <w:bCs w:val="0"/>
                <w:color w:val="000000" w:themeColor="text1"/>
                <w:kern w:val="0"/>
                <w:sz w:val="21"/>
                <w:szCs w:val="21"/>
                <w:highlight w:val="none"/>
              </w:rPr>
              <w:t>周边建（构）筑物</w:t>
            </w:r>
          </w:p>
        </w:tc>
        <w:tc>
          <w:tcPr>
            <w:tcW w:w="511" w:type="pct"/>
            <w:vAlign w:val="center"/>
          </w:tcPr>
          <w:p w14:paraId="008E0BCF">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b/>
                <w:bCs w:val="0"/>
                <w:color w:val="000000" w:themeColor="text1"/>
                <w:kern w:val="0"/>
                <w:sz w:val="21"/>
                <w:szCs w:val="21"/>
                <w:highlight w:val="none"/>
                <w:lang w:eastAsia="zh-CN"/>
              </w:rPr>
            </w:pPr>
            <w:r>
              <w:rPr>
                <w:rFonts w:hint="eastAsia" w:ascii="宋体" w:hAnsi="宋体" w:eastAsia="宋体" w:cs="宋体"/>
                <w:b/>
                <w:bCs w:val="0"/>
                <w:color w:val="000000" w:themeColor="text1"/>
                <w:kern w:val="0"/>
                <w:sz w:val="21"/>
                <w:szCs w:val="21"/>
                <w:highlight w:val="none"/>
                <w:lang w:eastAsia="zh-CN"/>
              </w:rPr>
              <w:t>实际间距（</w:t>
            </w:r>
            <w:r>
              <w:rPr>
                <w:rFonts w:hint="eastAsia" w:ascii="宋体" w:hAnsi="宋体" w:eastAsia="宋体" w:cs="宋体"/>
                <w:b/>
                <w:bCs w:val="0"/>
                <w:color w:val="000000" w:themeColor="text1"/>
                <w:kern w:val="0"/>
                <w:sz w:val="21"/>
                <w:szCs w:val="21"/>
                <w:highlight w:val="none"/>
                <w:lang w:val="en-US" w:eastAsia="zh-CN"/>
              </w:rPr>
              <w:t>m</w:t>
            </w:r>
            <w:r>
              <w:rPr>
                <w:rFonts w:hint="eastAsia" w:ascii="宋体" w:hAnsi="宋体" w:eastAsia="宋体" w:cs="宋体"/>
                <w:b/>
                <w:bCs w:val="0"/>
                <w:color w:val="000000" w:themeColor="text1"/>
                <w:kern w:val="0"/>
                <w:sz w:val="21"/>
                <w:szCs w:val="21"/>
                <w:highlight w:val="none"/>
                <w:lang w:eastAsia="zh-CN"/>
              </w:rPr>
              <w:t>）</w:t>
            </w:r>
          </w:p>
        </w:tc>
        <w:tc>
          <w:tcPr>
            <w:tcW w:w="1078" w:type="pct"/>
            <w:vAlign w:val="center"/>
          </w:tcPr>
          <w:p w14:paraId="3599C3B8">
            <w:pPr>
              <w:widowControl w:val="0"/>
              <w:adjustRightInd w:val="0"/>
              <w:snapToGrid w:val="0"/>
              <w:spacing w:line="240" w:lineRule="auto"/>
              <w:jc w:val="center"/>
              <w:rPr>
                <w:rFonts w:hint="eastAsia" w:ascii="宋体" w:hAnsi="宋体" w:eastAsia="宋体" w:cs="宋体"/>
                <w:b/>
                <w:bCs w:val="0"/>
                <w:color w:val="000000" w:themeColor="text1"/>
                <w:kern w:val="0"/>
                <w:sz w:val="21"/>
                <w:szCs w:val="21"/>
                <w:highlight w:val="none"/>
                <w:lang w:eastAsia="zh-CN"/>
              </w:rPr>
            </w:pPr>
            <w:r>
              <w:rPr>
                <w:rFonts w:hint="eastAsia" w:ascii="宋体" w:hAnsi="宋体" w:eastAsia="宋体" w:cs="宋体"/>
                <w:b/>
                <w:bCs w:val="0"/>
                <w:color w:val="000000" w:themeColor="text1"/>
                <w:kern w:val="0"/>
                <w:sz w:val="21"/>
                <w:szCs w:val="21"/>
                <w:highlight w:val="none"/>
                <w:lang w:eastAsia="zh-CN"/>
              </w:rPr>
              <w:t>依据条款</w:t>
            </w:r>
          </w:p>
        </w:tc>
        <w:tc>
          <w:tcPr>
            <w:tcW w:w="523" w:type="pct"/>
            <w:vAlign w:val="center"/>
          </w:tcPr>
          <w:p w14:paraId="7A7E99E3">
            <w:pPr>
              <w:widowControl w:val="0"/>
              <w:adjustRightInd w:val="0"/>
              <w:snapToGrid w:val="0"/>
              <w:spacing w:line="240" w:lineRule="auto"/>
              <w:jc w:val="center"/>
              <w:rPr>
                <w:rFonts w:hint="eastAsia" w:ascii="宋体" w:hAnsi="宋体" w:eastAsia="宋体" w:cs="宋体"/>
                <w:b/>
                <w:bCs w:val="0"/>
                <w:color w:val="000000" w:themeColor="text1"/>
                <w:kern w:val="0"/>
                <w:sz w:val="21"/>
                <w:szCs w:val="21"/>
                <w:highlight w:val="none"/>
                <w:lang w:eastAsia="zh-CN"/>
              </w:rPr>
            </w:pPr>
            <w:r>
              <w:rPr>
                <w:rFonts w:hint="eastAsia" w:ascii="宋体" w:hAnsi="宋体" w:eastAsia="宋体" w:cs="宋体"/>
                <w:b/>
                <w:bCs w:val="0"/>
                <w:color w:val="000000" w:themeColor="text1"/>
                <w:kern w:val="0"/>
                <w:sz w:val="21"/>
                <w:szCs w:val="21"/>
                <w:highlight w:val="none"/>
              </w:rPr>
              <w:t>规范要求（m）</w:t>
            </w:r>
          </w:p>
        </w:tc>
        <w:tc>
          <w:tcPr>
            <w:tcW w:w="344" w:type="pct"/>
            <w:vAlign w:val="center"/>
          </w:tcPr>
          <w:p w14:paraId="2C0A8DE5">
            <w:pPr>
              <w:widowControl w:val="0"/>
              <w:adjustRightInd w:val="0"/>
              <w:snapToGrid w:val="0"/>
              <w:spacing w:line="240" w:lineRule="auto"/>
              <w:jc w:val="center"/>
              <w:rPr>
                <w:rFonts w:hint="eastAsia" w:ascii="宋体" w:hAnsi="宋体" w:eastAsia="宋体" w:cs="宋体"/>
                <w:b/>
                <w:bCs w:val="0"/>
                <w:color w:val="000000" w:themeColor="text1"/>
                <w:kern w:val="0"/>
                <w:sz w:val="21"/>
                <w:szCs w:val="21"/>
                <w:highlight w:val="none"/>
                <w:lang w:eastAsia="zh-CN"/>
              </w:rPr>
            </w:pPr>
            <w:r>
              <w:rPr>
                <w:rFonts w:hint="eastAsia" w:ascii="宋体" w:hAnsi="宋体" w:eastAsia="宋体" w:cs="宋体"/>
                <w:b/>
                <w:bCs w:val="0"/>
                <w:color w:val="000000" w:themeColor="text1"/>
                <w:kern w:val="0"/>
                <w:sz w:val="21"/>
                <w:szCs w:val="21"/>
                <w:highlight w:val="none"/>
              </w:rPr>
              <w:t>检查结果</w:t>
            </w:r>
          </w:p>
        </w:tc>
      </w:tr>
      <w:tr w14:paraId="37C04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restart"/>
            <w:vAlign w:val="center"/>
          </w:tcPr>
          <w:p w14:paraId="04FD4995">
            <w:pPr>
              <w:keepNext w:val="0"/>
              <w:keepLines w:val="0"/>
              <w:pageBreakBefore w:val="0"/>
              <w:widowControl w:val="0"/>
              <w:numPr>
                <w:ilvl w:val="0"/>
                <w:numId w:val="51"/>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restart"/>
            <w:vAlign w:val="center"/>
          </w:tcPr>
          <w:p w14:paraId="03F1FFE3">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氢氧化钠溶液</w:t>
            </w:r>
            <w:r>
              <w:rPr>
                <w:rFonts w:hint="eastAsia" w:ascii="宋体" w:hAnsi="宋体" w:eastAsia="宋体" w:cs="宋体"/>
                <w:color w:val="000000" w:themeColor="text1"/>
                <w:kern w:val="0"/>
                <w:sz w:val="21"/>
                <w:szCs w:val="21"/>
                <w:highlight w:val="none"/>
                <w:lang w:eastAsia="zh-CN"/>
              </w:rPr>
              <w:t>储罐（戊）</w:t>
            </w:r>
          </w:p>
        </w:tc>
        <w:tc>
          <w:tcPr>
            <w:tcW w:w="415" w:type="pct"/>
            <w:vAlign w:val="center"/>
          </w:tcPr>
          <w:p w14:paraId="44E6779D">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东</w:t>
            </w:r>
          </w:p>
        </w:tc>
        <w:tc>
          <w:tcPr>
            <w:tcW w:w="1057" w:type="pct"/>
            <w:vAlign w:val="center"/>
          </w:tcPr>
          <w:p w14:paraId="798C48EC">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围墙</w:t>
            </w:r>
          </w:p>
        </w:tc>
        <w:tc>
          <w:tcPr>
            <w:tcW w:w="511" w:type="pct"/>
            <w:vAlign w:val="center"/>
          </w:tcPr>
          <w:p w14:paraId="11CE959D">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1</w:t>
            </w:r>
          </w:p>
        </w:tc>
        <w:tc>
          <w:tcPr>
            <w:tcW w:w="1078" w:type="pct"/>
            <w:vAlign w:val="center"/>
          </w:tcPr>
          <w:p w14:paraId="20D43DEA">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c>
          <w:tcPr>
            <w:tcW w:w="523" w:type="pct"/>
            <w:vAlign w:val="center"/>
          </w:tcPr>
          <w:p w14:paraId="2AEF9645">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c>
          <w:tcPr>
            <w:tcW w:w="344" w:type="pct"/>
            <w:vAlign w:val="center"/>
          </w:tcPr>
          <w:p w14:paraId="4C37AC68">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r>
      <w:tr w14:paraId="6E6B8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51C252AD">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5CF91081">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24F07835">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南</w:t>
            </w:r>
          </w:p>
        </w:tc>
        <w:tc>
          <w:tcPr>
            <w:tcW w:w="1057" w:type="pct"/>
            <w:vAlign w:val="center"/>
          </w:tcPr>
          <w:p w14:paraId="53C52E86">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空置仓库</w:t>
            </w:r>
          </w:p>
        </w:tc>
        <w:tc>
          <w:tcPr>
            <w:tcW w:w="511" w:type="pct"/>
            <w:vAlign w:val="center"/>
          </w:tcPr>
          <w:p w14:paraId="38CDA321">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0.5</w:t>
            </w:r>
          </w:p>
        </w:tc>
        <w:tc>
          <w:tcPr>
            <w:tcW w:w="1078" w:type="pct"/>
            <w:vAlign w:val="center"/>
          </w:tcPr>
          <w:p w14:paraId="2E1F3332">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c>
          <w:tcPr>
            <w:tcW w:w="523" w:type="pct"/>
            <w:vAlign w:val="center"/>
          </w:tcPr>
          <w:p w14:paraId="63567ACA">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c>
          <w:tcPr>
            <w:tcW w:w="344" w:type="pct"/>
            <w:vAlign w:val="center"/>
          </w:tcPr>
          <w:p w14:paraId="67C74F4D">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r>
      <w:tr w14:paraId="72DFF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41956B51">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18533000">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0FB909DD">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西</w:t>
            </w:r>
          </w:p>
        </w:tc>
        <w:tc>
          <w:tcPr>
            <w:tcW w:w="1057" w:type="pct"/>
            <w:vAlign w:val="center"/>
          </w:tcPr>
          <w:p w14:paraId="23C37736">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5#仓库</w:t>
            </w:r>
          </w:p>
        </w:tc>
        <w:tc>
          <w:tcPr>
            <w:tcW w:w="511" w:type="pct"/>
            <w:vAlign w:val="center"/>
          </w:tcPr>
          <w:p w14:paraId="5C47A873">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default" w:cs="宋体"/>
                <w:color w:val="000000" w:themeColor="text1"/>
                <w:sz w:val="21"/>
                <w:szCs w:val="21"/>
                <w:highlight w:val="none"/>
                <w:lang w:val="en-US" w:eastAsia="zh-CN"/>
              </w:rPr>
              <w:t>19</w:t>
            </w:r>
          </w:p>
        </w:tc>
        <w:tc>
          <w:tcPr>
            <w:tcW w:w="1078" w:type="pct"/>
            <w:vAlign w:val="center"/>
          </w:tcPr>
          <w:p w14:paraId="1859D1CE">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c>
          <w:tcPr>
            <w:tcW w:w="523" w:type="pct"/>
            <w:vAlign w:val="center"/>
          </w:tcPr>
          <w:p w14:paraId="27F7E2D8">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c>
          <w:tcPr>
            <w:tcW w:w="344" w:type="pct"/>
            <w:vAlign w:val="center"/>
          </w:tcPr>
          <w:p w14:paraId="0A65BDE0">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r>
      <w:tr w14:paraId="6B394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0871F98E">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046D8608">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5A145FA8">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北</w:t>
            </w:r>
          </w:p>
        </w:tc>
        <w:tc>
          <w:tcPr>
            <w:tcW w:w="1057" w:type="pct"/>
            <w:vAlign w:val="center"/>
          </w:tcPr>
          <w:p w14:paraId="6C5F3C40">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仓库</w:t>
            </w:r>
          </w:p>
        </w:tc>
        <w:tc>
          <w:tcPr>
            <w:tcW w:w="511" w:type="pct"/>
            <w:vAlign w:val="center"/>
          </w:tcPr>
          <w:p w14:paraId="4A005F7A">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default" w:cs="宋体"/>
                <w:color w:val="000000" w:themeColor="text1"/>
                <w:sz w:val="21"/>
                <w:szCs w:val="21"/>
                <w:highlight w:val="none"/>
                <w:lang w:val="en-US" w:eastAsia="zh-CN"/>
              </w:rPr>
              <w:t>10</w:t>
            </w:r>
          </w:p>
        </w:tc>
        <w:tc>
          <w:tcPr>
            <w:tcW w:w="1078" w:type="pct"/>
            <w:vAlign w:val="center"/>
          </w:tcPr>
          <w:p w14:paraId="0D789E32">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c>
          <w:tcPr>
            <w:tcW w:w="523" w:type="pct"/>
            <w:vAlign w:val="center"/>
          </w:tcPr>
          <w:p w14:paraId="65DD2E9B">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c>
          <w:tcPr>
            <w:tcW w:w="344" w:type="pct"/>
            <w:vAlign w:val="center"/>
          </w:tcPr>
          <w:p w14:paraId="37061E2C">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r>
      <w:tr w14:paraId="7CF4E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restart"/>
            <w:vAlign w:val="center"/>
          </w:tcPr>
          <w:p w14:paraId="0E27AD6C">
            <w:pPr>
              <w:keepNext w:val="0"/>
              <w:keepLines w:val="0"/>
              <w:pageBreakBefore w:val="0"/>
              <w:widowControl w:val="0"/>
              <w:numPr>
                <w:ilvl w:val="0"/>
                <w:numId w:val="51"/>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restart"/>
            <w:vAlign w:val="center"/>
          </w:tcPr>
          <w:p w14:paraId="07762680">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CN"/>
              </w:rPr>
              <w:t>漂染车间附房（乙、二级）</w:t>
            </w:r>
          </w:p>
        </w:tc>
        <w:tc>
          <w:tcPr>
            <w:tcW w:w="415" w:type="pct"/>
            <w:vAlign w:val="center"/>
          </w:tcPr>
          <w:p w14:paraId="67482297">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东</w:t>
            </w:r>
          </w:p>
        </w:tc>
        <w:tc>
          <w:tcPr>
            <w:tcW w:w="1057" w:type="pct"/>
            <w:vAlign w:val="center"/>
          </w:tcPr>
          <w:p w14:paraId="5E4A9813">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机物料仓库</w:t>
            </w:r>
          </w:p>
          <w:p w14:paraId="2C0F59B3">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kern w:val="0"/>
                <w:sz w:val="21"/>
                <w:szCs w:val="21"/>
                <w:highlight w:val="none"/>
                <w:lang w:eastAsia="zh-CN"/>
              </w:rPr>
              <w:t>（丙、二级）</w:t>
            </w:r>
          </w:p>
        </w:tc>
        <w:tc>
          <w:tcPr>
            <w:tcW w:w="511" w:type="pct"/>
            <w:vAlign w:val="center"/>
          </w:tcPr>
          <w:p w14:paraId="5FFC0BBD">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3</w:t>
            </w:r>
          </w:p>
        </w:tc>
        <w:tc>
          <w:tcPr>
            <w:tcW w:w="1078" w:type="pct"/>
            <w:vAlign w:val="center"/>
          </w:tcPr>
          <w:p w14:paraId="4781AE17">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eastAsia="宋体" w:cs="宋体"/>
                <w:color w:val="000000" w:themeColor="text1"/>
                <w:sz w:val="21"/>
                <w:szCs w:val="21"/>
                <w:highlight w:val="none"/>
                <w:lang w:val="en-US" w:eastAsia="zh-CN"/>
              </w:rPr>
            </w:pPr>
            <w:r>
              <w:rPr>
                <w:rFonts w:hint="eastAsia" w:ascii="宋体" w:hAnsi="宋体" w:eastAsia="宋体" w:cs="宋体"/>
                <w:bCs/>
                <w:color w:val="000000" w:themeColor="text1"/>
                <w:sz w:val="21"/>
                <w:szCs w:val="21"/>
                <w:highlight w:val="none"/>
              </w:rPr>
              <w:t>GB50016-2014（2018年版）</w:t>
            </w:r>
            <w:r>
              <w:rPr>
                <w:rFonts w:hint="eastAsia" w:ascii="宋体" w:hAnsi="宋体" w:eastAsia="宋体" w:cs="宋体"/>
                <w:bCs/>
                <w:color w:val="000000" w:themeColor="text1"/>
                <w:sz w:val="21"/>
                <w:szCs w:val="21"/>
                <w:highlight w:val="none"/>
                <w:lang w:eastAsia="zh-CN"/>
              </w:rPr>
              <w:t>表</w:t>
            </w:r>
            <w:r>
              <w:rPr>
                <w:rFonts w:hint="eastAsia" w:ascii="宋体" w:hAnsi="宋体" w:eastAsia="宋体" w:cs="宋体"/>
                <w:bCs/>
                <w:color w:val="000000" w:themeColor="text1"/>
                <w:sz w:val="21"/>
                <w:szCs w:val="21"/>
                <w:highlight w:val="none"/>
                <w:lang w:val="en-US" w:eastAsia="zh-CN"/>
              </w:rPr>
              <w:t>3.5.2</w:t>
            </w:r>
          </w:p>
        </w:tc>
        <w:tc>
          <w:tcPr>
            <w:tcW w:w="523" w:type="pct"/>
            <w:vAlign w:val="center"/>
          </w:tcPr>
          <w:p w14:paraId="146869AF">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10</w:t>
            </w:r>
          </w:p>
        </w:tc>
        <w:tc>
          <w:tcPr>
            <w:tcW w:w="344" w:type="pct"/>
            <w:vAlign w:val="center"/>
          </w:tcPr>
          <w:p w14:paraId="13130CD9">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不符合</w:t>
            </w:r>
          </w:p>
        </w:tc>
      </w:tr>
      <w:tr w14:paraId="4DDB8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609A9E9A">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7550D8AE">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6FC7D9B5">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南</w:t>
            </w:r>
          </w:p>
        </w:tc>
        <w:tc>
          <w:tcPr>
            <w:tcW w:w="1057" w:type="pct"/>
            <w:vAlign w:val="center"/>
          </w:tcPr>
          <w:p w14:paraId="2A2DD78F">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配电房</w:t>
            </w:r>
          </w:p>
          <w:p w14:paraId="548DBAE9">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kern w:val="0"/>
                <w:sz w:val="21"/>
                <w:szCs w:val="21"/>
                <w:highlight w:val="none"/>
                <w:lang w:eastAsia="zh-CN"/>
              </w:rPr>
              <w:t>（丙、二级）</w:t>
            </w:r>
          </w:p>
        </w:tc>
        <w:tc>
          <w:tcPr>
            <w:tcW w:w="511" w:type="pct"/>
            <w:vAlign w:val="center"/>
          </w:tcPr>
          <w:p w14:paraId="4407A177">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7</w:t>
            </w:r>
          </w:p>
        </w:tc>
        <w:tc>
          <w:tcPr>
            <w:tcW w:w="1078" w:type="pct"/>
            <w:vAlign w:val="center"/>
          </w:tcPr>
          <w:p w14:paraId="5BB65B08">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ascii="宋体" w:hAnsi="宋体" w:eastAsia="宋体" w:cs="宋体"/>
                <w:bCs/>
                <w:color w:val="000000" w:themeColor="text1"/>
                <w:sz w:val="21"/>
                <w:szCs w:val="21"/>
                <w:highlight w:val="none"/>
              </w:rPr>
              <w:t>GB50016-2014（2018年版）</w:t>
            </w:r>
            <w:r>
              <w:rPr>
                <w:rFonts w:hint="eastAsia" w:ascii="宋体" w:hAnsi="宋体" w:eastAsia="宋体" w:cs="宋体"/>
                <w:bCs/>
                <w:color w:val="000000" w:themeColor="text1"/>
                <w:sz w:val="21"/>
                <w:szCs w:val="21"/>
                <w:highlight w:val="none"/>
                <w:lang w:eastAsia="zh-CN"/>
              </w:rPr>
              <w:t>表</w:t>
            </w:r>
            <w:r>
              <w:rPr>
                <w:rFonts w:hint="eastAsia" w:ascii="宋体" w:hAnsi="宋体" w:eastAsia="宋体" w:cs="宋体"/>
                <w:bCs/>
                <w:color w:val="000000" w:themeColor="text1"/>
                <w:sz w:val="21"/>
                <w:szCs w:val="21"/>
                <w:highlight w:val="none"/>
                <w:lang w:val="en-US" w:eastAsia="zh-CN"/>
              </w:rPr>
              <w:t>3.4.1</w:t>
            </w:r>
          </w:p>
        </w:tc>
        <w:tc>
          <w:tcPr>
            <w:tcW w:w="523" w:type="pct"/>
            <w:vAlign w:val="center"/>
          </w:tcPr>
          <w:p w14:paraId="325AD25E">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10</w:t>
            </w:r>
          </w:p>
        </w:tc>
        <w:tc>
          <w:tcPr>
            <w:tcW w:w="344" w:type="pct"/>
            <w:vAlign w:val="center"/>
          </w:tcPr>
          <w:p w14:paraId="2D6F51E7">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不符合</w:t>
            </w:r>
          </w:p>
        </w:tc>
      </w:tr>
      <w:tr w14:paraId="1FF82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778BF87B">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722A4249">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78DADB97">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西</w:t>
            </w:r>
          </w:p>
        </w:tc>
        <w:tc>
          <w:tcPr>
            <w:tcW w:w="1057" w:type="pct"/>
            <w:vAlign w:val="center"/>
          </w:tcPr>
          <w:p w14:paraId="45431538">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漂染车间</w:t>
            </w:r>
          </w:p>
          <w:p w14:paraId="3F624971">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CN"/>
              </w:rPr>
              <w:t>（丙、二级）</w:t>
            </w:r>
          </w:p>
        </w:tc>
        <w:tc>
          <w:tcPr>
            <w:tcW w:w="511" w:type="pct"/>
            <w:vAlign w:val="center"/>
          </w:tcPr>
          <w:p w14:paraId="1B5C56BC">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5.5</w:t>
            </w:r>
          </w:p>
        </w:tc>
        <w:tc>
          <w:tcPr>
            <w:tcW w:w="1078" w:type="pct"/>
            <w:vAlign w:val="center"/>
          </w:tcPr>
          <w:p w14:paraId="4E583E78">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ascii="宋体" w:hAnsi="宋体" w:eastAsia="宋体" w:cs="宋体"/>
                <w:bCs/>
                <w:color w:val="000000" w:themeColor="text1"/>
                <w:sz w:val="21"/>
                <w:szCs w:val="21"/>
                <w:highlight w:val="none"/>
              </w:rPr>
              <w:t>GB50016-2014（2018年版）</w:t>
            </w:r>
            <w:r>
              <w:rPr>
                <w:rFonts w:hint="eastAsia" w:ascii="宋体" w:hAnsi="宋体" w:eastAsia="宋体" w:cs="宋体"/>
                <w:bCs/>
                <w:color w:val="000000" w:themeColor="text1"/>
                <w:sz w:val="21"/>
                <w:szCs w:val="21"/>
                <w:highlight w:val="none"/>
                <w:lang w:eastAsia="zh-CN"/>
              </w:rPr>
              <w:t>表</w:t>
            </w:r>
            <w:r>
              <w:rPr>
                <w:rFonts w:hint="eastAsia" w:ascii="宋体" w:hAnsi="宋体" w:eastAsia="宋体" w:cs="宋体"/>
                <w:bCs/>
                <w:color w:val="000000" w:themeColor="text1"/>
                <w:sz w:val="21"/>
                <w:szCs w:val="21"/>
                <w:highlight w:val="none"/>
                <w:lang w:val="en-US" w:eastAsia="zh-CN"/>
              </w:rPr>
              <w:t>3.4.1</w:t>
            </w:r>
          </w:p>
        </w:tc>
        <w:tc>
          <w:tcPr>
            <w:tcW w:w="523" w:type="pct"/>
            <w:vAlign w:val="center"/>
          </w:tcPr>
          <w:p w14:paraId="132998B6">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10</w:t>
            </w:r>
          </w:p>
        </w:tc>
        <w:tc>
          <w:tcPr>
            <w:tcW w:w="344" w:type="pct"/>
            <w:vAlign w:val="center"/>
          </w:tcPr>
          <w:p w14:paraId="5BF41B1F">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不符合</w:t>
            </w:r>
          </w:p>
        </w:tc>
      </w:tr>
      <w:tr w14:paraId="54DF6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30DE9E6F">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68DEFFD3">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6E522C8D">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北</w:t>
            </w:r>
          </w:p>
        </w:tc>
        <w:tc>
          <w:tcPr>
            <w:tcW w:w="1057" w:type="pct"/>
            <w:vAlign w:val="center"/>
          </w:tcPr>
          <w:p w14:paraId="3104EE12">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打线车间</w:t>
            </w:r>
          </w:p>
          <w:p w14:paraId="132AC4A9">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（丙、二级）</w:t>
            </w:r>
          </w:p>
        </w:tc>
        <w:tc>
          <w:tcPr>
            <w:tcW w:w="511" w:type="pct"/>
            <w:vAlign w:val="center"/>
          </w:tcPr>
          <w:p w14:paraId="6F6CF9C0">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default" w:cs="宋体"/>
                <w:color w:val="000000" w:themeColor="text1"/>
                <w:sz w:val="21"/>
                <w:szCs w:val="21"/>
                <w:highlight w:val="none"/>
                <w:lang w:val="en-US" w:eastAsia="zh-CN"/>
              </w:rPr>
              <w:t>28</w:t>
            </w:r>
          </w:p>
        </w:tc>
        <w:tc>
          <w:tcPr>
            <w:tcW w:w="1078" w:type="pct"/>
            <w:vAlign w:val="center"/>
          </w:tcPr>
          <w:p w14:paraId="0E310AF3">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ascii="宋体" w:hAnsi="宋体" w:eastAsia="宋体" w:cs="宋体"/>
                <w:bCs/>
                <w:color w:val="000000" w:themeColor="text1"/>
                <w:sz w:val="21"/>
                <w:szCs w:val="21"/>
                <w:highlight w:val="none"/>
              </w:rPr>
              <w:t>GB50016-2014（2018年版）</w:t>
            </w:r>
            <w:r>
              <w:rPr>
                <w:rFonts w:hint="eastAsia" w:ascii="宋体" w:hAnsi="宋体" w:eastAsia="宋体" w:cs="宋体"/>
                <w:bCs/>
                <w:color w:val="000000" w:themeColor="text1"/>
                <w:sz w:val="21"/>
                <w:szCs w:val="21"/>
                <w:highlight w:val="none"/>
                <w:lang w:eastAsia="zh-CN"/>
              </w:rPr>
              <w:t>表</w:t>
            </w:r>
            <w:r>
              <w:rPr>
                <w:rFonts w:hint="eastAsia" w:ascii="宋体" w:hAnsi="宋体" w:eastAsia="宋体" w:cs="宋体"/>
                <w:bCs/>
                <w:color w:val="000000" w:themeColor="text1"/>
                <w:sz w:val="21"/>
                <w:szCs w:val="21"/>
                <w:highlight w:val="none"/>
                <w:lang w:val="en-US" w:eastAsia="zh-CN"/>
              </w:rPr>
              <w:t>3.4.1</w:t>
            </w:r>
          </w:p>
        </w:tc>
        <w:tc>
          <w:tcPr>
            <w:tcW w:w="523" w:type="pct"/>
            <w:vAlign w:val="center"/>
          </w:tcPr>
          <w:p w14:paraId="00C7A965">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10</w:t>
            </w:r>
          </w:p>
        </w:tc>
        <w:tc>
          <w:tcPr>
            <w:tcW w:w="344" w:type="pct"/>
            <w:vAlign w:val="center"/>
          </w:tcPr>
          <w:p w14:paraId="7568B098">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符合</w:t>
            </w:r>
          </w:p>
        </w:tc>
      </w:tr>
      <w:tr w14:paraId="2F206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7D4638A8">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7795492D">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1B52536A">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lang w:eastAsia="zh-CN"/>
              </w:rPr>
              <w:t>北</w:t>
            </w:r>
          </w:p>
        </w:tc>
        <w:tc>
          <w:tcPr>
            <w:tcW w:w="1057" w:type="pct"/>
            <w:vAlign w:val="center"/>
          </w:tcPr>
          <w:p w14:paraId="51918AF0">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3#仓库</w:t>
            </w:r>
          </w:p>
          <w:p w14:paraId="544250F7">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kern w:val="0"/>
                <w:sz w:val="21"/>
                <w:szCs w:val="21"/>
                <w:highlight w:val="none"/>
                <w:lang w:eastAsia="zh-CN"/>
              </w:rPr>
              <w:t>（丙、二级）</w:t>
            </w:r>
          </w:p>
        </w:tc>
        <w:tc>
          <w:tcPr>
            <w:tcW w:w="511" w:type="pct"/>
            <w:vAlign w:val="center"/>
          </w:tcPr>
          <w:p w14:paraId="0EEFDD31">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ascii="宋体" w:hAnsi="宋体" w:eastAsia="宋体" w:cs="宋体"/>
                <w:color w:val="000000" w:themeColor="text1"/>
                <w:sz w:val="21"/>
                <w:szCs w:val="21"/>
                <w:highlight w:val="none"/>
                <w:lang w:val="en-US" w:eastAsia="zh-CN" w:bidi="ar-SA"/>
              </w:rPr>
            </w:pPr>
            <w:r>
              <w:rPr>
                <w:rFonts w:hint="default" w:cs="宋体"/>
                <w:color w:val="000000" w:themeColor="text1"/>
                <w:sz w:val="21"/>
                <w:szCs w:val="21"/>
                <w:highlight w:val="none"/>
                <w:lang w:val="en-US" w:eastAsia="zh-CN"/>
              </w:rPr>
              <w:t>33</w:t>
            </w:r>
          </w:p>
        </w:tc>
        <w:tc>
          <w:tcPr>
            <w:tcW w:w="1078" w:type="pct"/>
            <w:vAlign w:val="center"/>
          </w:tcPr>
          <w:p w14:paraId="5BEB1C7B">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bCs/>
                <w:color w:val="000000" w:themeColor="text1"/>
                <w:sz w:val="21"/>
                <w:szCs w:val="21"/>
                <w:highlight w:val="none"/>
              </w:rPr>
              <w:t>GB50016-2014（2018年版）</w:t>
            </w:r>
            <w:r>
              <w:rPr>
                <w:rFonts w:hint="eastAsia" w:ascii="宋体" w:hAnsi="宋体" w:eastAsia="宋体" w:cs="宋体"/>
                <w:bCs/>
                <w:color w:val="000000" w:themeColor="text1"/>
                <w:sz w:val="21"/>
                <w:szCs w:val="21"/>
                <w:highlight w:val="none"/>
                <w:lang w:eastAsia="zh-CN"/>
              </w:rPr>
              <w:t>表</w:t>
            </w:r>
            <w:r>
              <w:rPr>
                <w:rFonts w:hint="eastAsia" w:ascii="宋体" w:hAnsi="宋体" w:eastAsia="宋体" w:cs="宋体"/>
                <w:bCs/>
                <w:color w:val="000000" w:themeColor="text1"/>
                <w:sz w:val="21"/>
                <w:szCs w:val="21"/>
                <w:highlight w:val="none"/>
                <w:lang w:val="en-US" w:eastAsia="zh-CN"/>
              </w:rPr>
              <w:t>3.5.2</w:t>
            </w:r>
          </w:p>
        </w:tc>
        <w:tc>
          <w:tcPr>
            <w:tcW w:w="523" w:type="pct"/>
            <w:vAlign w:val="center"/>
          </w:tcPr>
          <w:p w14:paraId="4057D2FB">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ascii="宋体" w:hAnsi="宋体" w:eastAsia="宋体" w:cs="宋体"/>
                <w:color w:val="000000" w:themeColor="text1"/>
                <w:sz w:val="21"/>
                <w:szCs w:val="21"/>
                <w:highlight w:val="none"/>
                <w:lang w:val="en-US" w:eastAsia="zh-CN" w:bidi="ar-SA"/>
              </w:rPr>
            </w:pPr>
            <w:r>
              <w:rPr>
                <w:rFonts w:hint="eastAsia" w:cs="宋体"/>
                <w:color w:val="000000" w:themeColor="text1"/>
                <w:sz w:val="21"/>
                <w:szCs w:val="21"/>
                <w:highlight w:val="none"/>
                <w:lang w:val="en-US" w:eastAsia="zh-CN"/>
              </w:rPr>
              <w:t>10</w:t>
            </w:r>
          </w:p>
        </w:tc>
        <w:tc>
          <w:tcPr>
            <w:tcW w:w="344" w:type="pct"/>
            <w:vAlign w:val="center"/>
          </w:tcPr>
          <w:p w14:paraId="3AECC8D3">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ascii="宋体" w:hAnsi="宋体" w:eastAsia="宋体" w:cs="宋体"/>
                <w:color w:val="000000" w:themeColor="text1"/>
                <w:sz w:val="21"/>
                <w:szCs w:val="21"/>
                <w:highlight w:val="none"/>
                <w:lang w:val="en-US" w:eastAsia="zh-CN" w:bidi="ar-SA"/>
              </w:rPr>
            </w:pPr>
            <w:r>
              <w:rPr>
                <w:rFonts w:hint="eastAsia" w:cs="宋体"/>
                <w:color w:val="000000" w:themeColor="text1"/>
                <w:sz w:val="21"/>
                <w:szCs w:val="21"/>
                <w:highlight w:val="none"/>
                <w:lang w:val="en-US" w:eastAsia="zh-CN"/>
              </w:rPr>
              <w:t>符合</w:t>
            </w:r>
          </w:p>
        </w:tc>
      </w:tr>
      <w:tr w14:paraId="2202E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3DDB1C9C">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43F5BC46">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2C698DFD">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eastAsia="zh-CN"/>
              </w:rPr>
              <w:t>东北</w:t>
            </w:r>
          </w:p>
        </w:tc>
        <w:tc>
          <w:tcPr>
            <w:tcW w:w="1057" w:type="pct"/>
            <w:vAlign w:val="center"/>
          </w:tcPr>
          <w:p w14:paraId="77CF8FF9">
            <w:pPr>
              <w:keepNext w:val="0"/>
              <w:keepLines w:val="0"/>
              <w:pageBreakBefore w:val="0"/>
              <w:widowControl w:val="0"/>
              <w:kinsoku/>
              <w:wordWrap/>
              <w:topLinePunct w:val="0"/>
              <w:bidi w:val="0"/>
              <w:adjustRightInd w:val="0"/>
              <w:snapToGrid w:val="0"/>
              <w:spacing w:line="240" w:lineRule="auto"/>
              <w:jc w:val="center"/>
              <w:rPr>
                <w:rFonts w:hint="eastAsia" w:cs="宋体"/>
                <w:color w:val="000000" w:themeColor="text1"/>
                <w:sz w:val="21"/>
                <w:szCs w:val="21"/>
                <w:highlight w:val="none"/>
                <w:lang w:eastAsia="zh-CN"/>
              </w:rPr>
            </w:pPr>
            <w:r>
              <w:rPr>
                <w:rFonts w:hint="eastAsia" w:cs="宋体"/>
                <w:color w:val="000000" w:themeColor="text1"/>
                <w:sz w:val="21"/>
                <w:szCs w:val="21"/>
                <w:highlight w:val="none"/>
                <w:lang w:eastAsia="zh-CN"/>
              </w:rPr>
              <w:t>线厂仓库</w:t>
            </w:r>
          </w:p>
          <w:p w14:paraId="20B69C76">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kern w:val="0"/>
                <w:sz w:val="21"/>
                <w:szCs w:val="21"/>
                <w:highlight w:val="none"/>
                <w:lang w:eastAsia="zh-CN"/>
              </w:rPr>
              <w:t>（丙、二级）</w:t>
            </w:r>
          </w:p>
        </w:tc>
        <w:tc>
          <w:tcPr>
            <w:tcW w:w="511" w:type="pct"/>
            <w:vAlign w:val="center"/>
          </w:tcPr>
          <w:p w14:paraId="47932CFD">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0</w:t>
            </w:r>
          </w:p>
        </w:tc>
        <w:tc>
          <w:tcPr>
            <w:tcW w:w="1078" w:type="pct"/>
            <w:vAlign w:val="center"/>
          </w:tcPr>
          <w:p w14:paraId="7096B283">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ascii="宋体" w:hAnsi="宋体" w:eastAsia="宋体" w:cs="宋体"/>
                <w:bCs/>
                <w:color w:val="000000" w:themeColor="text1"/>
                <w:sz w:val="21"/>
                <w:szCs w:val="21"/>
                <w:highlight w:val="none"/>
              </w:rPr>
              <w:t>GB50016-2014（2018年版）</w:t>
            </w:r>
            <w:r>
              <w:rPr>
                <w:rFonts w:hint="eastAsia" w:ascii="宋体" w:hAnsi="宋体" w:eastAsia="宋体" w:cs="宋体"/>
                <w:bCs/>
                <w:color w:val="000000" w:themeColor="text1"/>
                <w:sz w:val="21"/>
                <w:szCs w:val="21"/>
                <w:highlight w:val="none"/>
                <w:lang w:eastAsia="zh-CN"/>
              </w:rPr>
              <w:t>表</w:t>
            </w:r>
            <w:r>
              <w:rPr>
                <w:rFonts w:hint="eastAsia" w:ascii="宋体" w:hAnsi="宋体" w:eastAsia="宋体" w:cs="宋体"/>
                <w:bCs/>
                <w:color w:val="000000" w:themeColor="text1"/>
                <w:sz w:val="21"/>
                <w:szCs w:val="21"/>
                <w:highlight w:val="none"/>
                <w:lang w:val="en-US" w:eastAsia="zh-CN"/>
              </w:rPr>
              <w:t>3.5.2</w:t>
            </w:r>
          </w:p>
        </w:tc>
        <w:tc>
          <w:tcPr>
            <w:tcW w:w="523" w:type="pct"/>
            <w:vAlign w:val="center"/>
          </w:tcPr>
          <w:p w14:paraId="23A1FED6">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10</w:t>
            </w:r>
          </w:p>
        </w:tc>
        <w:tc>
          <w:tcPr>
            <w:tcW w:w="344" w:type="pct"/>
            <w:vAlign w:val="center"/>
          </w:tcPr>
          <w:p w14:paraId="216351AE">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eastAsia"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不符合</w:t>
            </w:r>
          </w:p>
        </w:tc>
      </w:tr>
      <w:tr w14:paraId="7572A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restart"/>
            <w:vAlign w:val="center"/>
          </w:tcPr>
          <w:p w14:paraId="1E121950">
            <w:pPr>
              <w:keepNext w:val="0"/>
              <w:keepLines w:val="0"/>
              <w:pageBreakBefore w:val="0"/>
              <w:widowControl w:val="0"/>
              <w:numPr>
                <w:ilvl w:val="0"/>
                <w:numId w:val="51"/>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restart"/>
            <w:vAlign w:val="center"/>
          </w:tcPr>
          <w:p w14:paraId="6CBA7807">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CN"/>
              </w:rPr>
              <w:t>漂染车间（丙、二级）</w:t>
            </w:r>
          </w:p>
        </w:tc>
        <w:tc>
          <w:tcPr>
            <w:tcW w:w="415" w:type="pct"/>
            <w:vAlign w:val="center"/>
          </w:tcPr>
          <w:p w14:paraId="5420F840">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东</w:t>
            </w:r>
          </w:p>
        </w:tc>
        <w:tc>
          <w:tcPr>
            <w:tcW w:w="1057" w:type="pct"/>
            <w:vAlign w:val="center"/>
          </w:tcPr>
          <w:p w14:paraId="2086B618">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漂染车间附房</w:t>
            </w:r>
          </w:p>
          <w:p w14:paraId="1164B249">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CN"/>
              </w:rPr>
              <w:t>（乙、二级）</w:t>
            </w:r>
          </w:p>
        </w:tc>
        <w:tc>
          <w:tcPr>
            <w:tcW w:w="511" w:type="pct"/>
            <w:vAlign w:val="center"/>
          </w:tcPr>
          <w:p w14:paraId="09CCE457">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5.5</w:t>
            </w:r>
          </w:p>
        </w:tc>
        <w:tc>
          <w:tcPr>
            <w:tcW w:w="1078" w:type="pct"/>
            <w:vAlign w:val="center"/>
          </w:tcPr>
          <w:p w14:paraId="4962BFFF">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ascii="宋体" w:hAnsi="宋体" w:eastAsia="宋体" w:cs="宋体"/>
                <w:bCs/>
                <w:color w:val="000000" w:themeColor="text1"/>
                <w:sz w:val="21"/>
                <w:szCs w:val="21"/>
                <w:highlight w:val="none"/>
              </w:rPr>
              <w:t>GB50016-2014（2018年版）</w:t>
            </w:r>
            <w:r>
              <w:rPr>
                <w:rFonts w:hint="eastAsia" w:ascii="宋体" w:hAnsi="宋体" w:eastAsia="宋体" w:cs="宋体"/>
                <w:bCs/>
                <w:color w:val="000000" w:themeColor="text1"/>
                <w:sz w:val="21"/>
                <w:szCs w:val="21"/>
                <w:highlight w:val="none"/>
                <w:lang w:eastAsia="zh-CN"/>
              </w:rPr>
              <w:t>表</w:t>
            </w:r>
            <w:r>
              <w:rPr>
                <w:rFonts w:hint="eastAsia" w:ascii="宋体" w:hAnsi="宋体" w:eastAsia="宋体" w:cs="宋体"/>
                <w:bCs/>
                <w:color w:val="000000" w:themeColor="text1"/>
                <w:sz w:val="21"/>
                <w:szCs w:val="21"/>
                <w:highlight w:val="none"/>
                <w:lang w:val="en-US" w:eastAsia="zh-CN"/>
              </w:rPr>
              <w:t>3.4.1</w:t>
            </w:r>
          </w:p>
        </w:tc>
        <w:tc>
          <w:tcPr>
            <w:tcW w:w="523" w:type="pct"/>
            <w:vAlign w:val="center"/>
          </w:tcPr>
          <w:p w14:paraId="2DC1824A">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10</w:t>
            </w:r>
          </w:p>
        </w:tc>
        <w:tc>
          <w:tcPr>
            <w:tcW w:w="344" w:type="pct"/>
            <w:vAlign w:val="center"/>
          </w:tcPr>
          <w:p w14:paraId="679AC7CA">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不符合</w:t>
            </w:r>
          </w:p>
        </w:tc>
      </w:tr>
      <w:tr w14:paraId="7CCA4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07FFA782">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28A037E4">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67B397AF">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南</w:t>
            </w:r>
          </w:p>
        </w:tc>
        <w:tc>
          <w:tcPr>
            <w:tcW w:w="1057" w:type="pct"/>
            <w:vAlign w:val="center"/>
          </w:tcPr>
          <w:p w14:paraId="35702582">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生产办公楼</w:t>
            </w:r>
          </w:p>
        </w:tc>
        <w:tc>
          <w:tcPr>
            <w:tcW w:w="511" w:type="pct"/>
            <w:vAlign w:val="center"/>
          </w:tcPr>
          <w:p w14:paraId="482A89AB">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17</w:t>
            </w:r>
          </w:p>
        </w:tc>
        <w:tc>
          <w:tcPr>
            <w:tcW w:w="1078" w:type="pct"/>
            <w:vAlign w:val="center"/>
          </w:tcPr>
          <w:p w14:paraId="1E4DA2E2">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ascii="宋体" w:hAnsi="宋体" w:eastAsia="宋体" w:cs="宋体"/>
                <w:bCs/>
                <w:color w:val="000000" w:themeColor="text1"/>
                <w:sz w:val="21"/>
                <w:szCs w:val="21"/>
                <w:highlight w:val="none"/>
              </w:rPr>
              <w:t>GB50016-2014（2018年版）</w:t>
            </w:r>
            <w:r>
              <w:rPr>
                <w:rFonts w:hint="eastAsia" w:ascii="宋体" w:hAnsi="宋体" w:eastAsia="宋体" w:cs="宋体"/>
                <w:bCs/>
                <w:color w:val="000000" w:themeColor="text1"/>
                <w:sz w:val="21"/>
                <w:szCs w:val="21"/>
                <w:highlight w:val="none"/>
                <w:lang w:eastAsia="zh-CN"/>
              </w:rPr>
              <w:t>表</w:t>
            </w:r>
            <w:r>
              <w:rPr>
                <w:rFonts w:hint="eastAsia" w:ascii="宋体" w:hAnsi="宋体" w:eastAsia="宋体" w:cs="宋体"/>
                <w:bCs/>
                <w:color w:val="000000" w:themeColor="text1"/>
                <w:sz w:val="21"/>
                <w:szCs w:val="21"/>
                <w:highlight w:val="none"/>
                <w:lang w:val="en-US" w:eastAsia="zh-CN"/>
              </w:rPr>
              <w:t>3.4.1</w:t>
            </w:r>
          </w:p>
        </w:tc>
        <w:tc>
          <w:tcPr>
            <w:tcW w:w="523" w:type="pct"/>
            <w:vAlign w:val="center"/>
          </w:tcPr>
          <w:p w14:paraId="6530431B">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10</w:t>
            </w:r>
          </w:p>
        </w:tc>
        <w:tc>
          <w:tcPr>
            <w:tcW w:w="344" w:type="pct"/>
            <w:vAlign w:val="center"/>
          </w:tcPr>
          <w:p w14:paraId="59DB8DFC">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符合</w:t>
            </w:r>
          </w:p>
        </w:tc>
      </w:tr>
      <w:tr w14:paraId="45D10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6E32FCF5">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335E085B">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74DB6B8A">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南</w:t>
            </w:r>
          </w:p>
        </w:tc>
        <w:tc>
          <w:tcPr>
            <w:tcW w:w="1057" w:type="pct"/>
            <w:vAlign w:val="center"/>
          </w:tcPr>
          <w:p w14:paraId="681B7103">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空置更衣室</w:t>
            </w:r>
          </w:p>
        </w:tc>
        <w:tc>
          <w:tcPr>
            <w:tcW w:w="511" w:type="pct"/>
            <w:vAlign w:val="center"/>
          </w:tcPr>
          <w:p w14:paraId="46D1B985">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17</w:t>
            </w:r>
          </w:p>
        </w:tc>
        <w:tc>
          <w:tcPr>
            <w:tcW w:w="1078" w:type="pct"/>
            <w:vAlign w:val="center"/>
          </w:tcPr>
          <w:p w14:paraId="74E9CE86">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ascii="宋体" w:hAnsi="宋体" w:eastAsia="宋体" w:cs="宋体"/>
                <w:bCs/>
                <w:color w:val="000000" w:themeColor="text1"/>
                <w:sz w:val="21"/>
                <w:szCs w:val="21"/>
                <w:highlight w:val="none"/>
              </w:rPr>
              <w:t>GB50016-2014（2018年版）</w:t>
            </w:r>
            <w:r>
              <w:rPr>
                <w:rFonts w:hint="eastAsia" w:ascii="宋体" w:hAnsi="宋体" w:eastAsia="宋体" w:cs="宋体"/>
                <w:bCs/>
                <w:color w:val="000000" w:themeColor="text1"/>
                <w:sz w:val="21"/>
                <w:szCs w:val="21"/>
                <w:highlight w:val="none"/>
                <w:lang w:eastAsia="zh-CN"/>
              </w:rPr>
              <w:t>表</w:t>
            </w:r>
            <w:r>
              <w:rPr>
                <w:rFonts w:hint="eastAsia" w:ascii="宋体" w:hAnsi="宋体" w:eastAsia="宋体" w:cs="宋体"/>
                <w:bCs/>
                <w:color w:val="000000" w:themeColor="text1"/>
                <w:sz w:val="21"/>
                <w:szCs w:val="21"/>
                <w:highlight w:val="none"/>
                <w:lang w:val="en-US" w:eastAsia="zh-CN"/>
              </w:rPr>
              <w:t>3.4.1</w:t>
            </w:r>
          </w:p>
        </w:tc>
        <w:tc>
          <w:tcPr>
            <w:tcW w:w="523" w:type="pct"/>
            <w:vAlign w:val="center"/>
          </w:tcPr>
          <w:p w14:paraId="05C377BA">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10</w:t>
            </w:r>
          </w:p>
        </w:tc>
        <w:tc>
          <w:tcPr>
            <w:tcW w:w="344" w:type="pct"/>
            <w:vAlign w:val="center"/>
          </w:tcPr>
          <w:p w14:paraId="5AA64EF0">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符合</w:t>
            </w:r>
          </w:p>
        </w:tc>
      </w:tr>
      <w:tr w14:paraId="47B45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0932588C">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7068BD91">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3F8245D9">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西</w:t>
            </w:r>
          </w:p>
        </w:tc>
        <w:tc>
          <w:tcPr>
            <w:tcW w:w="1057" w:type="pct"/>
            <w:vAlign w:val="center"/>
          </w:tcPr>
          <w:p w14:paraId="3F63B5E8">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长丝车间1</w:t>
            </w:r>
          </w:p>
          <w:p w14:paraId="162401C8">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CN"/>
              </w:rPr>
              <w:t>（丙、二级）</w:t>
            </w:r>
          </w:p>
        </w:tc>
        <w:tc>
          <w:tcPr>
            <w:tcW w:w="511" w:type="pct"/>
            <w:vAlign w:val="center"/>
          </w:tcPr>
          <w:p w14:paraId="1EE6C33E">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14</w:t>
            </w:r>
          </w:p>
        </w:tc>
        <w:tc>
          <w:tcPr>
            <w:tcW w:w="1078" w:type="pct"/>
            <w:vAlign w:val="center"/>
          </w:tcPr>
          <w:p w14:paraId="2963C944">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ascii="宋体" w:hAnsi="宋体" w:eastAsia="宋体" w:cs="宋体"/>
                <w:bCs/>
                <w:color w:val="000000" w:themeColor="text1"/>
                <w:sz w:val="21"/>
                <w:szCs w:val="21"/>
                <w:highlight w:val="none"/>
              </w:rPr>
              <w:t>GB50016-2014（2018年版）</w:t>
            </w:r>
            <w:r>
              <w:rPr>
                <w:rFonts w:hint="eastAsia" w:ascii="宋体" w:hAnsi="宋体" w:eastAsia="宋体" w:cs="宋体"/>
                <w:bCs/>
                <w:color w:val="000000" w:themeColor="text1"/>
                <w:sz w:val="21"/>
                <w:szCs w:val="21"/>
                <w:highlight w:val="none"/>
                <w:lang w:eastAsia="zh-CN"/>
              </w:rPr>
              <w:t>表</w:t>
            </w:r>
            <w:r>
              <w:rPr>
                <w:rFonts w:hint="eastAsia" w:ascii="宋体" w:hAnsi="宋体" w:eastAsia="宋体" w:cs="宋体"/>
                <w:bCs/>
                <w:color w:val="000000" w:themeColor="text1"/>
                <w:sz w:val="21"/>
                <w:szCs w:val="21"/>
                <w:highlight w:val="none"/>
                <w:lang w:val="en-US" w:eastAsia="zh-CN"/>
              </w:rPr>
              <w:t>3.4.1</w:t>
            </w:r>
          </w:p>
        </w:tc>
        <w:tc>
          <w:tcPr>
            <w:tcW w:w="523" w:type="pct"/>
            <w:vAlign w:val="center"/>
          </w:tcPr>
          <w:p w14:paraId="285BEF13">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10</w:t>
            </w:r>
          </w:p>
        </w:tc>
        <w:tc>
          <w:tcPr>
            <w:tcW w:w="344" w:type="pct"/>
            <w:vAlign w:val="center"/>
          </w:tcPr>
          <w:p w14:paraId="76505AA5">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符合</w:t>
            </w:r>
          </w:p>
        </w:tc>
      </w:tr>
      <w:tr w14:paraId="5BCCF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67817DA3">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70943903">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16D7D14D">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西北</w:t>
            </w:r>
          </w:p>
        </w:tc>
        <w:tc>
          <w:tcPr>
            <w:tcW w:w="1057" w:type="pct"/>
            <w:vAlign w:val="center"/>
          </w:tcPr>
          <w:p w14:paraId="6F95ED20">
            <w:pPr>
              <w:keepNext w:val="0"/>
              <w:keepLines w:val="0"/>
              <w:pageBreakBefore w:val="0"/>
              <w:widowControl w:val="0"/>
              <w:kinsoku/>
              <w:wordWrap/>
              <w:topLinePunct w:val="0"/>
              <w:bidi w:val="0"/>
              <w:adjustRightInd w:val="0"/>
              <w:snapToGrid w:val="0"/>
              <w:spacing w:line="240" w:lineRule="auto"/>
              <w:jc w:val="center"/>
              <w:rPr>
                <w:color w:val="000000" w:themeColor="text1"/>
                <w:spacing w:val="0"/>
                <w:highlight w:val="none"/>
              </w:rPr>
            </w:pPr>
            <w:r>
              <w:rPr>
                <w:color w:val="000000" w:themeColor="text1"/>
                <w:spacing w:val="0"/>
                <w:highlight w:val="none"/>
              </w:rPr>
              <w:t>药剂房</w:t>
            </w:r>
          </w:p>
          <w:p w14:paraId="79A4D2D2">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kern w:val="0"/>
                <w:sz w:val="21"/>
                <w:szCs w:val="21"/>
                <w:highlight w:val="none"/>
                <w:lang w:eastAsia="zh-CN"/>
              </w:rPr>
              <w:t>（戊、二级）</w:t>
            </w:r>
          </w:p>
        </w:tc>
        <w:tc>
          <w:tcPr>
            <w:tcW w:w="511" w:type="pct"/>
            <w:vAlign w:val="center"/>
          </w:tcPr>
          <w:p w14:paraId="3F5E9B82">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29</w:t>
            </w:r>
          </w:p>
        </w:tc>
        <w:tc>
          <w:tcPr>
            <w:tcW w:w="1078" w:type="pct"/>
            <w:vAlign w:val="center"/>
          </w:tcPr>
          <w:p w14:paraId="2872EE5A">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ascii="宋体" w:hAnsi="宋体" w:eastAsia="宋体" w:cs="宋体"/>
                <w:bCs/>
                <w:color w:val="000000" w:themeColor="text1"/>
                <w:sz w:val="21"/>
                <w:szCs w:val="21"/>
                <w:highlight w:val="none"/>
              </w:rPr>
              <w:t>GB50016-2014（2018年版）</w:t>
            </w:r>
            <w:r>
              <w:rPr>
                <w:rFonts w:hint="eastAsia" w:ascii="宋体" w:hAnsi="宋体" w:eastAsia="宋体" w:cs="宋体"/>
                <w:bCs/>
                <w:color w:val="000000" w:themeColor="text1"/>
                <w:sz w:val="21"/>
                <w:szCs w:val="21"/>
                <w:highlight w:val="none"/>
                <w:lang w:eastAsia="zh-CN"/>
              </w:rPr>
              <w:t>表</w:t>
            </w:r>
            <w:r>
              <w:rPr>
                <w:rFonts w:hint="eastAsia" w:ascii="宋体" w:hAnsi="宋体" w:eastAsia="宋体" w:cs="宋体"/>
                <w:bCs/>
                <w:color w:val="000000" w:themeColor="text1"/>
                <w:sz w:val="21"/>
                <w:szCs w:val="21"/>
                <w:highlight w:val="none"/>
                <w:lang w:val="en-US" w:eastAsia="zh-CN"/>
              </w:rPr>
              <w:t>3.4.1</w:t>
            </w:r>
          </w:p>
        </w:tc>
        <w:tc>
          <w:tcPr>
            <w:tcW w:w="523" w:type="pct"/>
            <w:vAlign w:val="center"/>
          </w:tcPr>
          <w:p w14:paraId="67C2E8A5">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10</w:t>
            </w:r>
          </w:p>
        </w:tc>
        <w:tc>
          <w:tcPr>
            <w:tcW w:w="344" w:type="pct"/>
            <w:vAlign w:val="center"/>
          </w:tcPr>
          <w:p w14:paraId="2713EB87">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符合</w:t>
            </w:r>
          </w:p>
        </w:tc>
      </w:tr>
      <w:tr w14:paraId="5BD81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4BE1BED3">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54D5444A">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21FEDE60">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北</w:t>
            </w:r>
          </w:p>
        </w:tc>
        <w:tc>
          <w:tcPr>
            <w:tcW w:w="1057" w:type="pct"/>
            <w:vAlign w:val="center"/>
          </w:tcPr>
          <w:p w14:paraId="193E5D36">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打线车间</w:t>
            </w:r>
          </w:p>
          <w:p w14:paraId="2CA0EEF2">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CN"/>
              </w:rPr>
              <w:t>（丙、二级）</w:t>
            </w:r>
          </w:p>
        </w:tc>
        <w:tc>
          <w:tcPr>
            <w:tcW w:w="511" w:type="pct"/>
            <w:vAlign w:val="center"/>
          </w:tcPr>
          <w:p w14:paraId="4039D7A0">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14</w:t>
            </w:r>
          </w:p>
        </w:tc>
        <w:tc>
          <w:tcPr>
            <w:tcW w:w="1078" w:type="pct"/>
            <w:vAlign w:val="center"/>
          </w:tcPr>
          <w:p w14:paraId="4F6A88E0">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ascii="宋体" w:hAnsi="宋体" w:eastAsia="宋体" w:cs="宋体"/>
                <w:bCs/>
                <w:color w:val="000000" w:themeColor="text1"/>
                <w:sz w:val="21"/>
                <w:szCs w:val="21"/>
                <w:highlight w:val="none"/>
              </w:rPr>
              <w:t>GB50016-2014（2018年版）</w:t>
            </w:r>
            <w:r>
              <w:rPr>
                <w:rFonts w:hint="eastAsia" w:ascii="宋体" w:hAnsi="宋体" w:eastAsia="宋体" w:cs="宋体"/>
                <w:bCs/>
                <w:color w:val="000000" w:themeColor="text1"/>
                <w:sz w:val="21"/>
                <w:szCs w:val="21"/>
                <w:highlight w:val="none"/>
                <w:lang w:eastAsia="zh-CN"/>
              </w:rPr>
              <w:t>表</w:t>
            </w:r>
            <w:r>
              <w:rPr>
                <w:rFonts w:hint="eastAsia" w:ascii="宋体" w:hAnsi="宋体" w:eastAsia="宋体" w:cs="宋体"/>
                <w:bCs/>
                <w:color w:val="000000" w:themeColor="text1"/>
                <w:sz w:val="21"/>
                <w:szCs w:val="21"/>
                <w:highlight w:val="none"/>
                <w:lang w:val="en-US" w:eastAsia="zh-CN"/>
              </w:rPr>
              <w:t>3.4.1</w:t>
            </w:r>
          </w:p>
        </w:tc>
        <w:tc>
          <w:tcPr>
            <w:tcW w:w="523" w:type="pct"/>
            <w:vAlign w:val="center"/>
          </w:tcPr>
          <w:p w14:paraId="2CF4B992">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10</w:t>
            </w:r>
          </w:p>
        </w:tc>
        <w:tc>
          <w:tcPr>
            <w:tcW w:w="344" w:type="pct"/>
            <w:vAlign w:val="center"/>
          </w:tcPr>
          <w:p w14:paraId="5498DD9B">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符合</w:t>
            </w:r>
          </w:p>
        </w:tc>
      </w:tr>
      <w:tr w14:paraId="147C0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restart"/>
            <w:vAlign w:val="center"/>
          </w:tcPr>
          <w:p w14:paraId="470C3108">
            <w:pPr>
              <w:keepNext w:val="0"/>
              <w:keepLines w:val="0"/>
              <w:pageBreakBefore w:val="0"/>
              <w:widowControl w:val="0"/>
              <w:numPr>
                <w:ilvl w:val="0"/>
                <w:numId w:val="51"/>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restart"/>
            <w:vAlign w:val="center"/>
          </w:tcPr>
          <w:p w14:paraId="1C8AA120">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sz w:val="21"/>
                <w:szCs w:val="21"/>
                <w:highlight w:val="none"/>
              </w:rPr>
            </w:pPr>
            <w:r>
              <w:rPr>
                <w:color w:val="000000" w:themeColor="text1"/>
                <w:spacing w:val="0"/>
                <w:sz w:val="21"/>
                <w:szCs w:val="21"/>
                <w:highlight w:val="none"/>
              </w:rPr>
              <w:t>药剂房</w:t>
            </w:r>
            <w:r>
              <w:rPr>
                <w:rFonts w:hint="eastAsia" w:ascii="宋体" w:hAnsi="宋体" w:eastAsia="宋体" w:cs="宋体"/>
                <w:color w:val="000000" w:themeColor="text1"/>
                <w:kern w:val="0"/>
                <w:sz w:val="21"/>
                <w:szCs w:val="21"/>
                <w:highlight w:val="none"/>
                <w:lang w:eastAsia="zh-CN"/>
              </w:rPr>
              <w:t>（戊、二级）</w:t>
            </w:r>
          </w:p>
        </w:tc>
        <w:tc>
          <w:tcPr>
            <w:tcW w:w="415" w:type="pct"/>
            <w:vAlign w:val="center"/>
          </w:tcPr>
          <w:p w14:paraId="2ACA2D52">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东</w:t>
            </w:r>
          </w:p>
        </w:tc>
        <w:tc>
          <w:tcPr>
            <w:tcW w:w="1057" w:type="pct"/>
            <w:vAlign w:val="center"/>
          </w:tcPr>
          <w:p w14:paraId="7E0142AD">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打线车间</w:t>
            </w:r>
          </w:p>
          <w:p w14:paraId="56E6C846">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CN"/>
              </w:rPr>
              <w:t>（丙、二级）</w:t>
            </w:r>
          </w:p>
        </w:tc>
        <w:tc>
          <w:tcPr>
            <w:tcW w:w="511" w:type="pct"/>
            <w:vAlign w:val="center"/>
          </w:tcPr>
          <w:p w14:paraId="5100B018">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default" w:cs="宋体"/>
                <w:color w:val="000000" w:themeColor="text1"/>
                <w:sz w:val="21"/>
                <w:szCs w:val="21"/>
                <w:highlight w:val="none"/>
                <w:lang w:val="en-US" w:eastAsia="zh-CN"/>
              </w:rPr>
              <w:t>1</w:t>
            </w:r>
            <w:r>
              <w:rPr>
                <w:rFonts w:hint="eastAsia" w:cs="宋体"/>
                <w:color w:val="000000" w:themeColor="text1"/>
                <w:sz w:val="21"/>
                <w:szCs w:val="21"/>
                <w:highlight w:val="none"/>
                <w:lang w:val="en-US" w:eastAsia="zh-CN"/>
              </w:rPr>
              <w:t>4</w:t>
            </w:r>
          </w:p>
        </w:tc>
        <w:tc>
          <w:tcPr>
            <w:tcW w:w="1078" w:type="pct"/>
            <w:vAlign w:val="center"/>
          </w:tcPr>
          <w:p w14:paraId="7D7D52BB">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ascii="宋体" w:hAnsi="宋体" w:eastAsia="宋体" w:cs="宋体"/>
                <w:bCs/>
                <w:color w:val="000000" w:themeColor="text1"/>
                <w:sz w:val="21"/>
                <w:szCs w:val="21"/>
                <w:highlight w:val="none"/>
              </w:rPr>
              <w:t>GB50016-2014（2018年版）</w:t>
            </w:r>
            <w:r>
              <w:rPr>
                <w:rFonts w:hint="eastAsia" w:ascii="宋体" w:hAnsi="宋体" w:eastAsia="宋体" w:cs="宋体"/>
                <w:bCs/>
                <w:color w:val="000000" w:themeColor="text1"/>
                <w:sz w:val="21"/>
                <w:szCs w:val="21"/>
                <w:highlight w:val="none"/>
                <w:lang w:eastAsia="zh-CN"/>
              </w:rPr>
              <w:t>表</w:t>
            </w:r>
            <w:r>
              <w:rPr>
                <w:rFonts w:hint="eastAsia" w:ascii="宋体" w:hAnsi="宋体" w:eastAsia="宋体" w:cs="宋体"/>
                <w:bCs/>
                <w:color w:val="000000" w:themeColor="text1"/>
                <w:sz w:val="21"/>
                <w:szCs w:val="21"/>
                <w:highlight w:val="none"/>
                <w:lang w:val="en-US" w:eastAsia="zh-CN"/>
              </w:rPr>
              <w:t>3.4.1</w:t>
            </w:r>
          </w:p>
        </w:tc>
        <w:tc>
          <w:tcPr>
            <w:tcW w:w="523" w:type="pct"/>
            <w:vAlign w:val="center"/>
          </w:tcPr>
          <w:p w14:paraId="5835115A">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10</w:t>
            </w:r>
          </w:p>
        </w:tc>
        <w:tc>
          <w:tcPr>
            <w:tcW w:w="344" w:type="pct"/>
            <w:vAlign w:val="center"/>
          </w:tcPr>
          <w:p w14:paraId="55E3BE86">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符合</w:t>
            </w:r>
          </w:p>
        </w:tc>
      </w:tr>
      <w:tr w14:paraId="208E9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6946CDBF">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56CB543D">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018C6850">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南</w:t>
            </w:r>
          </w:p>
        </w:tc>
        <w:tc>
          <w:tcPr>
            <w:tcW w:w="1057" w:type="pct"/>
            <w:vAlign w:val="center"/>
          </w:tcPr>
          <w:p w14:paraId="5E6F9B91">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长丝车间1</w:t>
            </w:r>
          </w:p>
          <w:p w14:paraId="3426FA15">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CN"/>
              </w:rPr>
              <w:t>（丙、二级）</w:t>
            </w:r>
          </w:p>
        </w:tc>
        <w:tc>
          <w:tcPr>
            <w:tcW w:w="511" w:type="pct"/>
            <w:vAlign w:val="center"/>
          </w:tcPr>
          <w:p w14:paraId="185226DE">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default" w:cs="宋体"/>
                <w:color w:val="000000" w:themeColor="text1"/>
                <w:sz w:val="21"/>
                <w:szCs w:val="21"/>
                <w:highlight w:val="none"/>
                <w:lang w:val="en-US" w:eastAsia="zh-CN"/>
              </w:rPr>
              <w:t>3</w:t>
            </w:r>
            <w:r>
              <w:rPr>
                <w:rFonts w:hint="eastAsia" w:cs="宋体"/>
                <w:color w:val="000000" w:themeColor="text1"/>
                <w:sz w:val="21"/>
                <w:szCs w:val="21"/>
                <w:highlight w:val="none"/>
                <w:lang w:val="en-US" w:eastAsia="zh-CN"/>
              </w:rPr>
              <w:t>0</w:t>
            </w:r>
          </w:p>
        </w:tc>
        <w:tc>
          <w:tcPr>
            <w:tcW w:w="1078" w:type="pct"/>
            <w:vAlign w:val="center"/>
          </w:tcPr>
          <w:p w14:paraId="6FCBD6E4">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ascii="宋体" w:hAnsi="宋体" w:eastAsia="宋体" w:cs="宋体"/>
                <w:bCs/>
                <w:color w:val="000000" w:themeColor="text1"/>
                <w:sz w:val="21"/>
                <w:szCs w:val="21"/>
                <w:highlight w:val="none"/>
              </w:rPr>
              <w:t>GB50016-2014（2018年版）</w:t>
            </w:r>
            <w:r>
              <w:rPr>
                <w:rFonts w:hint="eastAsia" w:ascii="宋体" w:hAnsi="宋体" w:eastAsia="宋体" w:cs="宋体"/>
                <w:bCs/>
                <w:color w:val="000000" w:themeColor="text1"/>
                <w:sz w:val="21"/>
                <w:szCs w:val="21"/>
                <w:highlight w:val="none"/>
                <w:lang w:eastAsia="zh-CN"/>
              </w:rPr>
              <w:t>表</w:t>
            </w:r>
            <w:r>
              <w:rPr>
                <w:rFonts w:hint="eastAsia" w:ascii="宋体" w:hAnsi="宋体" w:eastAsia="宋体" w:cs="宋体"/>
                <w:bCs/>
                <w:color w:val="000000" w:themeColor="text1"/>
                <w:sz w:val="21"/>
                <w:szCs w:val="21"/>
                <w:highlight w:val="none"/>
                <w:lang w:val="en-US" w:eastAsia="zh-CN"/>
              </w:rPr>
              <w:t>3.4.1</w:t>
            </w:r>
          </w:p>
        </w:tc>
        <w:tc>
          <w:tcPr>
            <w:tcW w:w="523" w:type="pct"/>
            <w:vAlign w:val="center"/>
          </w:tcPr>
          <w:p w14:paraId="6A6A5939">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10</w:t>
            </w:r>
          </w:p>
        </w:tc>
        <w:tc>
          <w:tcPr>
            <w:tcW w:w="344" w:type="pct"/>
            <w:vAlign w:val="center"/>
          </w:tcPr>
          <w:p w14:paraId="4B80B430">
            <w:pPr>
              <w:keepNext w:val="0"/>
              <w:keepLines w:val="0"/>
              <w:pageBreakBefore w:val="0"/>
              <w:widowControl w:val="0"/>
              <w:numPr>
                <w:ilvl w:val="0"/>
                <w:numId w:val="0"/>
              </w:numPr>
              <w:kinsoku/>
              <w:wordWrap/>
              <w:topLinePunct w:val="0"/>
              <w:bidi w:val="0"/>
              <w:adjustRightInd w:val="0"/>
              <w:snapToGrid w:val="0"/>
              <w:spacing w:line="240" w:lineRule="auto"/>
              <w:ind w:left="0" w:leftChars="0" w:firstLine="0" w:firstLineChars="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符合</w:t>
            </w:r>
          </w:p>
        </w:tc>
      </w:tr>
      <w:tr w14:paraId="2145A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67656F7E">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070F95B4">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5CDE02BE">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西</w:t>
            </w:r>
          </w:p>
        </w:tc>
        <w:tc>
          <w:tcPr>
            <w:tcW w:w="1057" w:type="pct"/>
            <w:vAlign w:val="center"/>
          </w:tcPr>
          <w:p w14:paraId="69574847">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调节池</w:t>
            </w:r>
          </w:p>
        </w:tc>
        <w:tc>
          <w:tcPr>
            <w:tcW w:w="511" w:type="pct"/>
            <w:vAlign w:val="center"/>
          </w:tcPr>
          <w:p w14:paraId="67189CB0">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3</w:t>
            </w:r>
          </w:p>
        </w:tc>
        <w:tc>
          <w:tcPr>
            <w:tcW w:w="1078" w:type="pct"/>
            <w:vAlign w:val="center"/>
          </w:tcPr>
          <w:p w14:paraId="5BB2FC26">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c>
          <w:tcPr>
            <w:tcW w:w="523" w:type="pct"/>
            <w:vAlign w:val="center"/>
          </w:tcPr>
          <w:p w14:paraId="3BEA5946">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c>
          <w:tcPr>
            <w:tcW w:w="344" w:type="pct"/>
            <w:vAlign w:val="center"/>
          </w:tcPr>
          <w:p w14:paraId="25B6B27B">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r>
      <w:tr w14:paraId="7FD0B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4EFD64BB">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6489A59A">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51074774">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北</w:t>
            </w:r>
          </w:p>
        </w:tc>
        <w:tc>
          <w:tcPr>
            <w:tcW w:w="1057" w:type="pct"/>
            <w:vAlign w:val="center"/>
          </w:tcPr>
          <w:p w14:paraId="3D57B96D">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曝气池</w:t>
            </w:r>
          </w:p>
        </w:tc>
        <w:tc>
          <w:tcPr>
            <w:tcW w:w="511" w:type="pct"/>
            <w:vAlign w:val="center"/>
          </w:tcPr>
          <w:p w14:paraId="1E5F9BC0">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5</w:t>
            </w:r>
          </w:p>
        </w:tc>
        <w:tc>
          <w:tcPr>
            <w:tcW w:w="1078" w:type="pct"/>
            <w:vAlign w:val="center"/>
          </w:tcPr>
          <w:p w14:paraId="27C1073C">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val="en-US" w:eastAsia="zh-CN"/>
              </w:rPr>
              <w:t>/</w:t>
            </w:r>
          </w:p>
        </w:tc>
        <w:tc>
          <w:tcPr>
            <w:tcW w:w="523" w:type="pct"/>
            <w:vAlign w:val="center"/>
          </w:tcPr>
          <w:p w14:paraId="2DF27D31">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val="en-US" w:eastAsia="zh-CN"/>
              </w:rPr>
              <w:t>/</w:t>
            </w:r>
          </w:p>
        </w:tc>
        <w:tc>
          <w:tcPr>
            <w:tcW w:w="344" w:type="pct"/>
            <w:vAlign w:val="center"/>
          </w:tcPr>
          <w:p w14:paraId="4B8228B1">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val="en-US" w:eastAsia="zh-CN"/>
              </w:rPr>
              <w:t>/</w:t>
            </w:r>
          </w:p>
        </w:tc>
      </w:tr>
      <w:tr w14:paraId="62FC6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restart"/>
            <w:vAlign w:val="center"/>
          </w:tcPr>
          <w:p w14:paraId="044C0F30">
            <w:pPr>
              <w:keepNext w:val="0"/>
              <w:keepLines w:val="0"/>
              <w:pageBreakBefore w:val="0"/>
              <w:widowControl w:val="0"/>
              <w:numPr>
                <w:ilvl w:val="0"/>
                <w:numId w:val="51"/>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restart"/>
            <w:vAlign w:val="center"/>
          </w:tcPr>
          <w:p w14:paraId="5C4D5F2B">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CN"/>
              </w:rPr>
              <w:t>次氯酸钠溶液加药区（戊）</w:t>
            </w:r>
          </w:p>
        </w:tc>
        <w:tc>
          <w:tcPr>
            <w:tcW w:w="415" w:type="pct"/>
            <w:vAlign w:val="center"/>
          </w:tcPr>
          <w:p w14:paraId="62818B94">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东</w:t>
            </w:r>
          </w:p>
        </w:tc>
        <w:tc>
          <w:tcPr>
            <w:tcW w:w="1057" w:type="pct"/>
            <w:vAlign w:val="center"/>
          </w:tcPr>
          <w:p w14:paraId="1B022954">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公司办公楼</w:t>
            </w:r>
          </w:p>
        </w:tc>
        <w:tc>
          <w:tcPr>
            <w:tcW w:w="511" w:type="pct"/>
            <w:vAlign w:val="center"/>
          </w:tcPr>
          <w:p w14:paraId="2FAB618F">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default" w:cs="宋体"/>
                <w:color w:val="000000" w:themeColor="text1"/>
                <w:sz w:val="21"/>
                <w:szCs w:val="21"/>
                <w:highlight w:val="none"/>
                <w:lang w:val="en-US" w:eastAsia="zh-CN"/>
              </w:rPr>
              <w:t>25</w:t>
            </w:r>
          </w:p>
        </w:tc>
        <w:tc>
          <w:tcPr>
            <w:tcW w:w="1078" w:type="pct"/>
            <w:vAlign w:val="center"/>
          </w:tcPr>
          <w:p w14:paraId="20673FB3">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c>
          <w:tcPr>
            <w:tcW w:w="523" w:type="pct"/>
            <w:vAlign w:val="center"/>
          </w:tcPr>
          <w:p w14:paraId="084FB3D5">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c>
          <w:tcPr>
            <w:tcW w:w="344" w:type="pct"/>
            <w:vAlign w:val="center"/>
          </w:tcPr>
          <w:p w14:paraId="62DA4963">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r>
      <w:tr w14:paraId="53FE6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3E16D670">
            <w:pPr>
              <w:keepNext w:val="0"/>
              <w:keepLines w:val="0"/>
              <w:pageBreakBefore w:val="0"/>
              <w:widowControl w:val="0"/>
              <w:numPr>
                <w:ilvl w:val="0"/>
                <w:numId w:val="51"/>
              </w:numPr>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0518C40D">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40A73D12">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东</w:t>
            </w:r>
          </w:p>
        </w:tc>
        <w:tc>
          <w:tcPr>
            <w:tcW w:w="1057" w:type="pct"/>
            <w:vAlign w:val="center"/>
          </w:tcPr>
          <w:p w14:paraId="5C138665">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打线车间</w:t>
            </w:r>
          </w:p>
        </w:tc>
        <w:tc>
          <w:tcPr>
            <w:tcW w:w="511" w:type="pct"/>
            <w:vAlign w:val="center"/>
          </w:tcPr>
          <w:p w14:paraId="3A0C2A10">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default" w:cs="宋体"/>
                <w:color w:val="000000" w:themeColor="text1"/>
                <w:sz w:val="21"/>
                <w:szCs w:val="21"/>
                <w:highlight w:val="none"/>
                <w:lang w:val="en-US" w:eastAsia="zh-CN"/>
              </w:rPr>
              <w:t>23</w:t>
            </w:r>
          </w:p>
        </w:tc>
        <w:tc>
          <w:tcPr>
            <w:tcW w:w="1078" w:type="pct"/>
            <w:vAlign w:val="center"/>
          </w:tcPr>
          <w:p w14:paraId="014C358A">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c>
          <w:tcPr>
            <w:tcW w:w="523" w:type="pct"/>
            <w:vAlign w:val="center"/>
          </w:tcPr>
          <w:p w14:paraId="0F652F1E">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c>
          <w:tcPr>
            <w:tcW w:w="344" w:type="pct"/>
            <w:vAlign w:val="center"/>
          </w:tcPr>
          <w:p w14:paraId="3A9F5475">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r>
      <w:tr w14:paraId="2BCE6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5EB5DDC5">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5CCD917A">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792C26E3">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南</w:t>
            </w:r>
          </w:p>
        </w:tc>
        <w:tc>
          <w:tcPr>
            <w:tcW w:w="1057" w:type="pct"/>
            <w:vAlign w:val="center"/>
          </w:tcPr>
          <w:p w14:paraId="7627C816">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MBR膜</w:t>
            </w:r>
          </w:p>
        </w:tc>
        <w:tc>
          <w:tcPr>
            <w:tcW w:w="511" w:type="pct"/>
            <w:vAlign w:val="center"/>
          </w:tcPr>
          <w:p w14:paraId="44262461">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0</w:t>
            </w:r>
          </w:p>
        </w:tc>
        <w:tc>
          <w:tcPr>
            <w:tcW w:w="1078" w:type="pct"/>
            <w:vAlign w:val="center"/>
          </w:tcPr>
          <w:p w14:paraId="33636330">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val="en-US" w:eastAsia="zh-CN"/>
              </w:rPr>
              <w:t>/</w:t>
            </w:r>
          </w:p>
        </w:tc>
        <w:tc>
          <w:tcPr>
            <w:tcW w:w="523" w:type="pct"/>
            <w:vAlign w:val="center"/>
          </w:tcPr>
          <w:p w14:paraId="006D30D4">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val="en-US" w:eastAsia="zh-CN"/>
              </w:rPr>
              <w:t>/</w:t>
            </w:r>
          </w:p>
        </w:tc>
        <w:tc>
          <w:tcPr>
            <w:tcW w:w="344" w:type="pct"/>
            <w:vAlign w:val="center"/>
          </w:tcPr>
          <w:p w14:paraId="38C66972">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val="en-US" w:eastAsia="zh-CN"/>
              </w:rPr>
              <w:t>/</w:t>
            </w:r>
          </w:p>
        </w:tc>
      </w:tr>
      <w:tr w14:paraId="4674E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187F9B3C">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649F6FC1">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69774AB6">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西</w:t>
            </w:r>
          </w:p>
        </w:tc>
        <w:tc>
          <w:tcPr>
            <w:tcW w:w="1057" w:type="pct"/>
            <w:vAlign w:val="center"/>
          </w:tcPr>
          <w:p w14:paraId="5ED2C3A6">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臭氧反应池</w:t>
            </w:r>
          </w:p>
        </w:tc>
        <w:tc>
          <w:tcPr>
            <w:tcW w:w="511" w:type="pct"/>
            <w:vAlign w:val="center"/>
          </w:tcPr>
          <w:p w14:paraId="65F11682">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val="en-US" w:eastAsia="zh-CN"/>
              </w:rPr>
              <w:t>0</w:t>
            </w:r>
          </w:p>
        </w:tc>
        <w:tc>
          <w:tcPr>
            <w:tcW w:w="1078" w:type="pct"/>
            <w:vAlign w:val="center"/>
          </w:tcPr>
          <w:p w14:paraId="02C7F721">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val="en-US" w:eastAsia="zh-CN"/>
              </w:rPr>
              <w:t>/</w:t>
            </w:r>
          </w:p>
        </w:tc>
        <w:tc>
          <w:tcPr>
            <w:tcW w:w="523" w:type="pct"/>
            <w:vAlign w:val="center"/>
          </w:tcPr>
          <w:p w14:paraId="11F833C7">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val="en-US" w:eastAsia="zh-CN"/>
              </w:rPr>
              <w:t>/</w:t>
            </w:r>
          </w:p>
        </w:tc>
        <w:tc>
          <w:tcPr>
            <w:tcW w:w="344" w:type="pct"/>
            <w:vAlign w:val="center"/>
          </w:tcPr>
          <w:p w14:paraId="48D7DF4D">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val="en-US" w:eastAsia="zh-CN"/>
              </w:rPr>
              <w:t>/</w:t>
            </w:r>
          </w:p>
        </w:tc>
      </w:tr>
      <w:tr w14:paraId="4B68A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Merge w:val="continue"/>
            <w:vAlign w:val="center"/>
          </w:tcPr>
          <w:p w14:paraId="37B2A191">
            <w:pPr>
              <w:keepNext w:val="0"/>
              <w:keepLines w:val="0"/>
              <w:pageBreakBefore w:val="0"/>
              <w:widowControl w:val="0"/>
              <w:kinsoku/>
              <w:wordWrap/>
              <w:topLinePunct w:val="0"/>
              <w:bidi w:val="0"/>
              <w:adjustRightInd w:val="0"/>
              <w:snapToGrid w:val="0"/>
              <w:spacing w:line="240" w:lineRule="auto"/>
              <w:ind w:left="425" w:leftChars="0" w:hanging="425" w:firstLineChars="0"/>
              <w:jc w:val="center"/>
              <w:rPr>
                <w:rFonts w:hint="eastAsia" w:ascii="宋体" w:hAnsi="宋体" w:eastAsia="宋体" w:cs="宋体"/>
                <w:color w:val="000000" w:themeColor="text1"/>
                <w:sz w:val="21"/>
                <w:szCs w:val="21"/>
                <w:highlight w:val="none"/>
              </w:rPr>
            </w:pPr>
          </w:p>
        </w:tc>
        <w:tc>
          <w:tcPr>
            <w:tcW w:w="842" w:type="pct"/>
            <w:vMerge w:val="continue"/>
            <w:vAlign w:val="center"/>
          </w:tcPr>
          <w:p w14:paraId="234C3917">
            <w:pPr>
              <w:keepNext w:val="0"/>
              <w:keepLines w:val="0"/>
              <w:pageBreakBefore w:val="0"/>
              <w:widowControl w:val="0"/>
              <w:kinsoku/>
              <w:wordWrap/>
              <w:topLinePunct w:val="0"/>
              <w:bidi w:val="0"/>
              <w:adjustRightInd w:val="0"/>
              <w:snapToGrid w:val="0"/>
              <w:spacing w:line="260" w:lineRule="exact"/>
              <w:jc w:val="center"/>
              <w:rPr>
                <w:rFonts w:hint="eastAsia" w:ascii="宋体" w:hAnsi="宋体" w:eastAsia="宋体" w:cs="宋体"/>
                <w:color w:val="000000" w:themeColor="text1"/>
                <w:kern w:val="0"/>
                <w:sz w:val="21"/>
                <w:szCs w:val="21"/>
                <w:highlight w:val="none"/>
                <w:lang w:eastAsia="zh-CN"/>
              </w:rPr>
            </w:pPr>
          </w:p>
        </w:tc>
        <w:tc>
          <w:tcPr>
            <w:tcW w:w="415" w:type="pct"/>
            <w:vAlign w:val="center"/>
          </w:tcPr>
          <w:p w14:paraId="45E49875">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北</w:t>
            </w:r>
          </w:p>
        </w:tc>
        <w:tc>
          <w:tcPr>
            <w:tcW w:w="1057" w:type="pct"/>
            <w:vAlign w:val="center"/>
          </w:tcPr>
          <w:p w14:paraId="615C2622">
            <w:pPr>
              <w:keepNext w:val="0"/>
              <w:keepLines w:val="0"/>
              <w:pageBreakBefore w:val="0"/>
              <w:widowControl w:val="0"/>
              <w:kinsoku/>
              <w:wordWrap/>
              <w:topLinePunct w:val="0"/>
              <w:bidi w:val="0"/>
              <w:adjustRightInd w:val="0"/>
              <w:snapToGrid w:val="0"/>
              <w:spacing w:line="240" w:lineRule="auto"/>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厂区大门</w:t>
            </w:r>
          </w:p>
        </w:tc>
        <w:tc>
          <w:tcPr>
            <w:tcW w:w="511" w:type="pct"/>
            <w:vAlign w:val="center"/>
          </w:tcPr>
          <w:p w14:paraId="54122EDC">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ascii="宋体" w:hAnsi="宋体" w:eastAsia="宋体" w:cs="宋体"/>
                <w:color w:val="000000" w:themeColor="text1"/>
                <w:sz w:val="21"/>
                <w:szCs w:val="21"/>
                <w:highlight w:val="none"/>
                <w:lang w:val="en-US" w:eastAsia="zh-CN"/>
              </w:rPr>
            </w:pPr>
            <w:r>
              <w:rPr>
                <w:rFonts w:hint="default" w:cs="宋体"/>
                <w:color w:val="000000" w:themeColor="text1"/>
                <w:sz w:val="21"/>
                <w:szCs w:val="21"/>
                <w:highlight w:val="none"/>
                <w:lang w:val="en-US" w:eastAsia="zh-CN"/>
              </w:rPr>
              <w:t>43</w:t>
            </w:r>
          </w:p>
        </w:tc>
        <w:tc>
          <w:tcPr>
            <w:tcW w:w="1078" w:type="pct"/>
            <w:vAlign w:val="center"/>
          </w:tcPr>
          <w:p w14:paraId="494FFB8B">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c>
          <w:tcPr>
            <w:tcW w:w="523" w:type="pct"/>
            <w:vAlign w:val="center"/>
          </w:tcPr>
          <w:p w14:paraId="30309BAA">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c>
          <w:tcPr>
            <w:tcW w:w="344" w:type="pct"/>
            <w:vAlign w:val="center"/>
          </w:tcPr>
          <w:p w14:paraId="07591888">
            <w:pPr>
              <w:keepNext w:val="0"/>
              <w:keepLines w:val="0"/>
              <w:pageBreakBefore w:val="0"/>
              <w:widowControl w:val="0"/>
              <w:numPr>
                <w:ilvl w:val="0"/>
                <w:numId w:val="0"/>
              </w:numPr>
              <w:kinsoku/>
              <w:wordWrap/>
              <w:topLinePunct w:val="0"/>
              <w:bidi w:val="0"/>
              <w:adjustRightInd w:val="0"/>
              <w:snapToGrid w:val="0"/>
              <w:spacing w:line="240" w:lineRule="auto"/>
              <w:ind w:left="0" w:firstLine="0"/>
              <w:jc w:val="center"/>
              <w:rPr>
                <w:rFonts w:hint="default"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w:t>
            </w:r>
          </w:p>
        </w:tc>
      </w:tr>
    </w:tbl>
    <w:p w14:paraId="25AA19B8">
      <w:pPr>
        <w:pStyle w:val="738"/>
        <w:keepNext w:val="0"/>
        <w:keepLines w:val="0"/>
        <w:pageBreakBefore w:val="0"/>
        <w:widowControl w:val="0"/>
        <w:kinsoku/>
        <w:wordWrap/>
        <w:overflowPunct/>
        <w:topLinePunct w:val="0"/>
        <w:autoSpaceDE/>
        <w:autoSpaceDN/>
        <w:bidi w:val="0"/>
        <w:adjustRightInd w:val="0"/>
        <w:snapToGrid w:val="0"/>
        <w:spacing w:before="219" w:beforeLines="50" w:line="360" w:lineRule="auto"/>
        <w:ind w:firstLine="560" w:firstLineChars="200"/>
        <w:jc w:val="left"/>
        <w:textAlignment w:val="auto"/>
        <w:rPr>
          <w:rFonts w:hint="eastAsia"/>
          <w:color w:val="000000" w:themeColor="text1"/>
          <w:sz w:val="28"/>
          <w:szCs w:val="28"/>
          <w:highlight w:val="none"/>
          <w:lang w:eastAsia="zh-CN"/>
        </w:rPr>
      </w:pPr>
      <w:r>
        <w:rPr>
          <w:rFonts w:hint="eastAsia"/>
          <w:color w:val="000000" w:themeColor="text1"/>
          <w:sz w:val="28"/>
          <w:szCs w:val="28"/>
          <w:highlight w:val="none"/>
        </w:rPr>
        <w:t>经检查，</w:t>
      </w:r>
      <w:r>
        <w:rPr>
          <w:rFonts w:hint="eastAsia"/>
          <w:color w:val="000000" w:themeColor="text1"/>
          <w:sz w:val="28"/>
          <w:szCs w:val="28"/>
          <w:highlight w:val="none"/>
          <w:lang w:eastAsia="zh-CN"/>
        </w:rPr>
        <w:t>本项目建筑物存在下列问题：</w:t>
      </w:r>
    </w:p>
    <w:p w14:paraId="3842E19D">
      <w:pPr>
        <w:pStyle w:val="738"/>
        <w:keepNext w:val="0"/>
        <w:keepLines w:val="0"/>
        <w:pageBreakBefore w:val="0"/>
        <w:widowControl w:val="0"/>
        <w:numPr>
          <w:ilvl w:val="0"/>
          <w:numId w:val="52"/>
        </w:numPr>
        <w:kinsoku/>
        <w:wordWrap/>
        <w:overflowPunct/>
        <w:topLinePunct w:val="0"/>
        <w:autoSpaceDE/>
        <w:autoSpaceDN/>
        <w:bidi w:val="0"/>
        <w:adjustRightInd w:val="0"/>
        <w:snapToGrid w:val="0"/>
        <w:spacing w:before="0" w:beforeLines="0" w:line="360" w:lineRule="auto"/>
        <w:ind w:left="0" w:firstLine="560" w:firstLineChars="200"/>
        <w:jc w:val="left"/>
        <w:textAlignment w:val="auto"/>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漂染车间（丙类厂房）内设置了办公室，隔墙上门未采用乙级防火门（为自动玻璃门）。</w:t>
      </w:r>
    </w:p>
    <w:p w14:paraId="350326EF">
      <w:pPr>
        <w:pStyle w:val="738"/>
        <w:keepNext w:val="0"/>
        <w:keepLines w:val="0"/>
        <w:pageBreakBefore w:val="0"/>
        <w:widowControl w:val="0"/>
        <w:numPr>
          <w:ilvl w:val="0"/>
          <w:numId w:val="52"/>
        </w:numPr>
        <w:kinsoku/>
        <w:wordWrap/>
        <w:overflowPunct/>
        <w:topLinePunct w:val="0"/>
        <w:autoSpaceDE/>
        <w:autoSpaceDN/>
        <w:bidi w:val="0"/>
        <w:adjustRightInd w:val="0"/>
        <w:snapToGrid w:val="0"/>
        <w:spacing w:before="0" w:beforeLines="0" w:line="360" w:lineRule="auto"/>
        <w:ind w:left="0" w:firstLine="560" w:firstLineChars="200"/>
        <w:jc w:val="left"/>
        <w:textAlignment w:val="auto"/>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漂染车间附房（乙类仓库）内设置了办公室。</w:t>
      </w:r>
    </w:p>
    <w:p w14:paraId="59BF176E">
      <w:pPr>
        <w:pStyle w:val="738"/>
        <w:keepNext w:val="0"/>
        <w:keepLines w:val="0"/>
        <w:pageBreakBefore w:val="0"/>
        <w:widowControl w:val="0"/>
        <w:numPr>
          <w:ilvl w:val="0"/>
          <w:numId w:val="52"/>
        </w:numPr>
        <w:kinsoku/>
        <w:wordWrap/>
        <w:overflowPunct/>
        <w:topLinePunct w:val="0"/>
        <w:autoSpaceDE/>
        <w:autoSpaceDN/>
        <w:bidi w:val="0"/>
        <w:adjustRightInd w:val="0"/>
        <w:snapToGrid w:val="0"/>
        <w:spacing w:before="0" w:beforeLines="0" w:line="360" w:lineRule="auto"/>
        <w:ind w:left="0" w:firstLine="560" w:firstLineChars="200"/>
        <w:jc w:val="left"/>
        <w:textAlignment w:val="auto"/>
        <w:rPr>
          <w:rFonts w:hint="eastAsia" w:ascii="宋体" w:hAnsi="宋体" w:eastAsia="宋体" w:cs="宋体"/>
          <w:bCs/>
          <w:color w:val="000000" w:themeColor="text1"/>
          <w:sz w:val="28"/>
          <w:szCs w:val="28"/>
          <w:highlight w:val="none"/>
        </w:rPr>
      </w:pPr>
      <w:r>
        <w:rPr>
          <w:rFonts w:hint="eastAsia" w:ascii="宋体" w:hAnsi="宋体" w:eastAsia="宋体" w:cs="宋体"/>
          <w:bCs/>
          <w:color w:val="000000" w:themeColor="text1"/>
          <w:highlight w:val="none"/>
        </w:rPr>
        <w:t>漂染车间附房（乙、二级）与机物料仓库（丙、二级）配电房（丙、二级）漂染车间（丙、二级）线厂仓库（丙、二级）防火间距不符合GB50016-2014（2018年版）要求</w:t>
      </w:r>
      <w:r>
        <w:rPr>
          <w:rFonts w:hint="eastAsia" w:ascii="宋体" w:hAnsi="宋体" w:eastAsia="宋体" w:cs="宋体"/>
          <w:bCs/>
          <w:color w:val="000000" w:themeColor="text1"/>
          <w:sz w:val="28"/>
          <w:szCs w:val="28"/>
          <w:highlight w:val="none"/>
        </w:rPr>
        <w:t>。</w:t>
      </w:r>
    </w:p>
    <w:bookmarkEnd w:id="823"/>
    <w:bookmarkEnd w:id="824"/>
    <w:bookmarkEnd w:id="825"/>
    <w:bookmarkEnd w:id="826"/>
    <w:bookmarkEnd w:id="827"/>
    <w:bookmarkEnd w:id="828"/>
    <w:p w14:paraId="605FDC34">
      <w:pPr>
        <w:widowControl w:val="0"/>
        <w:adjustRightInd w:val="0"/>
        <w:snapToGrid w:val="0"/>
        <w:spacing w:line="360" w:lineRule="auto"/>
        <w:outlineLvl w:val="2"/>
        <w:rPr>
          <w:rFonts w:ascii="黑体" w:eastAsia="黑体"/>
          <w:b/>
          <w:bCs/>
          <w:color w:val="000000" w:themeColor="text1"/>
          <w:kern w:val="0"/>
          <w:sz w:val="28"/>
          <w:szCs w:val="28"/>
          <w:highlight w:val="none"/>
          <w:lang w:val="en-GB"/>
        </w:rPr>
      </w:pPr>
      <w:bookmarkStart w:id="830" w:name="_Toc27046"/>
      <w:bookmarkStart w:id="831" w:name="_Toc2919"/>
      <w:bookmarkStart w:id="832" w:name="_Toc31252"/>
      <w:bookmarkStart w:id="833" w:name="_Toc25444"/>
      <w:bookmarkStart w:id="834" w:name="_Toc15369"/>
      <w:bookmarkStart w:id="835" w:name="_Toc16206"/>
      <w:bookmarkStart w:id="836" w:name="_Toc24169"/>
      <w:bookmarkStart w:id="837" w:name="_Toc8529"/>
      <w:bookmarkStart w:id="838" w:name="_Toc82"/>
      <w:bookmarkStart w:id="839" w:name="_Toc10509"/>
      <w:bookmarkStart w:id="840" w:name="_Toc4904"/>
      <w:bookmarkStart w:id="841" w:name="_Toc11041"/>
      <w:bookmarkStart w:id="842" w:name="_Toc25939"/>
      <w:bookmarkStart w:id="843" w:name="_Toc22465"/>
      <w:bookmarkStart w:id="844" w:name="_Toc26088"/>
      <w:bookmarkStart w:id="845" w:name="_Toc3067"/>
      <w:bookmarkStart w:id="846" w:name="_Toc14215"/>
      <w:bookmarkStart w:id="847" w:name="_Toc9079"/>
      <w:bookmarkStart w:id="848" w:name="_Toc3299"/>
      <w:bookmarkStart w:id="849" w:name="_Toc19441"/>
      <w:bookmarkStart w:id="850" w:name="_Toc5178"/>
      <w:bookmarkStart w:id="851" w:name="_Toc12839"/>
      <w:bookmarkStart w:id="852" w:name="_Toc9228"/>
      <w:bookmarkStart w:id="853" w:name="_Toc13442"/>
      <w:bookmarkStart w:id="854" w:name="_Toc24813"/>
      <w:bookmarkStart w:id="855" w:name="_Toc10125"/>
      <w:bookmarkStart w:id="856" w:name="_Toc31760"/>
      <w:bookmarkStart w:id="857" w:name="_Toc10646"/>
      <w:r>
        <w:rPr>
          <w:rFonts w:hint="eastAsia" w:ascii="黑体" w:eastAsia="黑体"/>
          <w:b/>
          <w:bCs/>
          <w:color w:val="000000" w:themeColor="text1"/>
          <w:kern w:val="0"/>
          <w:sz w:val="28"/>
          <w:szCs w:val="28"/>
          <w:highlight w:val="none"/>
          <w:lang w:val="en-GB"/>
        </w:rPr>
        <w:t>5.1.</w:t>
      </w:r>
      <w:r>
        <w:rPr>
          <w:rFonts w:hint="eastAsia" w:ascii="黑体" w:eastAsia="黑体"/>
          <w:b/>
          <w:bCs/>
          <w:color w:val="000000" w:themeColor="text1"/>
          <w:kern w:val="0"/>
          <w:sz w:val="28"/>
          <w:szCs w:val="28"/>
          <w:highlight w:val="none"/>
          <w:lang w:val="en-US" w:eastAsia="zh-CN"/>
        </w:rPr>
        <w:t>2</w:t>
      </w:r>
      <w:r>
        <w:rPr>
          <w:rFonts w:hint="eastAsia" w:ascii="黑体" w:eastAsia="黑体"/>
          <w:b/>
          <w:bCs/>
          <w:color w:val="000000" w:themeColor="text1"/>
          <w:kern w:val="0"/>
          <w:sz w:val="28"/>
          <w:szCs w:val="28"/>
          <w:highlight w:val="none"/>
          <w:lang w:val="en-GB"/>
        </w:rPr>
        <w:t>工贸企业危险化学品使用安全管理</w:t>
      </w:r>
      <w:bookmarkEnd w:id="830"/>
      <w:bookmarkEnd w:id="831"/>
      <w:bookmarkEnd w:id="832"/>
      <w:bookmarkEnd w:id="833"/>
      <w:bookmarkEnd w:id="834"/>
      <w:bookmarkEnd w:id="835"/>
      <w:bookmarkEnd w:id="836"/>
      <w:bookmarkEnd w:id="837"/>
      <w:bookmarkEnd w:id="838"/>
      <w:r>
        <w:rPr>
          <w:rFonts w:hint="eastAsia" w:ascii="黑体" w:eastAsia="黑体"/>
          <w:b/>
          <w:bCs/>
          <w:color w:val="000000" w:themeColor="text1"/>
          <w:kern w:val="0"/>
          <w:sz w:val="28"/>
          <w:szCs w:val="28"/>
          <w:highlight w:val="none"/>
          <w:lang w:val="en-GB"/>
        </w:rPr>
        <w:t>评价</w:t>
      </w:r>
      <w:bookmarkEnd w:id="839"/>
      <w:bookmarkEnd w:id="840"/>
      <w:bookmarkEnd w:id="841"/>
      <w:bookmarkEnd w:id="842"/>
      <w:bookmarkEnd w:id="843"/>
      <w:bookmarkEnd w:id="844"/>
      <w:bookmarkEnd w:id="845"/>
      <w:bookmarkEnd w:id="846"/>
      <w:bookmarkEnd w:id="847"/>
      <w:bookmarkEnd w:id="848"/>
      <w:bookmarkEnd w:id="849"/>
      <w:bookmarkEnd w:id="850"/>
      <w:bookmarkEnd w:id="851"/>
    </w:p>
    <w:p w14:paraId="3F228A0E">
      <w:pPr>
        <w:widowControl w:val="0"/>
        <w:adjustRightInd w:val="0"/>
        <w:snapToGrid w:val="0"/>
        <w:spacing w:line="360" w:lineRule="auto"/>
        <w:ind w:firstLine="561"/>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依据《浙江省应急管理厅关于印发〈浙江省工贸企业危险化学品使用安全管理指南（试行）〉的通知》浙应急基础</w:t>
      </w:r>
      <w:r>
        <w:rPr>
          <w:rFonts w:hint="eastAsia" w:ascii="宋体" w:hAnsi="宋体" w:eastAsia="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2020</w:t>
      </w:r>
      <w:r>
        <w:rPr>
          <w:rFonts w:hint="eastAsia" w:ascii="宋体" w:hAnsi="宋体" w:eastAsia="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75号的要求对</w:t>
      </w:r>
      <w:r>
        <w:rPr>
          <w:rFonts w:hint="eastAsia" w:cs="宋体"/>
          <w:color w:val="000000" w:themeColor="text1"/>
          <w:kern w:val="0"/>
          <w:sz w:val="28"/>
          <w:szCs w:val="28"/>
          <w:highlight w:val="none"/>
          <w:lang w:eastAsia="zh-CN"/>
        </w:rPr>
        <w:t>本项目</w:t>
      </w:r>
      <w:r>
        <w:rPr>
          <w:rFonts w:hint="eastAsia" w:ascii="宋体" w:hAnsi="宋体" w:eastAsia="宋体" w:cs="宋体"/>
          <w:color w:val="000000" w:themeColor="text1"/>
          <w:kern w:val="0"/>
          <w:sz w:val="28"/>
          <w:szCs w:val="28"/>
          <w:highlight w:val="none"/>
        </w:rPr>
        <w:t>危险化学品使用安全管理情况进行安全评价，检查情况详见下表。</w:t>
      </w:r>
    </w:p>
    <w:p w14:paraId="39618B15">
      <w:pPr>
        <w:pStyle w:val="2"/>
        <w:widowControl w:val="0"/>
        <w:adjustRightInd w:val="0"/>
        <w:snapToGrid w:val="0"/>
        <w:rPr>
          <w:rFonts w:hint="eastAsia" w:ascii="宋体" w:hAnsi="宋体" w:eastAsia="宋体" w:cs="宋体"/>
          <w:color w:val="000000" w:themeColor="text1"/>
          <w:kern w:val="0"/>
          <w:sz w:val="28"/>
          <w:szCs w:val="28"/>
          <w:highlight w:val="none"/>
        </w:rPr>
      </w:pPr>
    </w:p>
    <w:p w14:paraId="1AA9061F">
      <w:pPr>
        <w:widowControl w:val="0"/>
        <w:adjustRightInd w:val="0"/>
        <w:snapToGrid w:val="0"/>
        <w:rPr>
          <w:rFonts w:hint="eastAsia" w:ascii="宋体" w:hAnsi="宋体" w:eastAsia="宋体" w:cs="宋体"/>
          <w:color w:val="000000" w:themeColor="text1"/>
          <w:kern w:val="0"/>
          <w:sz w:val="28"/>
          <w:szCs w:val="28"/>
          <w:highlight w:val="none"/>
        </w:rPr>
      </w:pPr>
    </w:p>
    <w:p w14:paraId="36FCBF54">
      <w:pPr>
        <w:pStyle w:val="2"/>
        <w:widowControl w:val="0"/>
        <w:adjustRightInd w:val="0"/>
        <w:snapToGrid w:val="0"/>
        <w:rPr>
          <w:rFonts w:hint="eastAsia" w:ascii="宋体" w:hAnsi="宋体" w:eastAsia="宋体" w:cs="宋体"/>
          <w:color w:val="000000" w:themeColor="text1"/>
          <w:kern w:val="0"/>
          <w:sz w:val="28"/>
          <w:szCs w:val="28"/>
          <w:highlight w:val="none"/>
        </w:rPr>
      </w:pPr>
    </w:p>
    <w:p w14:paraId="076E84D6">
      <w:pPr>
        <w:widowControl w:val="0"/>
        <w:adjustRightInd w:val="0"/>
        <w:snapToGrid w:val="0"/>
        <w:rPr>
          <w:rFonts w:hint="eastAsia" w:ascii="宋体" w:hAnsi="宋体" w:eastAsia="宋体" w:cs="宋体"/>
          <w:color w:val="000000" w:themeColor="text1"/>
          <w:kern w:val="0"/>
          <w:sz w:val="28"/>
          <w:szCs w:val="28"/>
          <w:highlight w:val="none"/>
        </w:rPr>
      </w:pPr>
    </w:p>
    <w:p w14:paraId="2A0089B6">
      <w:pPr>
        <w:pStyle w:val="2"/>
        <w:widowControl w:val="0"/>
        <w:adjustRightInd w:val="0"/>
        <w:snapToGrid w:val="0"/>
        <w:rPr>
          <w:rFonts w:hint="eastAsia" w:ascii="宋体" w:hAnsi="宋体" w:eastAsia="宋体" w:cs="宋体"/>
          <w:color w:val="000000" w:themeColor="text1"/>
          <w:kern w:val="0"/>
          <w:sz w:val="28"/>
          <w:szCs w:val="28"/>
          <w:highlight w:val="none"/>
        </w:rPr>
      </w:pPr>
    </w:p>
    <w:p w14:paraId="269DD573">
      <w:pPr>
        <w:widowControl w:val="0"/>
        <w:adjustRightInd w:val="0"/>
        <w:snapToGrid w:val="0"/>
        <w:rPr>
          <w:rFonts w:hint="eastAsia" w:ascii="宋体" w:hAnsi="宋体" w:eastAsia="宋体" w:cs="宋体"/>
          <w:color w:val="000000" w:themeColor="text1"/>
          <w:kern w:val="0"/>
          <w:sz w:val="28"/>
          <w:szCs w:val="28"/>
          <w:highlight w:val="none"/>
        </w:rPr>
      </w:pPr>
    </w:p>
    <w:p w14:paraId="7962DA8A">
      <w:pPr>
        <w:pStyle w:val="2"/>
        <w:widowControl w:val="0"/>
        <w:adjustRightInd w:val="0"/>
        <w:snapToGrid w:val="0"/>
        <w:rPr>
          <w:rFonts w:hint="eastAsia" w:ascii="宋体" w:hAnsi="宋体" w:eastAsia="宋体" w:cs="宋体"/>
          <w:color w:val="000000" w:themeColor="text1"/>
          <w:kern w:val="0"/>
          <w:sz w:val="28"/>
          <w:szCs w:val="28"/>
          <w:highlight w:val="none"/>
        </w:rPr>
      </w:pPr>
    </w:p>
    <w:p w14:paraId="2BF26DB2">
      <w:pPr>
        <w:widowControl w:val="0"/>
        <w:adjustRightInd w:val="0"/>
        <w:snapToGrid w:val="0"/>
        <w:rPr>
          <w:rFonts w:hint="eastAsia" w:ascii="宋体" w:hAnsi="宋体" w:eastAsia="宋体" w:cs="宋体"/>
          <w:color w:val="000000" w:themeColor="text1"/>
          <w:kern w:val="0"/>
          <w:sz w:val="28"/>
          <w:szCs w:val="28"/>
          <w:highlight w:val="none"/>
        </w:rPr>
      </w:pPr>
    </w:p>
    <w:p w14:paraId="58BDBC30">
      <w:pPr>
        <w:pStyle w:val="2"/>
        <w:widowControl w:val="0"/>
        <w:adjustRightInd w:val="0"/>
        <w:snapToGrid w:val="0"/>
        <w:rPr>
          <w:rFonts w:hint="eastAsia" w:ascii="宋体" w:hAnsi="宋体" w:eastAsia="宋体" w:cs="宋体"/>
          <w:color w:val="000000" w:themeColor="text1"/>
          <w:kern w:val="0"/>
          <w:sz w:val="28"/>
          <w:szCs w:val="28"/>
          <w:highlight w:val="none"/>
        </w:rPr>
      </w:pPr>
    </w:p>
    <w:p w14:paraId="0A8A9B49">
      <w:pPr>
        <w:widowControl w:val="0"/>
        <w:adjustRightInd w:val="0"/>
        <w:snapToGrid w:val="0"/>
        <w:rPr>
          <w:rFonts w:hint="eastAsia"/>
          <w:color w:val="000000" w:themeColor="text1"/>
          <w:highlight w:val="none"/>
        </w:rPr>
      </w:pPr>
    </w:p>
    <w:p w14:paraId="51AF7DCE">
      <w:pPr>
        <w:widowControl w:val="0"/>
        <w:adjustRightInd w:val="0"/>
        <w:snapToGrid w:val="0"/>
        <w:spacing w:line="360" w:lineRule="auto"/>
        <w:jc w:val="center"/>
        <w:rPr>
          <w:rFonts w:ascii="黑体" w:hAnsi="黑体" w:eastAsia="黑体"/>
          <w:b/>
          <w:bCs/>
          <w:color w:val="000000" w:themeColor="text1"/>
          <w:kern w:val="0"/>
          <w:sz w:val="24"/>
          <w:szCs w:val="24"/>
          <w:highlight w:val="none"/>
        </w:rPr>
      </w:pPr>
    </w:p>
    <w:p w14:paraId="0742E956">
      <w:pPr>
        <w:widowControl w:val="0"/>
        <w:adjustRightInd w:val="0"/>
        <w:snapToGrid w:val="0"/>
        <w:spacing w:line="360" w:lineRule="auto"/>
        <w:jc w:val="center"/>
        <w:rPr>
          <w:rFonts w:cs="微软雅黑"/>
          <w:color w:val="000000" w:themeColor="text1"/>
          <w:kern w:val="0"/>
          <w:sz w:val="24"/>
          <w:szCs w:val="24"/>
          <w:highlight w:val="none"/>
        </w:rPr>
      </w:pPr>
      <w:r>
        <w:rPr>
          <w:rFonts w:ascii="黑体" w:hAnsi="黑体" w:eastAsia="黑体"/>
          <w:b/>
          <w:bCs/>
          <w:color w:val="000000" w:themeColor="text1"/>
          <w:kern w:val="0"/>
          <w:sz w:val="24"/>
          <w:szCs w:val="24"/>
          <w:highlight w:val="none"/>
        </w:rPr>
        <w:t>表5</w:t>
      </w:r>
      <w:r>
        <w:rPr>
          <w:rFonts w:hint="eastAsia" w:ascii="黑体" w:hAnsi="黑体" w:eastAsia="黑体"/>
          <w:b/>
          <w:bCs/>
          <w:color w:val="000000" w:themeColor="text1"/>
          <w:kern w:val="0"/>
          <w:sz w:val="24"/>
          <w:szCs w:val="24"/>
          <w:highlight w:val="none"/>
        </w:rPr>
        <w:t>.1</w:t>
      </w:r>
      <w:r>
        <w:rPr>
          <w:rFonts w:ascii="黑体" w:hAnsi="黑体" w:eastAsia="黑体"/>
          <w:b/>
          <w:bCs/>
          <w:color w:val="000000" w:themeColor="text1"/>
          <w:kern w:val="0"/>
          <w:sz w:val="24"/>
          <w:szCs w:val="24"/>
          <w:highlight w:val="none"/>
        </w:rPr>
        <w:t>-</w:t>
      </w:r>
      <w:r>
        <w:rPr>
          <w:rFonts w:hint="eastAsia" w:ascii="黑体" w:hAnsi="黑体" w:eastAsia="黑体"/>
          <w:b/>
          <w:bCs/>
          <w:color w:val="000000" w:themeColor="text1"/>
          <w:kern w:val="0"/>
          <w:sz w:val="24"/>
          <w:szCs w:val="24"/>
          <w:highlight w:val="none"/>
          <w:lang w:val="en-US" w:eastAsia="zh-CN"/>
        </w:rPr>
        <w:t>4</w:t>
      </w:r>
      <w:r>
        <w:rPr>
          <w:rFonts w:hint="eastAsia" w:ascii="黑体" w:hAnsi="黑体" w:eastAsia="黑体"/>
          <w:b/>
          <w:bCs/>
          <w:color w:val="000000" w:themeColor="text1"/>
          <w:kern w:val="0"/>
          <w:sz w:val="24"/>
          <w:szCs w:val="24"/>
          <w:highlight w:val="none"/>
        </w:rPr>
        <w:t xml:space="preserve"> 工贸企业危险化学品使用安全管理检查表</w:t>
      </w:r>
    </w:p>
    <w:tbl>
      <w:tblPr>
        <w:tblStyle w:val="6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1477"/>
        <w:gridCol w:w="4200"/>
        <w:gridCol w:w="2287"/>
        <w:gridCol w:w="752"/>
      </w:tblGrid>
      <w:tr w14:paraId="21800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60" w:type="pct"/>
            <w:vAlign w:val="center"/>
          </w:tcPr>
          <w:p w14:paraId="34B99229">
            <w:pPr>
              <w:widowControl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检查项目</w:t>
            </w:r>
          </w:p>
        </w:tc>
        <w:tc>
          <w:tcPr>
            <w:tcW w:w="3021" w:type="pct"/>
            <w:gridSpan w:val="2"/>
            <w:vAlign w:val="center"/>
          </w:tcPr>
          <w:p w14:paraId="79DD9BAA">
            <w:pPr>
              <w:widowControl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检查内容与要求</w:t>
            </w:r>
          </w:p>
        </w:tc>
        <w:tc>
          <w:tcPr>
            <w:tcW w:w="1217" w:type="pct"/>
            <w:vAlign w:val="center"/>
          </w:tcPr>
          <w:p w14:paraId="431A7E77">
            <w:pPr>
              <w:widowControl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检查情况</w:t>
            </w:r>
          </w:p>
        </w:tc>
        <w:tc>
          <w:tcPr>
            <w:tcW w:w="400" w:type="pct"/>
            <w:vAlign w:val="center"/>
          </w:tcPr>
          <w:p w14:paraId="0516CE22">
            <w:pPr>
              <w:widowControl w:val="0"/>
              <w:bidi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检查结果</w:t>
            </w:r>
          </w:p>
        </w:tc>
      </w:tr>
      <w:tr w14:paraId="50FDA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Align w:val="center"/>
          </w:tcPr>
          <w:p w14:paraId="3928FDC1">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企业（建设项目）总体安全要求</w:t>
            </w:r>
          </w:p>
        </w:tc>
        <w:tc>
          <w:tcPr>
            <w:tcW w:w="786" w:type="pct"/>
            <w:vAlign w:val="center"/>
          </w:tcPr>
          <w:p w14:paraId="6D456CC0">
            <w:pPr>
              <w:widowControl w:val="0"/>
              <w:bidi w:val="0"/>
              <w:adjustRightInd w:val="0"/>
              <w:snapToGrid w:val="0"/>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75号第3.3条</w:t>
            </w:r>
          </w:p>
        </w:tc>
        <w:tc>
          <w:tcPr>
            <w:tcW w:w="2235" w:type="pct"/>
            <w:vAlign w:val="center"/>
          </w:tcPr>
          <w:p w14:paraId="52E98E9A">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使用危险化学品从事生产，使用和储存量比较大的企业，最好委托具备国家规定资质条件的机构，对企业的安全生产条件进行安全评价，安全评价报告的内容应当包括对安全生产条件存在的问题进行整改的方案，并将安全评价报告及整改方案的落实情况报所在地县级人民政府应急管理部门；其他企业应定期开展安全评价和风险辨识（评估或专家检查），企业应根据安全评价（评估或专家检查）结果改善安全生产条件。</w:t>
            </w:r>
          </w:p>
          <w:p w14:paraId="2ABCFDE2">
            <w:pPr>
              <w:widowControl w:val="0"/>
              <w:bidi w:val="0"/>
              <w:adjustRightInd w:val="0"/>
              <w:snapToGrid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企业应按照《危险化学品重大危险源辨识》（GB18218）的规定，进行危险化学品重大危险源辨识，并记录辨识过程与结果。构成危险化学品重大危险源的，应当根据《危险化学品重大危险源监督管理暂行规定》（原国家安全监管总局令第40号，国家安全生产监督管理总局令第79号修正）的要求，进行重大危险源安全评估，确定重大危险源等级，并采取相应的安全措施，并将重大危险源档案材料报送所在地县级人民政府应急管理部门备案。</w:t>
            </w:r>
          </w:p>
        </w:tc>
        <w:tc>
          <w:tcPr>
            <w:tcW w:w="1217" w:type="pct"/>
            <w:vAlign w:val="center"/>
          </w:tcPr>
          <w:p w14:paraId="5CEE26D4">
            <w:pPr>
              <w:widowControl w:val="0"/>
              <w:bidi w:val="0"/>
              <w:adjustRightInd w:val="0"/>
              <w:snapToGrid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已委托评价，评价报告内容包含危险化学品重大危险源辨识内容。</w:t>
            </w:r>
          </w:p>
        </w:tc>
        <w:tc>
          <w:tcPr>
            <w:tcW w:w="400" w:type="pct"/>
            <w:vAlign w:val="center"/>
          </w:tcPr>
          <w:p w14:paraId="698EC848">
            <w:pPr>
              <w:widowControl w:val="0"/>
              <w:bidi w:val="0"/>
              <w:adjustRightInd w:val="0"/>
              <w:snapToGrid w:val="0"/>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符合</w:t>
            </w:r>
          </w:p>
        </w:tc>
      </w:tr>
      <w:tr w14:paraId="10492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restart"/>
            <w:vAlign w:val="center"/>
          </w:tcPr>
          <w:p w14:paraId="54B67207">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基础安全管理</w:t>
            </w:r>
          </w:p>
        </w:tc>
        <w:tc>
          <w:tcPr>
            <w:tcW w:w="786" w:type="pct"/>
            <w:vAlign w:val="center"/>
          </w:tcPr>
          <w:p w14:paraId="6CC7AFCA">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75号第4.1条</w:t>
            </w:r>
          </w:p>
        </w:tc>
        <w:tc>
          <w:tcPr>
            <w:tcW w:w="2235" w:type="pct"/>
            <w:vAlign w:val="center"/>
          </w:tcPr>
          <w:p w14:paraId="662BD696">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企业应建立、健全安全生产责任制，加强监督考核，保证安全生产责任制落实。</w:t>
            </w:r>
          </w:p>
        </w:tc>
        <w:tc>
          <w:tcPr>
            <w:tcW w:w="1217" w:type="pct"/>
            <w:vAlign w:val="center"/>
          </w:tcPr>
          <w:p w14:paraId="3C8C2422">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建立了安全生产责任制。</w:t>
            </w:r>
          </w:p>
        </w:tc>
        <w:tc>
          <w:tcPr>
            <w:tcW w:w="400" w:type="pct"/>
            <w:vAlign w:val="center"/>
          </w:tcPr>
          <w:p w14:paraId="6EB39F7D">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符合</w:t>
            </w:r>
          </w:p>
        </w:tc>
      </w:tr>
      <w:tr w14:paraId="6FAB5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continue"/>
            <w:vAlign w:val="center"/>
          </w:tcPr>
          <w:p w14:paraId="1B874DF9">
            <w:pPr>
              <w:widowControl w:val="0"/>
              <w:bidi w:val="0"/>
              <w:adjustRightInd w:val="0"/>
              <w:snapToGrid w:val="0"/>
              <w:jc w:val="center"/>
              <w:rPr>
                <w:rFonts w:hint="eastAsia" w:ascii="宋体" w:hAnsi="宋体" w:eastAsia="宋体" w:cs="宋体"/>
                <w:color w:val="000000" w:themeColor="text1"/>
                <w:sz w:val="21"/>
                <w:szCs w:val="21"/>
                <w:highlight w:val="none"/>
              </w:rPr>
            </w:pPr>
          </w:p>
        </w:tc>
        <w:tc>
          <w:tcPr>
            <w:tcW w:w="786" w:type="pct"/>
            <w:vAlign w:val="center"/>
          </w:tcPr>
          <w:p w14:paraId="24C5EB8A">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75号第4.3条</w:t>
            </w:r>
          </w:p>
        </w:tc>
        <w:tc>
          <w:tcPr>
            <w:tcW w:w="2235" w:type="pct"/>
            <w:vAlign w:val="center"/>
          </w:tcPr>
          <w:p w14:paraId="07E1F74D">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企业应按规定设置安全生产管理机构，配备相应的专业技术人员、专职或兼职的安全生产管理人员。</w:t>
            </w:r>
          </w:p>
        </w:tc>
        <w:tc>
          <w:tcPr>
            <w:tcW w:w="1217" w:type="pct"/>
            <w:vAlign w:val="center"/>
          </w:tcPr>
          <w:p w14:paraId="7F2FA621">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检查情况见下文。</w:t>
            </w:r>
          </w:p>
        </w:tc>
        <w:tc>
          <w:tcPr>
            <w:tcW w:w="400" w:type="pct"/>
            <w:vAlign w:val="center"/>
          </w:tcPr>
          <w:p w14:paraId="6729EF05">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符合</w:t>
            </w:r>
          </w:p>
        </w:tc>
      </w:tr>
      <w:tr w14:paraId="66F4C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continue"/>
            <w:vAlign w:val="center"/>
          </w:tcPr>
          <w:p w14:paraId="2EEE0C95">
            <w:pPr>
              <w:widowControl w:val="0"/>
              <w:bidi w:val="0"/>
              <w:adjustRightInd w:val="0"/>
              <w:snapToGrid w:val="0"/>
              <w:jc w:val="center"/>
              <w:rPr>
                <w:rFonts w:hint="eastAsia" w:ascii="宋体" w:hAnsi="宋体" w:eastAsia="宋体" w:cs="宋体"/>
                <w:color w:val="000000" w:themeColor="text1"/>
                <w:sz w:val="21"/>
                <w:szCs w:val="21"/>
                <w:highlight w:val="none"/>
              </w:rPr>
            </w:pPr>
          </w:p>
        </w:tc>
        <w:tc>
          <w:tcPr>
            <w:tcW w:w="786" w:type="pct"/>
            <w:vAlign w:val="center"/>
          </w:tcPr>
          <w:p w14:paraId="70C0110C">
            <w:pPr>
              <w:widowControl w:val="0"/>
              <w:bidi w:val="0"/>
              <w:adjustRightInd w:val="0"/>
              <w:snapToGrid w:val="0"/>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《浙江省安全生产条例（2022年修订）》第</w:t>
            </w:r>
            <w:r>
              <w:rPr>
                <w:rFonts w:hint="eastAsia" w:ascii="宋体" w:hAnsi="宋体" w:eastAsia="宋体" w:cs="宋体"/>
                <w:color w:val="000000" w:themeColor="text1"/>
                <w:sz w:val="21"/>
                <w:szCs w:val="21"/>
                <w:highlight w:val="none"/>
                <w:lang w:val="en-US" w:eastAsia="zh-CN"/>
              </w:rPr>
              <w:t>14</w:t>
            </w:r>
            <w:r>
              <w:rPr>
                <w:rFonts w:hint="eastAsia" w:ascii="宋体" w:hAnsi="宋体" w:eastAsia="宋体" w:cs="宋体"/>
                <w:color w:val="000000" w:themeColor="text1"/>
                <w:sz w:val="21"/>
                <w:szCs w:val="21"/>
                <w:highlight w:val="none"/>
              </w:rPr>
              <w:t>条</w:t>
            </w:r>
          </w:p>
        </w:tc>
        <w:tc>
          <w:tcPr>
            <w:tcW w:w="2235" w:type="pct"/>
            <w:vAlign w:val="center"/>
          </w:tcPr>
          <w:p w14:paraId="2B9A82B0">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矿山、金属冶炼、建筑施工、船舶修造（拆解）、运输单位，危险物品的生产、经营、储存、装卸单位，以及使用危险化学品数量构成重大危险源的生产单位，应当按照下列规定设置安全生产管理机构、配备专职安全生产管理人员：</w:t>
            </w:r>
          </w:p>
          <w:p w14:paraId="76B7BD6E">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（一）从业人员不足五十人的，应当配备专职安全生产管理人员；</w:t>
            </w:r>
          </w:p>
          <w:p w14:paraId="269408EB">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（二）从业人员五十人以上不足一百人的，应当设置安全生产管理机构，并配备两名以上专职安全生产管理人员；</w:t>
            </w:r>
          </w:p>
          <w:p w14:paraId="2E491336">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（三）从业人员一百人以上不足三百人的，应当设置安全生产管理机构，并配备三名以上专职安全生产管理人员；</w:t>
            </w:r>
          </w:p>
          <w:p w14:paraId="5EB0D31B">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（四）从业人员三百人以上的，应当设置安全生产管理机构，并按照不低于从业人员</w:t>
            </w:r>
            <w:r>
              <w:rPr>
                <w:rFonts w:hint="eastAsia" w:ascii="宋体" w:hAnsi="宋体" w:eastAsia="宋体" w:cs="宋体"/>
                <w:color w:val="000000" w:themeColor="text1"/>
                <w:sz w:val="21"/>
                <w:szCs w:val="21"/>
                <w:highlight w:val="none"/>
                <w:lang w:eastAsia="zh-CN"/>
              </w:rPr>
              <w:t>1%</w:t>
            </w:r>
            <w:r>
              <w:rPr>
                <w:rFonts w:hint="eastAsia" w:ascii="宋体" w:hAnsi="宋体" w:eastAsia="宋体" w:cs="宋体"/>
                <w:color w:val="000000" w:themeColor="text1"/>
                <w:sz w:val="21"/>
                <w:szCs w:val="21"/>
                <w:highlight w:val="none"/>
              </w:rPr>
              <w:t>的比例配备专职安全生产管理人员。</w:t>
            </w:r>
          </w:p>
          <w:p w14:paraId="1BA393AA">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前款规定以外的其他生产经营单位，应当按照下列规定设置安全生产管理机构、配备安全生产管理人员：</w:t>
            </w:r>
          </w:p>
          <w:p w14:paraId="027C8E04">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（一）从业人员不足一百人的，应当配备专职或者兼职安全生产管理人员；</w:t>
            </w:r>
          </w:p>
          <w:p w14:paraId="2610DC55">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（二）从业人员一百人以上不足五百人的，应当配备专职安全生产管理人员；</w:t>
            </w:r>
          </w:p>
          <w:p w14:paraId="57CD1CB2">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（三）从业人员五百人以上的，应当设置安全生产管理机构，并配备两名以上专职安全生产管理人员。</w:t>
            </w:r>
          </w:p>
          <w:p w14:paraId="07B53683">
            <w:pPr>
              <w:widowControl w:val="0"/>
              <w:bidi w:val="0"/>
              <w:adjustRightInd w:val="0"/>
              <w:snapToGrid w:val="0"/>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lang w:eastAsia="zh-CN"/>
              </w:rPr>
              <w:t>法律法规</w:t>
            </w:r>
            <w:r>
              <w:rPr>
                <w:rFonts w:hint="eastAsia" w:ascii="宋体" w:hAnsi="宋体" w:eastAsia="宋体" w:cs="宋体"/>
                <w:color w:val="000000" w:themeColor="text1"/>
                <w:sz w:val="21"/>
                <w:szCs w:val="21"/>
                <w:highlight w:val="none"/>
              </w:rPr>
              <w:t>和国家有关规定严于本条例规定的，从其规定。</w:t>
            </w:r>
          </w:p>
        </w:tc>
        <w:tc>
          <w:tcPr>
            <w:tcW w:w="1217" w:type="pct"/>
            <w:vAlign w:val="center"/>
          </w:tcPr>
          <w:p w14:paraId="74C11A1B">
            <w:pPr>
              <w:widowControl w:val="0"/>
              <w:bidi w:val="0"/>
              <w:adjustRightInd w:val="0"/>
              <w:snapToGrid w:val="0"/>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rPr>
              <w:t>设置</w:t>
            </w:r>
            <w:r>
              <w:rPr>
                <w:rFonts w:hint="eastAsia" w:ascii="宋体" w:hAnsi="宋体" w:eastAsia="宋体" w:cs="宋体"/>
                <w:color w:val="000000" w:themeColor="text1"/>
                <w:sz w:val="21"/>
                <w:szCs w:val="21"/>
                <w:highlight w:val="none"/>
                <w:lang w:eastAsia="zh-CN"/>
              </w:rPr>
              <w:t>了</w:t>
            </w:r>
            <w:r>
              <w:rPr>
                <w:rFonts w:hint="eastAsia" w:ascii="宋体" w:hAnsi="宋体" w:eastAsia="宋体" w:cs="宋体"/>
                <w:color w:val="000000" w:themeColor="text1"/>
                <w:sz w:val="21"/>
                <w:szCs w:val="21"/>
                <w:highlight w:val="none"/>
              </w:rPr>
              <w:t>安全生产管理机构</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val="en-US" w:eastAsia="zh-CN"/>
              </w:rPr>
              <w:t>EHS</w:t>
            </w:r>
            <w:r>
              <w:rPr>
                <w:rFonts w:hint="eastAsia" w:ascii="宋体" w:hAnsi="宋体" w:eastAsia="宋体" w:cs="宋体"/>
                <w:color w:val="000000" w:themeColor="text1"/>
                <w:sz w:val="21"/>
                <w:szCs w:val="21"/>
                <w:highlight w:val="none"/>
              </w:rPr>
              <w:t>、配备</w:t>
            </w:r>
            <w:r>
              <w:rPr>
                <w:rFonts w:hint="eastAsia" w:ascii="宋体" w:hAnsi="宋体" w:eastAsia="宋体" w:cs="宋体"/>
                <w:color w:val="000000" w:themeColor="text1"/>
                <w:sz w:val="21"/>
                <w:szCs w:val="21"/>
                <w:highlight w:val="none"/>
                <w:lang w:val="en-US" w:eastAsia="zh-CN"/>
              </w:rPr>
              <w:t>2名</w:t>
            </w:r>
            <w:r>
              <w:rPr>
                <w:rFonts w:hint="eastAsia" w:ascii="宋体" w:hAnsi="宋体" w:eastAsia="宋体" w:cs="宋体"/>
                <w:color w:val="000000" w:themeColor="text1"/>
                <w:sz w:val="21"/>
                <w:szCs w:val="21"/>
                <w:highlight w:val="none"/>
              </w:rPr>
              <w:t>专职安全生产管理人员</w:t>
            </w:r>
            <w:r>
              <w:rPr>
                <w:rFonts w:hint="eastAsia" w:ascii="宋体" w:hAnsi="宋体" w:eastAsia="宋体" w:cs="宋体"/>
                <w:color w:val="000000" w:themeColor="text1"/>
                <w:sz w:val="21"/>
                <w:szCs w:val="21"/>
                <w:highlight w:val="none"/>
                <w:lang w:eastAsia="zh-CN"/>
              </w:rPr>
              <w:t>。</w:t>
            </w:r>
          </w:p>
        </w:tc>
        <w:tc>
          <w:tcPr>
            <w:tcW w:w="400" w:type="pct"/>
            <w:vAlign w:val="center"/>
          </w:tcPr>
          <w:p w14:paraId="1B1397DE">
            <w:pPr>
              <w:widowControl w:val="0"/>
              <w:bidi w:val="0"/>
              <w:adjustRightInd w:val="0"/>
              <w:snapToGrid w:val="0"/>
              <w:jc w:val="center"/>
              <w:rPr>
                <w:rFonts w:hint="eastAsia" w:ascii="宋体" w:hAnsi="宋体" w:eastAsia="宋体" w:cs="宋体"/>
                <w:color w:val="000000" w:themeColor="text1"/>
                <w:sz w:val="21"/>
                <w:szCs w:val="21"/>
                <w:highlight w:val="none"/>
                <w:lang w:val="en-US" w:eastAsia="zh-CN" w:bidi="ar-SA"/>
              </w:rPr>
            </w:pPr>
            <w:r>
              <w:rPr>
                <w:rFonts w:hint="eastAsia" w:ascii="宋体" w:hAnsi="宋体" w:eastAsia="宋体" w:cs="宋体"/>
                <w:color w:val="000000" w:themeColor="text1"/>
                <w:sz w:val="21"/>
                <w:szCs w:val="21"/>
                <w:highlight w:val="none"/>
                <w:lang w:eastAsia="zh-CN"/>
              </w:rPr>
              <w:t>符合</w:t>
            </w:r>
          </w:p>
        </w:tc>
      </w:tr>
      <w:tr w14:paraId="2A8B0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continue"/>
            <w:vAlign w:val="center"/>
          </w:tcPr>
          <w:p w14:paraId="5BFD38D2">
            <w:pPr>
              <w:widowControl w:val="0"/>
              <w:bidi w:val="0"/>
              <w:adjustRightInd w:val="0"/>
              <w:snapToGrid w:val="0"/>
              <w:jc w:val="center"/>
              <w:rPr>
                <w:rFonts w:hint="eastAsia" w:ascii="宋体" w:hAnsi="宋体" w:eastAsia="宋体" w:cs="宋体"/>
                <w:color w:val="000000" w:themeColor="text1"/>
                <w:sz w:val="21"/>
                <w:szCs w:val="21"/>
                <w:highlight w:val="none"/>
              </w:rPr>
            </w:pPr>
          </w:p>
        </w:tc>
        <w:tc>
          <w:tcPr>
            <w:tcW w:w="786" w:type="pct"/>
            <w:vAlign w:val="center"/>
          </w:tcPr>
          <w:p w14:paraId="0EB376C7">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cs="宋体"/>
                <w:bCs/>
                <w:color w:val="000000" w:themeColor="text1"/>
                <w:sz w:val="21"/>
                <w:szCs w:val="21"/>
                <w:highlight w:val="none"/>
                <w:lang w:eastAsia="zh-CN"/>
              </w:rPr>
              <w:t>浙应急基础〔2020〕75号第</w:t>
            </w:r>
            <w:r>
              <w:rPr>
                <w:rFonts w:hint="eastAsia" w:ascii="宋体" w:hAnsi="宋体" w:eastAsia="宋体" w:cs="宋体"/>
                <w:bCs/>
                <w:color w:val="000000" w:themeColor="text1"/>
                <w:sz w:val="21"/>
                <w:szCs w:val="21"/>
                <w:highlight w:val="none"/>
              </w:rPr>
              <w:t>4.7</w:t>
            </w:r>
            <w:r>
              <w:rPr>
                <w:rFonts w:hint="eastAsia" w:cs="宋体"/>
                <w:bCs/>
                <w:color w:val="000000" w:themeColor="text1"/>
                <w:sz w:val="21"/>
                <w:szCs w:val="21"/>
                <w:highlight w:val="none"/>
                <w:lang w:eastAsia="zh-CN"/>
              </w:rPr>
              <w:t>条</w:t>
            </w:r>
          </w:p>
        </w:tc>
        <w:tc>
          <w:tcPr>
            <w:tcW w:w="2235" w:type="pct"/>
            <w:vAlign w:val="center"/>
          </w:tcPr>
          <w:p w14:paraId="6B8D42C4">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bCs/>
                <w:color w:val="000000" w:themeColor="text1"/>
                <w:sz w:val="21"/>
                <w:szCs w:val="21"/>
                <w:highlight w:val="none"/>
              </w:rPr>
              <w:t>危险化学品使用、储存场所的动火作业、受限空间作业等特殊作业应执行《化学品生产单位特殊作业安全规范》（GB30871）的相关规定，应建立并实施特殊作业管理制度，对动火、进入受限空间、临时用电、高处作业、吊装、动土、断路、盲板抽堵等特殊作业实施作业许可管理，明确工作程序和控制准则，并对作业过程进行监督。</w:t>
            </w:r>
          </w:p>
        </w:tc>
        <w:tc>
          <w:tcPr>
            <w:tcW w:w="1217" w:type="pct"/>
            <w:vAlign w:val="center"/>
          </w:tcPr>
          <w:p w14:paraId="139B859E">
            <w:pPr>
              <w:widowControl w:val="0"/>
              <w:bidi w:val="0"/>
              <w:adjustRightInd w:val="0"/>
              <w:snapToGrid w:val="0"/>
              <w:rPr>
                <w:rFonts w:hint="eastAsia" w:ascii="宋体" w:hAnsi="宋体" w:eastAsia="宋体" w:cs="宋体"/>
                <w:color w:val="000000" w:themeColor="text1"/>
                <w:sz w:val="21"/>
                <w:szCs w:val="21"/>
                <w:highlight w:val="none"/>
                <w:lang w:eastAsia="zh-CN"/>
              </w:rPr>
            </w:pPr>
            <w:r>
              <w:rPr>
                <w:rFonts w:hint="eastAsia" w:ascii="宋体" w:hAnsi="宋体" w:eastAsia="宋体" w:cs="宋体"/>
                <w:bCs/>
                <w:color w:val="000000" w:themeColor="text1"/>
                <w:sz w:val="21"/>
                <w:szCs w:val="21"/>
                <w:highlight w:val="none"/>
              </w:rPr>
              <w:t>建立并实施特殊作业管理制度</w:t>
            </w:r>
            <w:r>
              <w:rPr>
                <w:rFonts w:hint="eastAsia" w:cs="宋体"/>
                <w:bCs/>
                <w:color w:val="000000" w:themeColor="text1"/>
                <w:sz w:val="21"/>
                <w:szCs w:val="21"/>
                <w:highlight w:val="none"/>
                <w:lang w:eastAsia="zh-CN"/>
              </w:rPr>
              <w:t>。</w:t>
            </w:r>
          </w:p>
        </w:tc>
        <w:tc>
          <w:tcPr>
            <w:tcW w:w="400" w:type="pct"/>
            <w:vAlign w:val="center"/>
          </w:tcPr>
          <w:p w14:paraId="03CFC450">
            <w:pPr>
              <w:widowControl w:val="0"/>
              <w:bidi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eastAsia="zh-CN"/>
              </w:rPr>
              <w:t>符合</w:t>
            </w:r>
          </w:p>
        </w:tc>
      </w:tr>
      <w:tr w14:paraId="08A44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restart"/>
            <w:vAlign w:val="center"/>
          </w:tcPr>
          <w:p w14:paraId="100290D5">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工艺安全管理</w:t>
            </w:r>
          </w:p>
        </w:tc>
        <w:tc>
          <w:tcPr>
            <w:tcW w:w="786" w:type="pct"/>
            <w:vAlign w:val="center"/>
          </w:tcPr>
          <w:p w14:paraId="724DB81C">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75号第5.1条</w:t>
            </w:r>
          </w:p>
        </w:tc>
        <w:tc>
          <w:tcPr>
            <w:tcW w:w="2235" w:type="pct"/>
            <w:vAlign w:val="center"/>
          </w:tcPr>
          <w:p w14:paraId="450EC217">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企业采用的工艺技术和设备应符合产业政策要求，不得采用国家和当地明令淘汰的工艺、装备和禁用的物料。</w:t>
            </w:r>
          </w:p>
        </w:tc>
        <w:tc>
          <w:tcPr>
            <w:tcW w:w="1217" w:type="pct"/>
            <w:vAlign w:val="center"/>
          </w:tcPr>
          <w:p w14:paraId="7F634467">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符合产业政策要求，未采用国家和当地明令淘汰的工艺、装备和禁用的物料。</w:t>
            </w:r>
          </w:p>
        </w:tc>
        <w:tc>
          <w:tcPr>
            <w:tcW w:w="400" w:type="pct"/>
            <w:vAlign w:val="center"/>
          </w:tcPr>
          <w:p w14:paraId="79FB66BF">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符合</w:t>
            </w:r>
          </w:p>
        </w:tc>
      </w:tr>
      <w:tr w14:paraId="58557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continue"/>
            <w:vAlign w:val="center"/>
          </w:tcPr>
          <w:p w14:paraId="7E7D7F7A">
            <w:pPr>
              <w:widowControl w:val="0"/>
              <w:bidi w:val="0"/>
              <w:adjustRightInd w:val="0"/>
              <w:snapToGrid w:val="0"/>
              <w:jc w:val="center"/>
              <w:rPr>
                <w:rFonts w:hint="eastAsia" w:ascii="宋体" w:hAnsi="宋体" w:eastAsia="宋体" w:cs="宋体"/>
                <w:color w:val="000000" w:themeColor="text1"/>
                <w:sz w:val="21"/>
                <w:szCs w:val="21"/>
                <w:highlight w:val="none"/>
              </w:rPr>
            </w:pPr>
          </w:p>
        </w:tc>
        <w:tc>
          <w:tcPr>
            <w:tcW w:w="786" w:type="pct"/>
            <w:vAlign w:val="center"/>
          </w:tcPr>
          <w:p w14:paraId="2701986C">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75号第5.5条</w:t>
            </w:r>
          </w:p>
        </w:tc>
        <w:tc>
          <w:tcPr>
            <w:tcW w:w="2235" w:type="pct"/>
            <w:vAlign w:val="center"/>
          </w:tcPr>
          <w:p w14:paraId="0F694E91">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企业应建立变更管理制度，强化对永久性或暂时性的变更进行有计划</w:t>
            </w:r>
            <w:r>
              <w:rPr>
                <w:rFonts w:hint="eastAsia" w:ascii="宋体" w:hAnsi="宋体" w:eastAsia="宋体" w:cs="宋体"/>
                <w:color w:val="000000" w:themeColor="text1"/>
                <w:sz w:val="21"/>
                <w:szCs w:val="21"/>
                <w:highlight w:val="none"/>
                <w:lang w:eastAsia="zh-CN"/>
              </w:rPr>
              <w:t>地</w:t>
            </w:r>
            <w:r>
              <w:rPr>
                <w:rFonts w:hint="eastAsia" w:ascii="宋体" w:hAnsi="宋体" w:eastAsia="宋体" w:cs="宋体"/>
                <w:color w:val="000000" w:themeColor="text1"/>
                <w:sz w:val="21"/>
                <w:szCs w:val="21"/>
                <w:highlight w:val="none"/>
              </w:rPr>
              <w:t>控制，确定变更的类型、等级、实施步骤等。变更后的工艺安全信息应及时进行更新。</w:t>
            </w:r>
          </w:p>
        </w:tc>
        <w:tc>
          <w:tcPr>
            <w:tcW w:w="1217" w:type="pct"/>
            <w:vAlign w:val="center"/>
          </w:tcPr>
          <w:p w14:paraId="71D69689">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建立变更管理制度。</w:t>
            </w:r>
          </w:p>
        </w:tc>
        <w:tc>
          <w:tcPr>
            <w:tcW w:w="400" w:type="pct"/>
            <w:vAlign w:val="center"/>
          </w:tcPr>
          <w:p w14:paraId="2A2988A2">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符合</w:t>
            </w:r>
          </w:p>
        </w:tc>
      </w:tr>
      <w:tr w14:paraId="71D6F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restart"/>
            <w:vAlign w:val="center"/>
          </w:tcPr>
          <w:p w14:paraId="14E11466">
            <w:pPr>
              <w:widowControl w:val="0"/>
              <w:bidi w:val="0"/>
              <w:adjustRightInd w:val="0"/>
              <w:snapToGrid w:val="0"/>
              <w:jc w:val="center"/>
              <w:rPr>
                <w:rFonts w:hint="eastAsia" w:ascii="宋体" w:hAnsi="宋体" w:eastAsia="宋体" w:cs="宋体"/>
                <w:color w:val="000000" w:themeColor="text1"/>
                <w:sz w:val="21"/>
                <w:szCs w:val="21"/>
                <w:highlight w:val="none"/>
              </w:rPr>
            </w:pPr>
            <w:bookmarkStart w:id="858" w:name="_Toc3040"/>
            <w:bookmarkStart w:id="859" w:name="_Toc25523"/>
            <w:bookmarkStart w:id="860" w:name="_Toc31568"/>
            <w:bookmarkStart w:id="861" w:name="_Toc3352"/>
            <w:bookmarkStart w:id="862" w:name="_Toc16594"/>
            <w:bookmarkStart w:id="863" w:name="_Toc27278"/>
            <w:r>
              <w:rPr>
                <w:rFonts w:hint="eastAsia" w:ascii="宋体" w:hAnsi="宋体" w:eastAsia="宋体" w:cs="宋体"/>
                <w:color w:val="000000" w:themeColor="text1"/>
                <w:sz w:val="21"/>
                <w:szCs w:val="21"/>
                <w:highlight w:val="none"/>
              </w:rPr>
              <w:t>危险化学品采购</w:t>
            </w:r>
          </w:p>
        </w:tc>
        <w:tc>
          <w:tcPr>
            <w:tcW w:w="786" w:type="pct"/>
            <w:vAlign w:val="center"/>
          </w:tcPr>
          <w:p w14:paraId="7AC32A12">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w:t>
            </w:r>
            <w:r>
              <w:rPr>
                <w:rFonts w:hint="eastAsia" w:ascii="宋体" w:hAnsi="宋体" w:eastAsia="宋体" w:cs="宋体"/>
                <w:color w:val="000000" w:themeColor="text1"/>
                <w:sz w:val="21"/>
                <w:szCs w:val="21"/>
                <w:highlight w:val="none"/>
                <w:lang w:val="en-US" w:eastAsia="zh-CN"/>
              </w:rPr>
              <w:t>6.1</w:t>
            </w:r>
            <w:r>
              <w:rPr>
                <w:rFonts w:hint="eastAsia" w:ascii="宋体" w:hAnsi="宋体" w:eastAsia="宋体" w:cs="宋体"/>
                <w:color w:val="000000" w:themeColor="text1"/>
                <w:sz w:val="21"/>
                <w:szCs w:val="21"/>
                <w:highlight w:val="none"/>
              </w:rPr>
              <w:t>条</w:t>
            </w:r>
          </w:p>
        </w:tc>
        <w:tc>
          <w:tcPr>
            <w:tcW w:w="2235" w:type="pct"/>
            <w:vAlign w:val="center"/>
          </w:tcPr>
          <w:p w14:paraId="01C8B01C">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企业应依法向具有相应危险化学品生产或经营资质的企业购买危险化学品；购买剧毒化学品、易制爆危险化学品、易制毒危险化学品的，应按公安机关有关许可要求严格执行。</w:t>
            </w:r>
          </w:p>
        </w:tc>
        <w:tc>
          <w:tcPr>
            <w:tcW w:w="1217" w:type="pct"/>
            <w:vAlign w:val="center"/>
          </w:tcPr>
          <w:p w14:paraId="4A17963F">
            <w:pPr>
              <w:widowControl w:val="0"/>
              <w:bidi w:val="0"/>
              <w:adjustRightInd w:val="0"/>
              <w:snapToGrid w:val="0"/>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rPr>
              <w:t>向具有相应危险化学品生产或经营资质的企业购买危险化学品</w:t>
            </w:r>
            <w:r>
              <w:rPr>
                <w:rFonts w:hint="eastAsia" w:ascii="宋体" w:hAnsi="宋体" w:eastAsia="宋体" w:cs="宋体"/>
                <w:color w:val="000000" w:themeColor="text1"/>
                <w:sz w:val="21"/>
                <w:szCs w:val="21"/>
                <w:highlight w:val="none"/>
                <w:lang w:eastAsia="zh-CN"/>
              </w:rPr>
              <w:t>。不涉及</w:t>
            </w:r>
            <w:r>
              <w:rPr>
                <w:rFonts w:hint="eastAsia" w:ascii="宋体" w:hAnsi="宋体" w:eastAsia="宋体" w:cs="宋体"/>
                <w:color w:val="000000" w:themeColor="text1"/>
                <w:sz w:val="21"/>
                <w:szCs w:val="21"/>
                <w:highlight w:val="none"/>
              </w:rPr>
              <w:t>剧毒化学品、易制爆危险化学品、易制毒危险化学品</w:t>
            </w:r>
            <w:r>
              <w:rPr>
                <w:rFonts w:hint="eastAsia" w:ascii="宋体" w:hAnsi="宋体" w:eastAsia="宋体" w:cs="宋体"/>
                <w:color w:val="000000" w:themeColor="text1"/>
                <w:sz w:val="21"/>
                <w:szCs w:val="21"/>
                <w:highlight w:val="none"/>
                <w:lang w:eastAsia="zh-CN"/>
              </w:rPr>
              <w:t>。</w:t>
            </w:r>
          </w:p>
        </w:tc>
        <w:tc>
          <w:tcPr>
            <w:tcW w:w="400" w:type="pct"/>
            <w:vAlign w:val="center"/>
          </w:tcPr>
          <w:p w14:paraId="2F6FA59A">
            <w:pPr>
              <w:widowControl w:val="0"/>
              <w:bidi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0B5C1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continue"/>
            <w:vAlign w:val="center"/>
          </w:tcPr>
          <w:p w14:paraId="768CB931">
            <w:pPr>
              <w:widowControl w:val="0"/>
              <w:bidi w:val="0"/>
              <w:adjustRightInd w:val="0"/>
              <w:snapToGrid w:val="0"/>
              <w:jc w:val="center"/>
              <w:rPr>
                <w:rFonts w:hint="eastAsia" w:ascii="宋体" w:hAnsi="宋体" w:eastAsia="宋体" w:cs="宋体"/>
                <w:color w:val="000000" w:themeColor="text1"/>
                <w:sz w:val="21"/>
                <w:szCs w:val="21"/>
                <w:highlight w:val="none"/>
              </w:rPr>
            </w:pPr>
          </w:p>
        </w:tc>
        <w:tc>
          <w:tcPr>
            <w:tcW w:w="786" w:type="pct"/>
            <w:vAlign w:val="center"/>
          </w:tcPr>
          <w:p w14:paraId="39F34414">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w:t>
            </w:r>
            <w:r>
              <w:rPr>
                <w:rFonts w:hint="eastAsia" w:ascii="宋体" w:hAnsi="宋体" w:eastAsia="宋体" w:cs="宋体"/>
                <w:color w:val="000000" w:themeColor="text1"/>
                <w:sz w:val="21"/>
                <w:szCs w:val="21"/>
                <w:highlight w:val="none"/>
                <w:lang w:val="en-US" w:eastAsia="zh-CN"/>
              </w:rPr>
              <w:t>6.2</w:t>
            </w:r>
            <w:r>
              <w:rPr>
                <w:rFonts w:hint="eastAsia" w:ascii="宋体" w:hAnsi="宋体" w:eastAsia="宋体" w:cs="宋体"/>
                <w:color w:val="000000" w:themeColor="text1"/>
                <w:sz w:val="21"/>
                <w:szCs w:val="21"/>
                <w:highlight w:val="none"/>
              </w:rPr>
              <w:t>条</w:t>
            </w:r>
          </w:p>
        </w:tc>
        <w:tc>
          <w:tcPr>
            <w:tcW w:w="2235" w:type="pct"/>
            <w:vAlign w:val="center"/>
          </w:tcPr>
          <w:p w14:paraId="1F1F7BE1">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企业采购危险化学品时，应当向供货方索要与采购的危险化学品相符的化学品安全技术说明书和安全标签。化学品安全技术说明书和安全标签所载明的内容应当符合《化学品安全技术说明书编写指南》（GB/T 17519）和《化学品安全标签编写规定》（GB 15258）的规定。</w:t>
            </w:r>
          </w:p>
        </w:tc>
        <w:tc>
          <w:tcPr>
            <w:tcW w:w="1217" w:type="pct"/>
            <w:vAlign w:val="center"/>
          </w:tcPr>
          <w:p w14:paraId="3156A67C">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向供货方索要</w:t>
            </w:r>
            <w:r>
              <w:rPr>
                <w:rFonts w:hint="eastAsia" w:ascii="宋体" w:hAnsi="宋体" w:eastAsia="宋体" w:cs="宋体"/>
                <w:color w:val="000000" w:themeColor="text1"/>
                <w:sz w:val="21"/>
                <w:szCs w:val="21"/>
                <w:highlight w:val="none"/>
                <w:lang w:eastAsia="zh-CN"/>
              </w:rPr>
              <w:t>了</w:t>
            </w:r>
            <w:r>
              <w:rPr>
                <w:rFonts w:hint="eastAsia" w:ascii="宋体" w:hAnsi="宋体" w:eastAsia="宋体" w:cs="宋体"/>
                <w:color w:val="000000" w:themeColor="text1"/>
                <w:sz w:val="21"/>
                <w:szCs w:val="21"/>
                <w:highlight w:val="none"/>
              </w:rPr>
              <w:t>与采购的危险化学品相符的化学品安全技术说明书和安全标签。</w:t>
            </w:r>
          </w:p>
        </w:tc>
        <w:tc>
          <w:tcPr>
            <w:tcW w:w="400" w:type="pct"/>
            <w:vAlign w:val="center"/>
          </w:tcPr>
          <w:p w14:paraId="5941DD78">
            <w:pPr>
              <w:widowControl w:val="0"/>
              <w:bidi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62914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restart"/>
            <w:vAlign w:val="center"/>
          </w:tcPr>
          <w:p w14:paraId="2EB13693">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危险化学品装卸（运输）</w:t>
            </w:r>
            <w:bookmarkEnd w:id="858"/>
            <w:bookmarkEnd w:id="859"/>
            <w:bookmarkEnd w:id="860"/>
            <w:bookmarkEnd w:id="861"/>
            <w:bookmarkEnd w:id="862"/>
            <w:bookmarkEnd w:id="863"/>
          </w:p>
        </w:tc>
        <w:tc>
          <w:tcPr>
            <w:tcW w:w="786" w:type="pct"/>
            <w:vAlign w:val="center"/>
          </w:tcPr>
          <w:p w14:paraId="4D0A5CC6">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75号第7.1条</w:t>
            </w:r>
          </w:p>
        </w:tc>
        <w:tc>
          <w:tcPr>
            <w:tcW w:w="2235" w:type="pct"/>
            <w:vAlign w:val="center"/>
          </w:tcPr>
          <w:p w14:paraId="778AA9DA">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危险化学品应在专用的卸车场所卸车，卸车场所及其设备设施的布置应符合《建筑设计防火规范》（GB50016）的规定。</w:t>
            </w:r>
          </w:p>
        </w:tc>
        <w:tc>
          <w:tcPr>
            <w:tcW w:w="1217" w:type="pct"/>
            <w:vAlign w:val="center"/>
          </w:tcPr>
          <w:p w14:paraId="05F42699">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规定了危险化学品卸车场所。</w:t>
            </w:r>
          </w:p>
        </w:tc>
        <w:tc>
          <w:tcPr>
            <w:tcW w:w="400" w:type="pct"/>
            <w:vAlign w:val="center"/>
          </w:tcPr>
          <w:p w14:paraId="2FDCDD81">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符合</w:t>
            </w:r>
          </w:p>
        </w:tc>
      </w:tr>
      <w:tr w14:paraId="20F01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continue"/>
            <w:vAlign w:val="center"/>
          </w:tcPr>
          <w:p w14:paraId="2F714A97">
            <w:pPr>
              <w:widowControl w:val="0"/>
              <w:bidi w:val="0"/>
              <w:adjustRightInd w:val="0"/>
              <w:snapToGrid w:val="0"/>
              <w:jc w:val="center"/>
              <w:rPr>
                <w:rFonts w:hint="eastAsia" w:ascii="宋体" w:hAnsi="宋体" w:eastAsia="宋体" w:cs="宋体"/>
                <w:color w:val="000000" w:themeColor="text1"/>
                <w:sz w:val="21"/>
                <w:szCs w:val="21"/>
                <w:highlight w:val="none"/>
              </w:rPr>
            </w:pPr>
          </w:p>
        </w:tc>
        <w:tc>
          <w:tcPr>
            <w:tcW w:w="786" w:type="pct"/>
            <w:vAlign w:val="center"/>
          </w:tcPr>
          <w:p w14:paraId="7E1813B0">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75号第7.</w:t>
            </w:r>
            <w:r>
              <w:rPr>
                <w:rFonts w:hint="eastAsia" w:ascii="宋体" w:hAnsi="宋体" w:eastAsia="宋体" w:cs="宋体"/>
                <w:color w:val="000000" w:themeColor="text1"/>
                <w:sz w:val="21"/>
                <w:szCs w:val="21"/>
                <w:highlight w:val="none"/>
                <w:lang w:val="en-US" w:eastAsia="zh-CN"/>
              </w:rPr>
              <w:t>2</w:t>
            </w:r>
            <w:r>
              <w:rPr>
                <w:rFonts w:hint="eastAsia" w:ascii="宋体" w:hAnsi="宋体" w:eastAsia="宋体" w:cs="宋体"/>
                <w:color w:val="000000" w:themeColor="text1"/>
                <w:sz w:val="21"/>
                <w:szCs w:val="21"/>
                <w:highlight w:val="none"/>
              </w:rPr>
              <w:t>条</w:t>
            </w:r>
          </w:p>
        </w:tc>
        <w:tc>
          <w:tcPr>
            <w:tcW w:w="2235" w:type="pct"/>
            <w:vAlign w:val="center"/>
          </w:tcPr>
          <w:p w14:paraId="62A1AC47">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企业应制定危险化学品装卸安全管理制度、操作规程和专项应急预案（或现场处置方案）。</w:t>
            </w:r>
          </w:p>
        </w:tc>
        <w:tc>
          <w:tcPr>
            <w:tcW w:w="1217" w:type="pct"/>
            <w:vAlign w:val="center"/>
          </w:tcPr>
          <w:p w14:paraId="36571168">
            <w:pPr>
              <w:widowControl w:val="0"/>
              <w:bidi w:val="0"/>
              <w:adjustRightInd w:val="0"/>
              <w:snapToGrid w:val="0"/>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未制定</w:t>
            </w:r>
            <w:r>
              <w:rPr>
                <w:rFonts w:hint="eastAsia" w:ascii="宋体" w:hAnsi="宋体" w:eastAsia="宋体" w:cs="宋体"/>
                <w:color w:val="000000" w:themeColor="text1"/>
                <w:sz w:val="21"/>
                <w:szCs w:val="21"/>
                <w:highlight w:val="none"/>
              </w:rPr>
              <w:t>危险化学品装卸</w:t>
            </w:r>
            <w:r>
              <w:rPr>
                <w:rFonts w:hint="eastAsia" w:ascii="宋体" w:hAnsi="宋体" w:eastAsia="宋体" w:cs="宋体"/>
                <w:color w:val="000000" w:themeColor="text1"/>
                <w:sz w:val="21"/>
                <w:szCs w:val="21"/>
                <w:highlight w:val="none"/>
                <w:lang w:eastAsia="zh-CN"/>
              </w:rPr>
              <w:t>安全</w:t>
            </w:r>
            <w:r>
              <w:rPr>
                <w:rFonts w:hint="eastAsia" w:ascii="宋体" w:hAnsi="宋体" w:eastAsia="宋体" w:cs="宋体"/>
                <w:color w:val="000000" w:themeColor="text1"/>
                <w:sz w:val="21"/>
                <w:szCs w:val="21"/>
                <w:highlight w:val="none"/>
              </w:rPr>
              <w:t>操作规程</w:t>
            </w:r>
            <w:r>
              <w:rPr>
                <w:rFonts w:hint="eastAsia" w:ascii="宋体" w:hAnsi="宋体" w:eastAsia="宋体" w:cs="宋体"/>
                <w:color w:val="000000" w:themeColor="text1"/>
                <w:sz w:val="21"/>
                <w:szCs w:val="21"/>
                <w:highlight w:val="none"/>
                <w:lang w:eastAsia="zh-CN"/>
              </w:rPr>
              <w:t>。</w:t>
            </w:r>
          </w:p>
        </w:tc>
        <w:tc>
          <w:tcPr>
            <w:tcW w:w="400" w:type="pct"/>
            <w:vAlign w:val="center"/>
          </w:tcPr>
          <w:p w14:paraId="0BD1D070">
            <w:pPr>
              <w:widowControl w:val="0"/>
              <w:bidi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不符合</w:t>
            </w:r>
          </w:p>
        </w:tc>
      </w:tr>
      <w:tr w14:paraId="5A1F6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continue"/>
            <w:vAlign w:val="center"/>
          </w:tcPr>
          <w:p w14:paraId="5E1023C5">
            <w:pPr>
              <w:widowControl w:val="0"/>
              <w:bidi w:val="0"/>
              <w:adjustRightInd w:val="0"/>
              <w:snapToGrid w:val="0"/>
              <w:jc w:val="center"/>
              <w:rPr>
                <w:rFonts w:hint="eastAsia" w:ascii="宋体" w:hAnsi="宋体" w:eastAsia="宋体" w:cs="宋体"/>
                <w:color w:val="000000" w:themeColor="text1"/>
                <w:sz w:val="21"/>
                <w:szCs w:val="21"/>
                <w:highlight w:val="none"/>
              </w:rPr>
            </w:pPr>
          </w:p>
        </w:tc>
        <w:tc>
          <w:tcPr>
            <w:tcW w:w="786" w:type="pct"/>
            <w:vAlign w:val="center"/>
          </w:tcPr>
          <w:p w14:paraId="332B0A2C">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75号第7.</w:t>
            </w:r>
            <w:r>
              <w:rPr>
                <w:rFonts w:hint="eastAsia" w:ascii="宋体" w:hAnsi="宋体" w:eastAsia="宋体" w:cs="宋体"/>
                <w:color w:val="000000" w:themeColor="text1"/>
                <w:sz w:val="21"/>
                <w:szCs w:val="21"/>
                <w:highlight w:val="none"/>
                <w:lang w:val="en-US" w:eastAsia="zh-CN"/>
              </w:rPr>
              <w:t>3</w:t>
            </w:r>
            <w:r>
              <w:rPr>
                <w:rFonts w:hint="eastAsia" w:ascii="宋体" w:hAnsi="宋体" w:eastAsia="宋体" w:cs="宋体"/>
                <w:color w:val="000000" w:themeColor="text1"/>
                <w:sz w:val="21"/>
                <w:szCs w:val="21"/>
                <w:highlight w:val="none"/>
              </w:rPr>
              <w:t>条</w:t>
            </w:r>
          </w:p>
        </w:tc>
        <w:tc>
          <w:tcPr>
            <w:tcW w:w="2235" w:type="pct"/>
            <w:vAlign w:val="center"/>
          </w:tcPr>
          <w:p w14:paraId="0893E040">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危险化学品的装卸作业应当遵守安全作业标准、规程和制度，并在监护人员现场指挥和全程监护下进行。</w:t>
            </w:r>
          </w:p>
        </w:tc>
        <w:tc>
          <w:tcPr>
            <w:tcW w:w="1217" w:type="pct"/>
            <w:vAlign w:val="center"/>
          </w:tcPr>
          <w:p w14:paraId="779F1FF1">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在监护人员现场指挥和全程监护下进行。</w:t>
            </w:r>
          </w:p>
        </w:tc>
        <w:tc>
          <w:tcPr>
            <w:tcW w:w="400" w:type="pct"/>
            <w:vAlign w:val="center"/>
          </w:tcPr>
          <w:p w14:paraId="11D52F80">
            <w:pPr>
              <w:widowControl w:val="0"/>
              <w:bidi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68FBF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continue"/>
            <w:vAlign w:val="center"/>
          </w:tcPr>
          <w:p w14:paraId="70F99E90">
            <w:pPr>
              <w:widowControl w:val="0"/>
              <w:bidi w:val="0"/>
              <w:adjustRightInd w:val="0"/>
              <w:snapToGrid w:val="0"/>
              <w:jc w:val="center"/>
              <w:rPr>
                <w:rFonts w:hint="eastAsia" w:ascii="宋体" w:hAnsi="宋体" w:eastAsia="宋体" w:cs="宋体"/>
                <w:color w:val="000000" w:themeColor="text1"/>
                <w:sz w:val="21"/>
                <w:szCs w:val="21"/>
                <w:highlight w:val="none"/>
              </w:rPr>
            </w:pPr>
          </w:p>
        </w:tc>
        <w:tc>
          <w:tcPr>
            <w:tcW w:w="786" w:type="pct"/>
            <w:vAlign w:val="center"/>
          </w:tcPr>
          <w:p w14:paraId="02B8AB1F">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75号第7.6条</w:t>
            </w:r>
          </w:p>
        </w:tc>
        <w:tc>
          <w:tcPr>
            <w:tcW w:w="2235" w:type="pct"/>
            <w:vAlign w:val="center"/>
          </w:tcPr>
          <w:p w14:paraId="46F2E514">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甲、乙类危险化学品运输车辆不得在仓库、堆场内装卸。进入甲、乙类易燃易爆物品库房、堆场的机动车辆应符合防爆要求。各种机动车辆装卸物品后，不准在库区、库房、货场内停放或修理。</w:t>
            </w:r>
          </w:p>
        </w:tc>
        <w:tc>
          <w:tcPr>
            <w:tcW w:w="1217" w:type="pct"/>
            <w:vAlign w:val="center"/>
          </w:tcPr>
          <w:p w14:paraId="73CC67D0">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乙酸、过碳酸钠和保险粉在漂染车间东北面道路上</w:t>
            </w:r>
            <w:r>
              <w:rPr>
                <w:rFonts w:hint="eastAsia" w:ascii="宋体" w:hAnsi="宋体" w:eastAsia="宋体" w:cs="宋体"/>
                <w:color w:val="000000" w:themeColor="text1"/>
                <w:sz w:val="21"/>
                <w:szCs w:val="21"/>
                <w:highlight w:val="none"/>
                <w:lang w:eastAsia="zh-CN"/>
              </w:rPr>
              <w:t>卸车</w:t>
            </w:r>
            <w:r>
              <w:rPr>
                <w:rFonts w:hint="eastAsia" w:ascii="宋体" w:hAnsi="宋体" w:eastAsia="宋体" w:cs="宋体"/>
                <w:color w:val="000000" w:themeColor="text1"/>
                <w:sz w:val="21"/>
                <w:szCs w:val="21"/>
                <w:highlight w:val="none"/>
              </w:rPr>
              <w:t>。机动车辆</w:t>
            </w:r>
            <w:r>
              <w:rPr>
                <w:rFonts w:hint="eastAsia" w:ascii="宋体" w:hAnsi="宋体" w:eastAsia="宋体" w:cs="宋体"/>
                <w:color w:val="000000" w:themeColor="text1"/>
                <w:sz w:val="21"/>
                <w:szCs w:val="21"/>
                <w:highlight w:val="none"/>
                <w:lang w:eastAsia="zh-CN"/>
              </w:rPr>
              <w:t>未</w:t>
            </w:r>
            <w:r>
              <w:rPr>
                <w:rFonts w:hint="eastAsia" w:ascii="宋体" w:hAnsi="宋体" w:eastAsia="宋体" w:cs="宋体"/>
                <w:color w:val="000000" w:themeColor="text1"/>
                <w:sz w:val="21"/>
                <w:szCs w:val="21"/>
                <w:highlight w:val="none"/>
              </w:rPr>
              <w:t>在库区、库房内停放或修理。</w:t>
            </w:r>
          </w:p>
        </w:tc>
        <w:tc>
          <w:tcPr>
            <w:tcW w:w="400" w:type="pct"/>
            <w:vAlign w:val="center"/>
          </w:tcPr>
          <w:p w14:paraId="57F37158">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符合</w:t>
            </w:r>
          </w:p>
        </w:tc>
      </w:tr>
      <w:tr w14:paraId="11178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continue"/>
            <w:vAlign w:val="center"/>
          </w:tcPr>
          <w:p w14:paraId="2C259167">
            <w:pPr>
              <w:widowControl w:val="0"/>
              <w:bidi w:val="0"/>
              <w:adjustRightInd w:val="0"/>
              <w:snapToGrid w:val="0"/>
              <w:jc w:val="center"/>
              <w:rPr>
                <w:rFonts w:hint="eastAsia" w:ascii="宋体" w:hAnsi="宋体" w:eastAsia="宋体" w:cs="宋体"/>
                <w:color w:val="000000" w:themeColor="text1"/>
                <w:sz w:val="21"/>
                <w:szCs w:val="21"/>
                <w:highlight w:val="none"/>
              </w:rPr>
            </w:pPr>
          </w:p>
        </w:tc>
        <w:tc>
          <w:tcPr>
            <w:tcW w:w="786" w:type="pct"/>
            <w:vAlign w:val="center"/>
          </w:tcPr>
          <w:p w14:paraId="2396314A">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75号第7.</w:t>
            </w:r>
            <w:r>
              <w:rPr>
                <w:rFonts w:hint="eastAsia" w:ascii="宋体" w:hAnsi="宋体" w:eastAsia="宋体" w:cs="宋体"/>
                <w:color w:val="000000" w:themeColor="text1"/>
                <w:sz w:val="21"/>
                <w:szCs w:val="21"/>
                <w:highlight w:val="none"/>
                <w:lang w:val="en-US" w:eastAsia="zh-CN"/>
              </w:rPr>
              <w:t>7</w:t>
            </w:r>
            <w:r>
              <w:rPr>
                <w:rFonts w:hint="eastAsia" w:ascii="宋体" w:hAnsi="宋体" w:eastAsia="宋体" w:cs="宋体"/>
                <w:color w:val="000000" w:themeColor="text1"/>
                <w:sz w:val="21"/>
                <w:szCs w:val="21"/>
                <w:highlight w:val="none"/>
              </w:rPr>
              <w:t>条</w:t>
            </w:r>
          </w:p>
        </w:tc>
        <w:tc>
          <w:tcPr>
            <w:tcW w:w="2235" w:type="pct"/>
            <w:vAlign w:val="center"/>
          </w:tcPr>
          <w:p w14:paraId="16407196">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卸车时应轻拿轻放，禁止使用铲车、翻斗车等装卸、搬运易燃易爆危险化学品。</w:t>
            </w:r>
          </w:p>
        </w:tc>
        <w:tc>
          <w:tcPr>
            <w:tcW w:w="1217" w:type="pct"/>
            <w:vAlign w:val="center"/>
          </w:tcPr>
          <w:p w14:paraId="47BDD5E2">
            <w:pPr>
              <w:widowControl w:val="0"/>
              <w:bidi w:val="0"/>
              <w:adjustRightInd w:val="0"/>
              <w:snapToGrid w:val="0"/>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人工卸车，</w:t>
            </w:r>
            <w:r>
              <w:rPr>
                <w:rFonts w:hint="eastAsia" w:ascii="宋体" w:hAnsi="宋体" w:eastAsia="宋体" w:cs="宋体"/>
                <w:color w:val="000000" w:themeColor="text1"/>
                <w:sz w:val="21"/>
                <w:szCs w:val="21"/>
                <w:highlight w:val="none"/>
              </w:rPr>
              <w:t>卸车时轻拿轻放</w:t>
            </w:r>
            <w:r>
              <w:rPr>
                <w:rFonts w:hint="eastAsia" w:ascii="宋体" w:hAnsi="宋体" w:eastAsia="宋体" w:cs="宋体"/>
                <w:color w:val="000000" w:themeColor="text1"/>
                <w:sz w:val="21"/>
                <w:szCs w:val="21"/>
                <w:highlight w:val="none"/>
                <w:lang w:eastAsia="zh-CN"/>
              </w:rPr>
              <w:t>。</w:t>
            </w:r>
          </w:p>
        </w:tc>
        <w:tc>
          <w:tcPr>
            <w:tcW w:w="400" w:type="pct"/>
            <w:vAlign w:val="center"/>
          </w:tcPr>
          <w:p w14:paraId="451CBF1E">
            <w:pPr>
              <w:widowControl w:val="0"/>
              <w:bidi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3863A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restart"/>
            <w:vAlign w:val="center"/>
          </w:tcPr>
          <w:p w14:paraId="77EA2617">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危险化学品使用作业</w:t>
            </w:r>
          </w:p>
        </w:tc>
        <w:tc>
          <w:tcPr>
            <w:tcW w:w="786" w:type="pct"/>
            <w:vAlign w:val="center"/>
          </w:tcPr>
          <w:p w14:paraId="55943410">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75号第9.1条</w:t>
            </w:r>
          </w:p>
        </w:tc>
        <w:tc>
          <w:tcPr>
            <w:tcW w:w="2235" w:type="pct"/>
            <w:vAlign w:val="center"/>
          </w:tcPr>
          <w:p w14:paraId="630B10B8">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甲、乙类作业场所不应设置在地下或半地下。有爆炸危险的作业厂房或厂房内有爆炸危险的部位应采取防爆措施，设置泄压设施。</w:t>
            </w:r>
          </w:p>
        </w:tc>
        <w:tc>
          <w:tcPr>
            <w:tcW w:w="1217" w:type="pct"/>
            <w:vAlign w:val="center"/>
          </w:tcPr>
          <w:p w14:paraId="383A9C4A">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eastAsia="zh-CN"/>
              </w:rPr>
              <w:t>漂染车间、漂染车间附房</w:t>
            </w:r>
            <w:r>
              <w:rPr>
                <w:rFonts w:hint="eastAsia" w:ascii="宋体" w:hAnsi="宋体" w:eastAsia="宋体" w:cs="宋体"/>
                <w:color w:val="000000" w:themeColor="text1"/>
                <w:sz w:val="21"/>
                <w:szCs w:val="21"/>
                <w:highlight w:val="none"/>
              </w:rPr>
              <w:t>设置在地上。</w:t>
            </w:r>
          </w:p>
        </w:tc>
        <w:tc>
          <w:tcPr>
            <w:tcW w:w="400" w:type="pct"/>
            <w:vAlign w:val="center"/>
          </w:tcPr>
          <w:p w14:paraId="62B217C6">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符合</w:t>
            </w:r>
          </w:p>
        </w:tc>
      </w:tr>
      <w:tr w14:paraId="1E4D4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continue"/>
            <w:vAlign w:val="center"/>
          </w:tcPr>
          <w:p w14:paraId="28DC204F">
            <w:pPr>
              <w:widowControl w:val="0"/>
              <w:bidi w:val="0"/>
              <w:adjustRightInd w:val="0"/>
              <w:snapToGrid w:val="0"/>
              <w:jc w:val="center"/>
              <w:rPr>
                <w:rFonts w:hint="eastAsia" w:ascii="宋体" w:hAnsi="宋体" w:eastAsia="宋体" w:cs="宋体"/>
                <w:color w:val="000000" w:themeColor="text1"/>
                <w:sz w:val="21"/>
                <w:szCs w:val="21"/>
                <w:highlight w:val="none"/>
              </w:rPr>
            </w:pPr>
          </w:p>
        </w:tc>
        <w:tc>
          <w:tcPr>
            <w:tcW w:w="786" w:type="pct"/>
            <w:vAlign w:val="center"/>
          </w:tcPr>
          <w:p w14:paraId="58E2DC22">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75号第9.8条</w:t>
            </w:r>
          </w:p>
        </w:tc>
        <w:tc>
          <w:tcPr>
            <w:tcW w:w="2235" w:type="pct"/>
            <w:vAlign w:val="center"/>
          </w:tcPr>
          <w:p w14:paraId="7ABC41B9">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作业场所内不得设置与生产无关的生活设施等。严禁在作业场所内进行烧饭烧水等活动。</w:t>
            </w:r>
          </w:p>
        </w:tc>
        <w:tc>
          <w:tcPr>
            <w:tcW w:w="1217" w:type="pct"/>
            <w:vAlign w:val="center"/>
          </w:tcPr>
          <w:p w14:paraId="113C855B">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未设置与生产无关的生活设施。</w:t>
            </w:r>
          </w:p>
        </w:tc>
        <w:tc>
          <w:tcPr>
            <w:tcW w:w="400" w:type="pct"/>
            <w:vAlign w:val="center"/>
          </w:tcPr>
          <w:p w14:paraId="342DECED">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符合</w:t>
            </w:r>
          </w:p>
        </w:tc>
      </w:tr>
      <w:tr w14:paraId="694A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continue"/>
            <w:vAlign w:val="center"/>
          </w:tcPr>
          <w:p w14:paraId="29CFF1FE">
            <w:pPr>
              <w:widowControl w:val="0"/>
              <w:bidi w:val="0"/>
              <w:adjustRightInd w:val="0"/>
              <w:snapToGrid w:val="0"/>
              <w:jc w:val="center"/>
              <w:rPr>
                <w:rFonts w:hint="eastAsia" w:ascii="宋体" w:hAnsi="宋体" w:eastAsia="宋体" w:cs="宋体"/>
                <w:color w:val="000000" w:themeColor="text1"/>
                <w:sz w:val="21"/>
                <w:szCs w:val="21"/>
                <w:highlight w:val="none"/>
              </w:rPr>
            </w:pPr>
          </w:p>
        </w:tc>
        <w:tc>
          <w:tcPr>
            <w:tcW w:w="786" w:type="pct"/>
            <w:vAlign w:val="center"/>
          </w:tcPr>
          <w:p w14:paraId="16526345">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75号第9.</w:t>
            </w:r>
            <w:r>
              <w:rPr>
                <w:rFonts w:hint="eastAsia" w:ascii="宋体" w:hAnsi="宋体" w:eastAsia="宋体" w:cs="宋体"/>
                <w:color w:val="000000" w:themeColor="text1"/>
                <w:sz w:val="21"/>
                <w:szCs w:val="21"/>
                <w:highlight w:val="none"/>
                <w:lang w:val="en-US" w:eastAsia="zh-CN"/>
              </w:rPr>
              <w:t>15</w:t>
            </w:r>
            <w:r>
              <w:rPr>
                <w:rFonts w:hint="eastAsia" w:ascii="宋体" w:hAnsi="宋体" w:eastAsia="宋体" w:cs="宋体"/>
                <w:color w:val="000000" w:themeColor="text1"/>
                <w:sz w:val="21"/>
                <w:szCs w:val="21"/>
                <w:highlight w:val="none"/>
              </w:rPr>
              <w:t>条</w:t>
            </w:r>
          </w:p>
        </w:tc>
        <w:tc>
          <w:tcPr>
            <w:tcW w:w="2235" w:type="pct"/>
            <w:vAlign w:val="center"/>
          </w:tcPr>
          <w:p w14:paraId="68FE1EA8">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作业面长度超过25m的平台应有双向逃生楼梯，作业台（检验台）等不应设置在设备间隔区内。</w:t>
            </w:r>
          </w:p>
        </w:tc>
        <w:tc>
          <w:tcPr>
            <w:tcW w:w="1217" w:type="pct"/>
            <w:vAlign w:val="center"/>
          </w:tcPr>
          <w:p w14:paraId="50E373FA">
            <w:pPr>
              <w:widowControl w:val="0"/>
              <w:bidi w:val="0"/>
              <w:adjustRightInd w:val="0"/>
              <w:snapToGrid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eastAsia="zh-CN"/>
              </w:rPr>
              <w:t>平台</w:t>
            </w:r>
            <w:r>
              <w:rPr>
                <w:rFonts w:hint="eastAsia" w:ascii="宋体" w:hAnsi="宋体" w:eastAsia="宋体" w:cs="宋体"/>
                <w:color w:val="000000" w:themeColor="text1"/>
                <w:sz w:val="21"/>
                <w:szCs w:val="21"/>
                <w:highlight w:val="none"/>
                <w:lang w:val="en-US" w:eastAsia="zh-CN"/>
              </w:rPr>
              <w:t>CD、平台F设</w:t>
            </w:r>
            <w:r>
              <w:rPr>
                <w:rFonts w:hint="eastAsia" w:ascii="宋体" w:hAnsi="宋体" w:eastAsia="宋体" w:cs="宋体"/>
                <w:color w:val="000000" w:themeColor="text1"/>
                <w:sz w:val="21"/>
                <w:szCs w:val="21"/>
                <w:highlight w:val="none"/>
              </w:rPr>
              <w:t>双向逃生楼梯</w:t>
            </w:r>
            <w:r>
              <w:rPr>
                <w:rFonts w:hint="eastAsia" w:ascii="宋体" w:hAnsi="宋体" w:eastAsia="宋体" w:cs="宋体"/>
                <w:color w:val="000000" w:themeColor="text1"/>
                <w:sz w:val="21"/>
                <w:szCs w:val="21"/>
                <w:highlight w:val="none"/>
                <w:lang w:eastAsia="zh-CN"/>
              </w:rPr>
              <w:t>。</w:t>
            </w:r>
          </w:p>
        </w:tc>
        <w:tc>
          <w:tcPr>
            <w:tcW w:w="400" w:type="pct"/>
            <w:vAlign w:val="center"/>
          </w:tcPr>
          <w:p w14:paraId="5F71CF64">
            <w:pPr>
              <w:widowControl w:val="0"/>
              <w:bidi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5E372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continue"/>
            <w:vAlign w:val="center"/>
          </w:tcPr>
          <w:p w14:paraId="5C3A1AB4">
            <w:pPr>
              <w:widowControl w:val="0"/>
              <w:bidi w:val="0"/>
              <w:adjustRightInd w:val="0"/>
              <w:snapToGrid w:val="0"/>
              <w:jc w:val="center"/>
              <w:rPr>
                <w:rFonts w:hint="eastAsia" w:ascii="宋体" w:hAnsi="宋体" w:eastAsia="宋体" w:cs="宋体"/>
                <w:color w:val="000000" w:themeColor="text1"/>
                <w:sz w:val="21"/>
                <w:szCs w:val="21"/>
                <w:highlight w:val="none"/>
              </w:rPr>
            </w:pPr>
          </w:p>
        </w:tc>
        <w:tc>
          <w:tcPr>
            <w:tcW w:w="786" w:type="pct"/>
            <w:vAlign w:val="center"/>
          </w:tcPr>
          <w:p w14:paraId="4DEF0F9F">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75号第9.17条</w:t>
            </w:r>
          </w:p>
        </w:tc>
        <w:tc>
          <w:tcPr>
            <w:tcW w:w="2235" w:type="pct"/>
            <w:vAlign w:val="center"/>
          </w:tcPr>
          <w:p w14:paraId="20E77E7E">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作业场所应按要求设置安全标志标识、安全周知卡和安全操作规程，并按规定设置灭火器、消防沙等必要的应急器材和防护服等个体防护装备。</w:t>
            </w:r>
          </w:p>
        </w:tc>
        <w:tc>
          <w:tcPr>
            <w:tcW w:w="1217" w:type="pct"/>
            <w:vAlign w:val="center"/>
          </w:tcPr>
          <w:p w14:paraId="01D5C883">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危险化学品作业场所设置的危险化学品安全周知卡不符合《化学品作业场所安全警示标志规范》（AQ 3047-2013）的要求</w:t>
            </w:r>
            <w:r>
              <w:rPr>
                <w:rFonts w:hint="eastAsia" w:ascii="宋体" w:hAnsi="宋体" w:eastAsia="宋体" w:cs="宋体"/>
                <w:color w:val="000000" w:themeColor="text1"/>
                <w:sz w:val="21"/>
                <w:szCs w:val="21"/>
                <w:highlight w:val="none"/>
                <w:lang w:eastAsia="zh-CN"/>
              </w:rPr>
              <w:t>，未设置</w:t>
            </w:r>
            <w:r>
              <w:rPr>
                <w:rFonts w:hint="eastAsia" w:ascii="宋体" w:hAnsi="宋体" w:eastAsia="宋体" w:cs="宋体"/>
                <w:color w:val="000000" w:themeColor="text1"/>
                <w:sz w:val="21"/>
                <w:szCs w:val="21"/>
                <w:highlight w:val="none"/>
              </w:rPr>
              <w:t>危险化学品安全操作规程。</w:t>
            </w:r>
          </w:p>
        </w:tc>
        <w:tc>
          <w:tcPr>
            <w:tcW w:w="400" w:type="pct"/>
            <w:vAlign w:val="center"/>
          </w:tcPr>
          <w:p w14:paraId="3A730126">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不符合</w:t>
            </w:r>
          </w:p>
        </w:tc>
      </w:tr>
      <w:tr w14:paraId="2DBBE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restart"/>
            <w:vAlign w:val="center"/>
          </w:tcPr>
          <w:p w14:paraId="6A060D4B">
            <w:pPr>
              <w:widowControl w:val="0"/>
              <w:bidi w:val="0"/>
              <w:adjustRightInd w:val="0"/>
              <w:snapToGrid w:val="0"/>
              <w:jc w:val="center"/>
              <w:rPr>
                <w:rFonts w:hint="eastAsia" w:ascii="宋体" w:hAnsi="宋体" w:eastAsia="宋体" w:cs="宋体"/>
                <w:color w:val="000000" w:themeColor="text1"/>
                <w:sz w:val="21"/>
                <w:szCs w:val="21"/>
                <w:highlight w:val="none"/>
              </w:rPr>
            </w:pPr>
            <w:bookmarkStart w:id="864" w:name="_Toc4827"/>
            <w:bookmarkStart w:id="865" w:name="_Toc30976"/>
            <w:bookmarkStart w:id="866" w:name="_Toc29534"/>
            <w:bookmarkStart w:id="867" w:name="_Toc25554"/>
            <w:bookmarkStart w:id="868" w:name="_Toc5762"/>
            <w:bookmarkStart w:id="869" w:name="_Toc12423"/>
            <w:r>
              <w:rPr>
                <w:rFonts w:hint="eastAsia" w:ascii="宋体" w:hAnsi="宋体" w:eastAsia="宋体" w:cs="宋体"/>
                <w:color w:val="000000" w:themeColor="text1"/>
                <w:sz w:val="21"/>
                <w:szCs w:val="21"/>
                <w:highlight w:val="none"/>
              </w:rPr>
              <w:t>腐蚀性危险化学品的使用</w:t>
            </w:r>
            <w:bookmarkEnd w:id="864"/>
            <w:bookmarkEnd w:id="865"/>
            <w:bookmarkEnd w:id="866"/>
            <w:bookmarkEnd w:id="867"/>
            <w:bookmarkEnd w:id="868"/>
            <w:bookmarkEnd w:id="869"/>
          </w:p>
        </w:tc>
        <w:tc>
          <w:tcPr>
            <w:tcW w:w="786" w:type="pct"/>
            <w:vAlign w:val="center"/>
          </w:tcPr>
          <w:p w14:paraId="4E9F0D84">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75号第12.5.</w:t>
            </w: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条</w:t>
            </w:r>
          </w:p>
        </w:tc>
        <w:tc>
          <w:tcPr>
            <w:tcW w:w="2235" w:type="pct"/>
            <w:vAlign w:val="center"/>
          </w:tcPr>
          <w:p w14:paraId="495FF39D">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腐蚀性危险化学品储罐材质应符合相关标准、规范的要求。罐体设计强度应能满足荷载要求，并留有裕量。</w:t>
            </w:r>
          </w:p>
        </w:tc>
        <w:tc>
          <w:tcPr>
            <w:tcW w:w="1217" w:type="pct"/>
            <w:vAlign w:val="center"/>
          </w:tcPr>
          <w:p w14:paraId="3DB21172">
            <w:pPr>
              <w:widowControl w:val="0"/>
              <w:bidi w:val="0"/>
              <w:adjustRightInd w:val="0"/>
              <w:snapToGrid w:val="0"/>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氢氧化钠溶液</w:t>
            </w:r>
            <w:r>
              <w:rPr>
                <w:rFonts w:hint="eastAsia" w:ascii="宋体" w:hAnsi="宋体" w:eastAsia="宋体" w:cs="宋体"/>
                <w:color w:val="000000" w:themeColor="text1"/>
                <w:sz w:val="21"/>
                <w:szCs w:val="21"/>
                <w:highlight w:val="none"/>
              </w:rPr>
              <w:t>储罐材质</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强度符合要求</w:t>
            </w:r>
            <w:r>
              <w:rPr>
                <w:rFonts w:hint="eastAsia" w:ascii="宋体" w:hAnsi="宋体" w:eastAsia="宋体" w:cs="宋体"/>
                <w:color w:val="000000" w:themeColor="text1"/>
                <w:sz w:val="21"/>
                <w:szCs w:val="21"/>
                <w:highlight w:val="none"/>
                <w:lang w:eastAsia="zh-CN"/>
              </w:rPr>
              <w:t>。</w:t>
            </w:r>
          </w:p>
        </w:tc>
        <w:tc>
          <w:tcPr>
            <w:tcW w:w="400" w:type="pct"/>
            <w:vAlign w:val="center"/>
          </w:tcPr>
          <w:p w14:paraId="3654D8B4">
            <w:pPr>
              <w:widowControl w:val="0"/>
              <w:bidi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77D49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continue"/>
            <w:vAlign w:val="center"/>
          </w:tcPr>
          <w:p w14:paraId="19C3858D">
            <w:pPr>
              <w:widowControl w:val="0"/>
              <w:bidi w:val="0"/>
              <w:adjustRightInd w:val="0"/>
              <w:snapToGrid w:val="0"/>
              <w:rPr>
                <w:rFonts w:hint="eastAsia" w:ascii="宋体" w:hAnsi="宋体" w:eastAsia="宋体" w:cs="宋体"/>
                <w:color w:val="000000" w:themeColor="text1"/>
                <w:sz w:val="21"/>
                <w:szCs w:val="21"/>
                <w:highlight w:val="none"/>
              </w:rPr>
            </w:pPr>
          </w:p>
        </w:tc>
        <w:tc>
          <w:tcPr>
            <w:tcW w:w="786" w:type="pct"/>
            <w:vAlign w:val="center"/>
          </w:tcPr>
          <w:p w14:paraId="1C20E882">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75号第12.5.</w:t>
            </w:r>
            <w:r>
              <w:rPr>
                <w:rFonts w:hint="eastAsia" w:ascii="宋体" w:hAnsi="宋体" w:eastAsia="宋体" w:cs="宋体"/>
                <w:color w:val="000000" w:themeColor="text1"/>
                <w:sz w:val="21"/>
                <w:szCs w:val="21"/>
                <w:highlight w:val="none"/>
                <w:lang w:val="en-US" w:eastAsia="zh-CN"/>
              </w:rPr>
              <w:t>2</w:t>
            </w:r>
            <w:r>
              <w:rPr>
                <w:rFonts w:hint="eastAsia" w:ascii="宋体" w:hAnsi="宋体" w:eastAsia="宋体" w:cs="宋体"/>
                <w:color w:val="000000" w:themeColor="text1"/>
                <w:sz w:val="21"/>
                <w:szCs w:val="21"/>
                <w:highlight w:val="none"/>
              </w:rPr>
              <w:t>条</w:t>
            </w:r>
          </w:p>
        </w:tc>
        <w:tc>
          <w:tcPr>
            <w:tcW w:w="2235" w:type="pct"/>
            <w:vAlign w:val="center"/>
          </w:tcPr>
          <w:p w14:paraId="2FC3CE97">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腐蚀性危险化学品储罐区内地面和防火堤堤身内侧均应做防腐蚀处理；腐蚀性危险化学品仓库（中间仓库）的地面和踢脚线应做防腐蚀处理。</w:t>
            </w:r>
          </w:p>
        </w:tc>
        <w:tc>
          <w:tcPr>
            <w:tcW w:w="1217" w:type="pct"/>
            <w:vAlign w:val="center"/>
          </w:tcPr>
          <w:p w14:paraId="06F83734">
            <w:pPr>
              <w:widowControl w:val="0"/>
              <w:bidi w:val="0"/>
              <w:adjustRightInd w:val="0"/>
              <w:snapToGrid w:val="0"/>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氢氧化钠溶液</w:t>
            </w:r>
            <w:r>
              <w:rPr>
                <w:rFonts w:hint="eastAsia" w:ascii="宋体" w:hAnsi="宋体" w:eastAsia="宋体" w:cs="宋体"/>
                <w:color w:val="000000" w:themeColor="text1"/>
                <w:sz w:val="21"/>
                <w:szCs w:val="21"/>
                <w:highlight w:val="none"/>
              </w:rPr>
              <w:t>储罐</w:t>
            </w:r>
            <w:r>
              <w:rPr>
                <w:rFonts w:hint="eastAsia" w:ascii="宋体" w:hAnsi="宋体" w:eastAsia="宋体" w:cs="宋体"/>
                <w:color w:val="000000" w:themeColor="text1"/>
                <w:sz w:val="21"/>
                <w:szCs w:val="21"/>
                <w:highlight w:val="none"/>
                <w:lang w:eastAsia="zh-CN"/>
              </w:rPr>
              <w:t>防流散围堰</w:t>
            </w:r>
            <w:r>
              <w:rPr>
                <w:rFonts w:hint="eastAsia" w:ascii="宋体" w:hAnsi="宋体" w:eastAsia="宋体" w:cs="宋体"/>
                <w:color w:val="000000" w:themeColor="text1"/>
                <w:sz w:val="21"/>
                <w:szCs w:val="21"/>
                <w:highlight w:val="none"/>
              </w:rPr>
              <w:t>内地面</w:t>
            </w:r>
            <w:r>
              <w:rPr>
                <w:rFonts w:hint="eastAsia" w:ascii="宋体" w:hAnsi="宋体" w:eastAsia="宋体" w:cs="宋体"/>
                <w:color w:val="000000" w:themeColor="text1"/>
                <w:sz w:val="21"/>
                <w:szCs w:val="21"/>
                <w:highlight w:val="none"/>
                <w:lang w:eastAsia="zh-CN"/>
              </w:rPr>
              <w:t>、次氯酸钠溶液储存区域地面</w:t>
            </w:r>
            <w:r>
              <w:rPr>
                <w:rFonts w:hint="eastAsia" w:ascii="宋体" w:hAnsi="宋体" w:eastAsia="宋体" w:cs="宋体"/>
                <w:color w:val="000000" w:themeColor="text1"/>
                <w:sz w:val="21"/>
                <w:szCs w:val="21"/>
                <w:highlight w:val="none"/>
              </w:rPr>
              <w:t>做</w:t>
            </w:r>
            <w:r>
              <w:rPr>
                <w:rFonts w:hint="eastAsia" w:ascii="宋体" w:hAnsi="宋体" w:eastAsia="宋体" w:cs="宋体"/>
                <w:color w:val="000000" w:themeColor="text1"/>
                <w:sz w:val="21"/>
                <w:szCs w:val="21"/>
                <w:highlight w:val="none"/>
                <w:lang w:eastAsia="zh-CN"/>
              </w:rPr>
              <w:t>了</w:t>
            </w:r>
            <w:r>
              <w:rPr>
                <w:rFonts w:hint="eastAsia" w:ascii="宋体" w:hAnsi="宋体" w:eastAsia="宋体" w:cs="宋体"/>
                <w:color w:val="000000" w:themeColor="text1"/>
                <w:sz w:val="21"/>
                <w:szCs w:val="21"/>
                <w:highlight w:val="none"/>
              </w:rPr>
              <w:t>防腐蚀处理；</w:t>
            </w:r>
          </w:p>
        </w:tc>
        <w:tc>
          <w:tcPr>
            <w:tcW w:w="400" w:type="pct"/>
            <w:vAlign w:val="center"/>
          </w:tcPr>
          <w:p w14:paraId="79C41367">
            <w:pPr>
              <w:widowControl w:val="0"/>
              <w:bidi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356CA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continue"/>
            <w:vAlign w:val="center"/>
          </w:tcPr>
          <w:p w14:paraId="24EE25A2">
            <w:pPr>
              <w:widowControl w:val="0"/>
              <w:bidi w:val="0"/>
              <w:adjustRightInd w:val="0"/>
              <w:snapToGrid w:val="0"/>
              <w:rPr>
                <w:rFonts w:hint="eastAsia" w:ascii="宋体" w:hAnsi="宋体" w:eastAsia="宋体" w:cs="宋体"/>
                <w:color w:val="000000" w:themeColor="text1"/>
                <w:sz w:val="21"/>
                <w:szCs w:val="21"/>
                <w:highlight w:val="none"/>
              </w:rPr>
            </w:pPr>
          </w:p>
        </w:tc>
        <w:tc>
          <w:tcPr>
            <w:tcW w:w="786" w:type="pct"/>
            <w:vAlign w:val="center"/>
          </w:tcPr>
          <w:p w14:paraId="1C4F8F8F">
            <w:pPr>
              <w:widowControl w:val="0"/>
              <w:bidi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75号第12.5.</w:t>
            </w:r>
            <w:r>
              <w:rPr>
                <w:rFonts w:hint="eastAsia" w:ascii="宋体" w:hAnsi="宋体" w:eastAsia="宋体" w:cs="宋体"/>
                <w:color w:val="000000" w:themeColor="text1"/>
                <w:sz w:val="21"/>
                <w:szCs w:val="21"/>
                <w:highlight w:val="none"/>
                <w:lang w:val="en-US" w:eastAsia="zh-CN"/>
              </w:rPr>
              <w:t>3</w:t>
            </w:r>
            <w:r>
              <w:rPr>
                <w:rFonts w:hint="eastAsia" w:ascii="宋体" w:hAnsi="宋体" w:eastAsia="宋体" w:cs="宋体"/>
                <w:color w:val="000000" w:themeColor="text1"/>
                <w:sz w:val="21"/>
                <w:szCs w:val="21"/>
                <w:highlight w:val="none"/>
              </w:rPr>
              <w:t>条</w:t>
            </w:r>
          </w:p>
        </w:tc>
        <w:tc>
          <w:tcPr>
            <w:tcW w:w="2235" w:type="pct"/>
            <w:vAlign w:val="center"/>
          </w:tcPr>
          <w:p w14:paraId="563876D7">
            <w:pPr>
              <w:widowControl w:val="0"/>
              <w:bidi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相互禁忌的腐蚀性化学品不得混存混放。如：酸性危险化学品和碱性危险化学品应分隔储存。</w:t>
            </w:r>
          </w:p>
        </w:tc>
        <w:tc>
          <w:tcPr>
            <w:tcW w:w="1217" w:type="pct"/>
            <w:vAlign w:val="center"/>
          </w:tcPr>
          <w:p w14:paraId="0F4281A1">
            <w:pPr>
              <w:widowControl w:val="0"/>
              <w:bidi w:val="0"/>
              <w:adjustRightInd w:val="0"/>
              <w:snapToGrid w:val="0"/>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氢氧化钠溶液</w:t>
            </w:r>
            <w:r>
              <w:rPr>
                <w:rFonts w:hint="eastAsia" w:ascii="宋体" w:hAnsi="宋体" w:eastAsia="宋体" w:cs="宋体"/>
                <w:color w:val="000000" w:themeColor="text1"/>
                <w:sz w:val="21"/>
                <w:szCs w:val="21"/>
                <w:highlight w:val="none"/>
              </w:rPr>
              <w:t>储罐</w:t>
            </w:r>
            <w:r>
              <w:rPr>
                <w:rFonts w:hint="eastAsia" w:ascii="宋体" w:hAnsi="宋体" w:eastAsia="宋体" w:cs="宋体"/>
                <w:color w:val="000000" w:themeColor="text1"/>
                <w:sz w:val="21"/>
                <w:szCs w:val="21"/>
                <w:highlight w:val="none"/>
                <w:lang w:eastAsia="zh-CN"/>
              </w:rPr>
              <w:t>储存</w:t>
            </w: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eastAsia="zh-CN"/>
              </w:rPr>
              <w:t>次氯酸钠溶液储存在</w:t>
            </w:r>
            <w:r>
              <w:rPr>
                <w:rFonts w:hint="eastAsia"/>
                <w:color w:val="000000" w:themeColor="text1"/>
                <w:sz w:val="21"/>
                <w:szCs w:val="21"/>
                <w:highlight w:val="none"/>
              </w:rPr>
              <w:t>废水处理站</w:t>
            </w:r>
            <w:r>
              <w:rPr>
                <w:rFonts w:hint="eastAsia" w:ascii="宋体" w:hAnsi="宋体" w:eastAsia="宋体" w:cs="宋体"/>
                <w:color w:val="000000" w:themeColor="text1"/>
                <w:sz w:val="21"/>
                <w:szCs w:val="21"/>
                <w:highlight w:val="none"/>
                <w:lang w:eastAsia="zh-CN"/>
              </w:rPr>
              <w:t>药剂房。</w:t>
            </w:r>
          </w:p>
        </w:tc>
        <w:tc>
          <w:tcPr>
            <w:tcW w:w="400" w:type="pct"/>
            <w:vAlign w:val="center"/>
          </w:tcPr>
          <w:p w14:paraId="56E4C84C">
            <w:pPr>
              <w:widowControl w:val="0"/>
              <w:bidi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14408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0" w:type="pct"/>
            <w:vMerge w:val="continue"/>
            <w:vAlign w:val="center"/>
          </w:tcPr>
          <w:p w14:paraId="44DD5452">
            <w:pPr>
              <w:widowControl w:val="0"/>
              <w:bidi w:val="0"/>
              <w:adjustRightInd w:val="0"/>
              <w:snapToGrid w:val="0"/>
              <w:rPr>
                <w:rFonts w:hint="eastAsia" w:ascii="宋体" w:hAnsi="宋体" w:eastAsia="宋体" w:cs="宋体"/>
                <w:color w:val="000000" w:themeColor="text1"/>
                <w:sz w:val="21"/>
                <w:szCs w:val="21"/>
                <w:highlight w:val="none"/>
              </w:rPr>
            </w:pPr>
          </w:p>
        </w:tc>
        <w:tc>
          <w:tcPr>
            <w:tcW w:w="786" w:type="pct"/>
            <w:vAlign w:val="center"/>
          </w:tcPr>
          <w:p w14:paraId="0236D1FF">
            <w:pPr>
              <w:widowControl w:val="0"/>
              <w:bidi w:val="0"/>
              <w:adjustRightInd w:val="0"/>
              <w:snapToGrid w:val="0"/>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浙应急基础</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2020</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75号第12.5.4条</w:t>
            </w:r>
          </w:p>
        </w:tc>
        <w:tc>
          <w:tcPr>
            <w:tcW w:w="2235" w:type="pct"/>
            <w:vAlign w:val="center"/>
          </w:tcPr>
          <w:p w14:paraId="7A5427A4">
            <w:pPr>
              <w:widowControl w:val="0"/>
              <w:bidi w:val="0"/>
              <w:adjustRightInd w:val="0"/>
              <w:snapToGrid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腐蚀性危险化学品使用场所的地面应采取防渗措施。</w:t>
            </w:r>
          </w:p>
        </w:tc>
        <w:tc>
          <w:tcPr>
            <w:tcW w:w="1217" w:type="pct"/>
            <w:vAlign w:val="center"/>
          </w:tcPr>
          <w:p w14:paraId="1D06A779">
            <w:pPr>
              <w:widowControl w:val="0"/>
              <w:bidi w:val="0"/>
              <w:adjustRightInd w:val="0"/>
              <w:snapToGrid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eastAsia="zh-CN"/>
              </w:rPr>
              <w:t>漂染车间、次氯酸钠溶液配药区域混凝土地面</w:t>
            </w:r>
            <w:r>
              <w:rPr>
                <w:rFonts w:hint="eastAsia" w:ascii="宋体" w:hAnsi="宋体" w:eastAsia="宋体" w:cs="宋体"/>
                <w:color w:val="000000" w:themeColor="text1"/>
                <w:sz w:val="21"/>
                <w:szCs w:val="21"/>
                <w:highlight w:val="none"/>
              </w:rPr>
              <w:t>。</w:t>
            </w:r>
          </w:p>
        </w:tc>
        <w:tc>
          <w:tcPr>
            <w:tcW w:w="400" w:type="pct"/>
            <w:vAlign w:val="center"/>
          </w:tcPr>
          <w:p w14:paraId="2AC81F84">
            <w:pPr>
              <w:widowControl w:val="0"/>
              <w:bidi w:val="0"/>
              <w:adjustRightInd w:val="0"/>
              <w:snapToGrid w:val="0"/>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符合</w:t>
            </w:r>
          </w:p>
        </w:tc>
      </w:tr>
    </w:tbl>
    <w:p w14:paraId="287E1A13">
      <w:pPr>
        <w:pStyle w:val="744"/>
        <w:widowControl w:val="0"/>
        <w:adjustRightInd w:val="0"/>
        <w:snapToGrid w:val="0"/>
        <w:spacing w:beforeLines="50" w:line="360" w:lineRule="auto"/>
        <w:ind w:firstLine="560"/>
        <w:rPr>
          <w:color w:val="000000" w:themeColor="text1"/>
          <w:sz w:val="28"/>
          <w:szCs w:val="28"/>
          <w:highlight w:val="none"/>
        </w:rPr>
      </w:pPr>
      <w:r>
        <w:rPr>
          <w:rFonts w:hint="eastAsia"/>
          <w:color w:val="000000" w:themeColor="text1"/>
          <w:sz w:val="28"/>
          <w:szCs w:val="28"/>
          <w:highlight w:val="none"/>
        </w:rPr>
        <w:t>经检查，存在以下问题：</w:t>
      </w:r>
    </w:p>
    <w:p w14:paraId="6C1058BA">
      <w:pPr>
        <w:widowControl w:val="0"/>
        <w:numPr>
          <w:ilvl w:val="0"/>
          <w:numId w:val="53"/>
        </w:numPr>
        <w:adjustRightInd w:val="0"/>
        <w:snapToGrid w:val="0"/>
        <w:spacing w:line="360" w:lineRule="auto"/>
        <w:ind w:left="0" w:firstLine="560" w:firstLineChars="200"/>
        <w:rPr>
          <w:rFonts w:hint="eastAsia" w:ascii="宋体" w:hAnsi="宋体" w:cs="宋体"/>
          <w:color w:val="000000" w:themeColor="text1"/>
          <w:kern w:val="0"/>
          <w:sz w:val="28"/>
          <w:szCs w:val="28"/>
          <w:highlight w:val="none"/>
          <w:lang w:val="en-US" w:eastAsia="zh-CN"/>
        </w:rPr>
      </w:pPr>
      <w:r>
        <w:rPr>
          <w:rFonts w:hint="eastAsia" w:ascii="宋体" w:hAnsi="宋体" w:cs="宋体"/>
          <w:color w:val="000000" w:themeColor="text1"/>
          <w:kern w:val="0"/>
          <w:sz w:val="28"/>
          <w:szCs w:val="28"/>
          <w:highlight w:val="none"/>
          <w:lang w:val="en-US" w:eastAsia="zh-CN"/>
        </w:rPr>
        <w:t>未制定危险化学品装卸安全操作规程。</w:t>
      </w:r>
    </w:p>
    <w:p w14:paraId="5FC58447">
      <w:pPr>
        <w:widowControl w:val="0"/>
        <w:numPr>
          <w:ilvl w:val="0"/>
          <w:numId w:val="53"/>
        </w:numPr>
        <w:adjustRightInd w:val="0"/>
        <w:snapToGrid w:val="0"/>
        <w:spacing w:line="360" w:lineRule="auto"/>
        <w:ind w:left="0" w:firstLine="560" w:firstLineChars="200"/>
        <w:rPr>
          <w:rFonts w:ascii="宋体" w:hAnsi="宋体" w:cs="宋体"/>
          <w:color w:val="000000" w:themeColor="text1"/>
          <w:kern w:val="0"/>
          <w:sz w:val="28"/>
          <w:szCs w:val="28"/>
          <w:highlight w:val="none"/>
        </w:rPr>
      </w:pPr>
      <w:r>
        <w:rPr>
          <w:rFonts w:hint="eastAsia" w:ascii="宋体" w:hAnsi="宋体" w:cs="宋体"/>
          <w:color w:val="000000" w:themeColor="text1"/>
          <w:kern w:val="0"/>
          <w:sz w:val="28"/>
          <w:szCs w:val="28"/>
          <w:highlight w:val="none"/>
          <w:lang w:val="en-US" w:eastAsia="zh-CN"/>
        </w:rPr>
        <w:t>危险化学品作业场所设置的危险化学品安全周知卡不符合《化学品作业场所安全警示标志规范》（AQ 3047-2013）的要求，未设置危险化学品安全操作规程</w:t>
      </w:r>
      <w:r>
        <w:rPr>
          <w:rFonts w:hint="eastAsia" w:cs="宋体"/>
          <w:color w:val="000000" w:themeColor="text1"/>
          <w:kern w:val="0"/>
          <w:sz w:val="28"/>
          <w:szCs w:val="28"/>
          <w:highlight w:val="none"/>
          <w:lang w:val="en-US" w:eastAsia="zh-CN"/>
        </w:rPr>
        <w:t>。</w:t>
      </w:r>
    </w:p>
    <w:p w14:paraId="07118B5B">
      <w:pPr>
        <w:widowControl w:val="0"/>
        <w:adjustRightInd w:val="0"/>
        <w:snapToGrid w:val="0"/>
        <w:spacing w:line="360" w:lineRule="auto"/>
        <w:outlineLvl w:val="2"/>
        <w:rPr>
          <w:rFonts w:ascii="黑体" w:eastAsia="黑体"/>
          <w:b/>
          <w:bCs/>
          <w:color w:val="000000" w:themeColor="text1"/>
          <w:kern w:val="0"/>
          <w:sz w:val="28"/>
          <w:szCs w:val="28"/>
          <w:highlight w:val="none"/>
          <w:lang w:val="en-GB"/>
        </w:rPr>
      </w:pPr>
      <w:bookmarkStart w:id="870" w:name="_Toc24357"/>
      <w:bookmarkStart w:id="871" w:name="_Toc25635"/>
      <w:bookmarkStart w:id="872" w:name="_Toc19861"/>
      <w:bookmarkStart w:id="873" w:name="_Toc31371"/>
      <w:bookmarkStart w:id="874" w:name="_Toc10783"/>
      <w:bookmarkStart w:id="875" w:name="_Toc9861"/>
      <w:r>
        <w:rPr>
          <w:rFonts w:hint="eastAsia" w:ascii="黑体" w:eastAsia="黑体"/>
          <w:b/>
          <w:bCs/>
          <w:color w:val="000000" w:themeColor="text1"/>
          <w:kern w:val="0"/>
          <w:sz w:val="28"/>
          <w:szCs w:val="28"/>
          <w:highlight w:val="none"/>
          <w:lang w:val="en-GB"/>
        </w:rPr>
        <w:t>5.1.</w:t>
      </w:r>
      <w:r>
        <w:rPr>
          <w:rFonts w:hint="eastAsia" w:ascii="黑体" w:eastAsia="黑体"/>
          <w:b/>
          <w:bCs/>
          <w:color w:val="000000" w:themeColor="text1"/>
          <w:kern w:val="0"/>
          <w:sz w:val="28"/>
          <w:szCs w:val="28"/>
          <w:highlight w:val="none"/>
          <w:lang w:val="en-US" w:eastAsia="zh-CN"/>
        </w:rPr>
        <w:t>3</w:t>
      </w:r>
      <w:r>
        <w:rPr>
          <w:rFonts w:hint="eastAsia" w:ascii="黑体" w:eastAsia="黑体"/>
          <w:b/>
          <w:bCs/>
          <w:color w:val="000000" w:themeColor="text1"/>
          <w:kern w:val="0"/>
          <w:sz w:val="28"/>
          <w:szCs w:val="28"/>
          <w:highlight w:val="none"/>
          <w:lang w:val="en-GB"/>
        </w:rPr>
        <w:t>使用危险化学品工业企业安全生产基本规范评价</w:t>
      </w:r>
      <w:bookmarkEnd w:id="852"/>
      <w:bookmarkEnd w:id="853"/>
      <w:bookmarkEnd w:id="854"/>
      <w:bookmarkEnd w:id="855"/>
      <w:bookmarkEnd w:id="856"/>
      <w:bookmarkEnd w:id="857"/>
      <w:bookmarkEnd w:id="870"/>
      <w:bookmarkEnd w:id="871"/>
      <w:bookmarkEnd w:id="872"/>
      <w:bookmarkEnd w:id="873"/>
      <w:bookmarkEnd w:id="874"/>
      <w:bookmarkEnd w:id="875"/>
    </w:p>
    <w:p w14:paraId="39B45A9A">
      <w:pPr>
        <w:widowControl w:val="0"/>
        <w:adjustRightInd w:val="0"/>
        <w:snapToGrid w:val="0"/>
        <w:spacing w:line="360" w:lineRule="auto"/>
        <w:ind w:firstLine="561"/>
        <w:rPr>
          <w:rFonts w:hint="eastAsia"/>
          <w:color w:val="000000" w:themeColor="text1"/>
          <w:kern w:val="0"/>
          <w:sz w:val="28"/>
          <w:szCs w:val="28"/>
          <w:highlight w:val="none"/>
        </w:rPr>
      </w:pPr>
      <w:r>
        <w:rPr>
          <w:rFonts w:hint="eastAsia"/>
          <w:color w:val="000000" w:themeColor="text1"/>
          <w:kern w:val="0"/>
          <w:sz w:val="28"/>
          <w:szCs w:val="28"/>
          <w:highlight w:val="none"/>
        </w:rPr>
        <w:t>依据《宁波市应急管理局关于印发〈宁波市使用危险化学品工业企业安全生产基本规范（试行）〉的通知》（甬应急〔</w:t>
      </w:r>
      <w:r>
        <w:rPr>
          <w:color w:val="000000" w:themeColor="text1"/>
          <w:kern w:val="0"/>
          <w:sz w:val="28"/>
          <w:szCs w:val="28"/>
          <w:highlight w:val="none"/>
        </w:rPr>
        <w:t>2020〕10号）的要求</w:t>
      </w:r>
      <w:r>
        <w:rPr>
          <w:rFonts w:hint="eastAsia"/>
          <w:color w:val="000000" w:themeColor="text1"/>
          <w:kern w:val="0"/>
          <w:sz w:val="28"/>
          <w:szCs w:val="28"/>
          <w:highlight w:val="none"/>
        </w:rPr>
        <w:t>从建筑布置与结构、工艺和设备设施、仓库罐区、安全管理、应急救援等五个方面对</w:t>
      </w:r>
      <w:r>
        <w:rPr>
          <w:rFonts w:hint="eastAsia"/>
          <w:color w:val="000000" w:themeColor="text1"/>
          <w:kern w:val="0"/>
          <w:sz w:val="28"/>
          <w:szCs w:val="28"/>
          <w:highlight w:val="none"/>
          <w:lang w:eastAsia="zh-CN"/>
        </w:rPr>
        <w:t>本项目</w:t>
      </w:r>
      <w:r>
        <w:rPr>
          <w:rFonts w:hint="eastAsia"/>
          <w:color w:val="000000" w:themeColor="text1"/>
          <w:kern w:val="0"/>
          <w:sz w:val="28"/>
          <w:szCs w:val="28"/>
          <w:highlight w:val="none"/>
        </w:rPr>
        <w:t>危险化学品储存和使用情况进行安全评价，检查情况详见下表。</w:t>
      </w:r>
    </w:p>
    <w:p w14:paraId="0F84517F">
      <w:pPr>
        <w:widowControl w:val="0"/>
        <w:adjustRightInd w:val="0"/>
        <w:snapToGrid w:val="0"/>
        <w:spacing w:line="360" w:lineRule="auto"/>
        <w:jc w:val="center"/>
        <w:rPr>
          <w:rFonts w:ascii="黑体" w:hAnsi="黑体" w:eastAsia="黑体"/>
          <w:color w:val="000000" w:themeColor="text1"/>
          <w:kern w:val="0"/>
          <w:sz w:val="24"/>
          <w:szCs w:val="24"/>
          <w:highlight w:val="none"/>
          <w:lang w:val="en-GB"/>
        </w:rPr>
      </w:pPr>
      <w:r>
        <w:rPr>
          <w:rFonts w:ascii="黑体" w:hAnsi="黑体" w:eastAsia="黑体"/>
          <w:b/>
          <w:bCs/>
          <w:color w:val="000000" w:themeColor="text1"/>
          <w:kern w:val="0"/>
          <w:sz w:val="24"/>
          <w:szCs w:val="24"/>
          <w:highlight w:val="none"/>
        </w:rPr>
        <w:t>表5</w:t>
      </w:r>
      <w:r>
        <w:rPr>
          <w:rFonts w:hint="eastAsia" w:ascii="黑体" w:hAnsi="黑体" w:eastAsia="黑体"/>
          <w:b/>
          <w:bCs/>
          <w:color w:val="000000" w:themeColor="text1"/>
          <w:kern w:val="0"/>
          <w:sz w:val="24"/>
          <w:szCs w:val="24"/>
          <w:highlight w:val="none"/>
        </w:rPr>
        <w:t>.1</w:t>
      </w:r>
      <w:r>
        <w:rPr>
          <w:rFonts w:ascii="黑体" w:hAnsi="黑体" w:eastAsia="黑体"/>
          <w:b/>
          <w:bCs/>
          <w:color w:val="000000" w:themeColor="text1"/>
          <w:kern w:val="0"/>
          <w:sz w:val="24"/>
          <w:szCs w:val="24"/>
          <w:highlight w:val="none"/>
        </w:rPr>
        <w:t>-</w:t>
      </w:r>
      <w:r>
        <w:rPr>
          <w:rFonts w:hint="eastAsia" w:ascii="黑体" w:hAnsi="黑体" w:eastAsia="黑体"/>
          <w:b/>
          <w:bCs/>
          <w:color w:val="000000" w:themeColor="text1"/>
          <w:kern w:val="0"/>
          <w:sz w:val="24"/>
          <w:szCs w:val="24"/>
          <w:highlight w:val="none"/>
          <w:lang w:val="en-US" w:eastAsia="zh-CN"/>
        </w:rPr>
        <w:t>5</w:t>
      </w:r>
      <w:r>
        <w:rPr>
          <w:rFonts w:hint="eastAsia" w:ascii="黑体" w:hAnsi="黑体" w:eastAsia="黑体"/>
          <w:b/>
          <w:bCs/>
          <w:color w:val="000000" w:themeColor="text1"/>
          <w:kern w:val="0"/>
          <w:sz w:val="24"/>
          <w:szCs w:val="24"/>
          <w:highlight w:val="none"/>
        </w:rPr>
        <w:t xml:space="preserve"> 使用危险化学品工业企业安全生产基本规范检查表</w:t>
      </w:r>
    </w:p>
    <w:tbl>
      <w:tblPr>
        <w:tblStyle w:val="6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
        <w:gridCol w:w="624"/>
        <w:gridCol w:w="4574"/>
        <w:gridCol w:w="2564"/>
        <w:gridCol w:w="707"/>
      </w:tblGrid>
      <w:tr w14:paraId="7BFB6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92" w:type="pct"/>
            <w:vAlign w:val="center"/>
          </w:tcPr>
          <w:p w14:paraId="631E3C65">
            <w:pPr>
              <w:widowControl w:val="0"/>
              <w:adjustRightInd w:val="0"/>
              <w:snapToGrid w:val="0"/>
              <w:jc w:val="center"/>
              <w:rPr>
                <w:rFonts w:hint="eastAsia" w:ascii="宋体" w:hAnsi="宋体" w:eastAsia="宋体" w:cs="宋体"/>
                <w:b/>
                <w:color w:val="000000" w:themeColor="text1"/>
                <w:kern w:val="0"/>
                <w:sz w:val="21"/>
                <w:szCs w:val="21"/>
                <w:highlight w:val="none"/>
              </w:rPr>
            </w:pPr>
            <w:r>
              <w:rPr>
                <w:rFonts w:hint="eastAsia" w:ascii="宋体" w:hAnsi="宋体" w:eastAsia="宋体" w:cs="宋体"/>
                <w:b/>
                <w:color w:val="000000" w:themeColor="text1"/>
                <w:kern w:val="0"/>
                <w:sz w:val="21"/>
                <w:szCs w:val="21"/>
                <w:highlight w:val="none"/>
              </w:rPr>
              <w:t>检查项目</w:t>
            </w:r>
          </w:p>
        </w:tc>
        <w:tc>
          <w:tcPr>
            <w:tcW w:w="2765" w:type="pct"/>
            <w:gridSpan w:val="2"/>
            <w:vAlign w:val="center"/>
          </w:tcPr>
          <w:p w14:paraId="3130DF94">
            <w:pPr>
              <w:widowControl w:val="0"/>
              <w:adjustRightInd w:val="0"/>
              <w:snapToGrid w:val="0"/>
              <w:jc w:val="center"/>
              <w:rPr>
                <w:rFonts w:hint="eastAsia" w:ascii="宋体" w:hAnsi="宋体" w:eastAsia="宋体" w:cs="宋体"/>
                <w:b/>
                <w:color w:val="000000" w:themeColor="text1"/>
                <w:kern w:val="0"/>
                <w:sz w:val="21"/>
                <w:szCs w:val="21"/>
                <w:highlight w:val="none"/>
              </w:rPr>
            </w:pPr>
            <w:r>
              <w:rPr>
                <w:rFonts w:hint="eastAsia" w:ascii="宋体" w:hAnsi="宋体" w:eastAsia="宋体" w:cs="宋体"/>
                <w:b/>
                <w:color w:val="000000" w:themeColor="text1"/>
                <w:kern w:val="0"/>
                <w:sz w:val="21"/>
                <w:szCs w:val="21"/>
                <w:highlight w:val="none"/>
              </w:rPr>
              <w:t>检查内容与要求</w:t>
            </w:r>
          </w:p>
        </w:tc>
        <w:tc>
          <w:tcPr>
            <w:tcW w:w="1364" w:type="pct"/>
            <w:vAlign w:val="center"/>
          </w:tcPr>
          <w:p w14:paraId="2E8E9BD4">
            <w:pPr>
              <w:widowControl w:val="0"/>
              <w:adjustRightInd w:val="0"/>
              <w:snapToGrid w:val="0"/>
              <w:jc w:val="center"/>
              <w:rPr>
                <w:rFonts w:hint="eastAsia" w:ascii="宋体" w:hAnsi="宋体" w:eastAsia="宋体" w:cs="宋体"/>
                <w:b/>
                <w:color w:val="000000" w:themeColor="text1"/>
                <w:kern w:val="0"/>
                <w:sz w:val="21"/>
                <w:szCs w:val="21"/>
                <w:highlight w:val="none"/>
              </w:rPr>
            </w:pPr>
            <w:r>
              <w:rPr>
                <w:rFonts w:hint="eastAsia" w:ascii="宋体" w:hAnsi="宋体" w:eastAsia="宋体" w:cs="宋体"/>
                <w:b/>
                <w:color w:val="000000" w:themeColor="text1"/>
                <w:kern w:val="0"/>
                <w:sz w:val="21"/>
                <w:szCs w:val="21"/>
                <w:highlight w:val="none"/>
              </w:rPr>
              <w:t>检查情况</w:t>
            </w:r>
          </w:p>
        </w:tc>
        <w:tc>
          <w:tcPr>
            <w:tcW w:w="376" w:type="pct"/>
            <w:vAlign w:val="center"/>
          </w:tcPr>
          <w:p w14:paraId="10B8F420">
            <w:pPr>
              <w:widowControl w:val="0"/>
              <w:adjustRightInd w:val="0"/>
              <w:snapToGrid w:val="0"/>
              <w:jc w:val="center"/>
              <w:rPr>
                <w:rFonts w:hint="eastAsia" w:ascii="宋体" w:hAnsi="宋体" w:eastAsia="宋体" w:cs="宋体"/>
                <w:b/>
                <w:color w:val="000000" w:themeColor="text1"/>
                <w:kern w:val="0"/>
                <w:sz w:val="21"/>
                <w:szCs w:val="21"/>
                <w:highlight w:val="none"/>
              </w:rPr>
            </w:pPr>
            <w:r>
              <w:rPr>
                <w:rFonts w:hint="eastAsia" w:ascii="宋体" w:hAnsi="宋体" w:eastAsia="宋体" w:cs="宋体"/>
                <w:b/>
                <w:color w:val="000000" w:themeColor="text1"/>
                <w:kern w:val="0"/>
                <w:sz w:val="21"/>
                <w:szCs w:val="21"/>
                <w:highlight w:val="none"/>
              </w:rPr>
              <w:t>检查</w:t>
            </w:r>
          </w:p>
          <w:p w14:paraId="3F869F2F">
            <w:pPr>
              <w:widowControl w:val="0"/>
              <w:adjustRightInd w:val="0"/>
              <w:snapToGrid w:val="0"/>
              <w:jc w:val="center"/>
              <w:rPr>
                <w:rFonts w:hint="eastAsia" w:ascii="宋体" w:hAnsi="宋体" w:eastAsia="宋体" w:cs="宋体"/>
                <w:b/>
                <w:color w:val="000000" w:themeColor="text1"/>
                <w:kern w:val="0"/>
                <w:sz w:val="21"/>
                <w:szCs w:val="21"/>
                <w:highlight w:val="none"/>
              </w:rPr>
            </w:pPr>
            <w:r>
              <w:rPr>
                <w:rFonts w:hint="eastAsia" w:ascii="宋体" w:hAnsi="宋体" w:eastAsia="宋体" w:cs="宋体"/>
                <w:b/>
                <w:color w:val="000000" w:themeColor="text1"/>
                <w:kern w:val="0"/>
                <w:sz w:val="21"/>
                <w:szCs w:val="21"/>
                <w:highlight w:val="none"/>
              </w:rPr>
              <w:t>结果</w:t>
            </w:r>
          </w:p>
        </w:tc>
      </w:tr>
      <w:tr w14:paraId="3D3DA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restart"/>
            <w:vAlign w:val="center"/>
          </w:tcPr>
          <w:p w14:paraId="6D36DEC7">
            <w:pPr>
              <w:widowControl w:val="0"/>
              <w:adjustRightInd w:val="0"/>
              <w:snapToGrid w:val="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一、建筑布置与结构</w:t>
            </w:r>
          </w:p>
        </w:tc>
        <w:tc>
          <w:tcPr>
            <w:tcW w:w="332" w:type="pct"/>
            <w:vAlign w:val="center"/>
          </w:tcPr>
          <w:p w14:paraId="2A7D1FE7">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w:t>
            </w:r>
          </w:p>
        </w:tc>
        <w:tc>
          <w:tcPr>
            <w:tcW w:w="2433" w:type="pct"/>
            <w:vAlign w:val="center"/>
          </w:tcPr>
          <w:p w14:paraId="550109F1">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员工宿舍未设置在厂房和仓库内；办公室、休息室等未设置在甲、乙类仓库内，也未贴邻。</w:t>
            </w:r>
          </w:p>
        </w:tc>
        <w:tc>
          <w:tcPr>
            <w:tcW w:w="1364" w:type="pct"/>
            <w:vAlign w:val="center"/>
          </w:tcPr>
          <w:p w14:paraId="0B859024">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员工宿舍未设置在厂房和仓库内。</w:t>
            </w:r>
          </w:p>
        </w:tc>
        <w:tc>
          <w:tcPr>
            <w:tcW w:w="376" w:type="pct"/>
            <w:vAlign w:val="center"/>
          </w:tcPr>
          <w:p w14:paraId="43BA9DC4">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289F7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6E923B92">
            <w:pPr>
              <w:widowControl w:val="0"/>
              <w:adjustRightInd w:val="0"/>
              <w:snapToGrid w:val="0"/>
              <w:rPr>
                <w:rFonts w:hint="eastAsia" w:ascii="宋体" w:hAnsi="宋体" w:eastAsia="宋体" w:cs="宋体"/>
                <w:bCs/>
                <w:color w:val="000000" w:themeColor="text1"/>
                <w:kern w:val="0"/>
                <w:sz w:val="21"/>
                <w:szCs w:val="21"/>
                <w:highlight w:val="none"/>
              </w:rPr>
            </w:pPr>
          </w:p>
        </w:tc>
        <w:tc>
          <w:tcPr>
            <w:tcW w:w="332" w:type="pct"/>
            <w:vAlign w:val="center"/>
          </w:tcPr>
          <w:p w14:paraId="2227BCF1">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w:t>
            </w:r>
          </w:p>
        </w:tc>
        <w:tc>
          <w:tcPr>
            <w:tcW w:w="2433" w:type="pct"/>
            <w:vAlign w:val="center"/>
          </w:tcPr>
          <w:p w14:paraId="08F20045">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同一建筑内的作业区域与危险化学品储存区域采用防火隔墙（实体墙）进行分隔，隔墙开设门洞的应设置防火门。</w:t>
            </w:r>
          </w:p>
        </w:tc>
        <w:tc>
          <w:tcPr>
            <w:tcW w:w="1364" w:type="pct"/>
            <w:vAlign w:val="center"/>
          </w:tcPr>
          <w:p w14:paraId="5FD7B115">
            <w:pPr>
              <w:widowControl w:val="0"/>
              <w:adjustRightInd w:val="0"/>
              <w:snapToGrid w:val="0"/>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危险化学品备货库房</w:t>
            </w:r>
            <w:r>
              <w:rPr>
                <w:rFonts w:hint="eastAsia" w:ascii="宋体" w:hAnsi="宋体" w:eastAsia="宋体" w:cs="宋体"/>
                <w:color w:val="000000" w:themeColor="text1"/>
                <w:kern w:val="0"/>
                <w:sz w:val="21"/>
                <w:szCs w:val="21"/>
                <w:highlight w:val="none"/>
              </w:rPr>
              <w:t>采用防火隔墙（实体墙）进行分隔，门</w:t>
            </w:r>
            <w:r>
              <w:rPr>
                <w:rFonts w:hint="eastAsia" w:ascii="宋体" w:hAnsi="宋体" w:eastAsia="宋体" w:cs="宋体"/>
                <w:color w:val="000000" w:themeColor="text1"/>
                <w:kern w:val="0"/>
                <w:sz w:val="21"/>
                <w:szCs w:val="21"/>
                <w:highlight w:val="none"/>
                <w:lang w:eastAsia="zh-CN"/>
              </w:rPr>
              <w:t>为</w:t>
            </w:r>
            <w:r>
              <w:rPr>
                <w:rFonts w:hint="eastAsia" w:ascii="宋体" w:hAnsi="宋体" w:eastAsia="宋体" w:cs="宋体"/>
                <w:color w:val="000000" w:themeColor="text1"/>
                <w:kern w:val="0"/>
                <w:sz w:val="21"/>
                <w:szCs w:val="21"/>
                <w:highlight w:val="none"/>
              </w:rPr>
              <w:t>防火门。</w:t>
            </w:r>
          </w:p>
        </w:tc>
        <w:tc>
          <w:tcPr>
            <w:tcW w:w="376" w:type="pct"/>
            <w:vAlign w:val="center"/>
          </w:tcPr>
          <w:p w14:paraId="4F4F8DCE">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6AD50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0DD7D56C">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3A33FC46">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w:t>
            </w:r>
          </w:p>
        </w:tc>
        <w:tc>
          <w:tcPr>
            <w:tcW w:w="2433" w:type="pct"/>
            <w:vAlign w:val="center"/>
          </w:tcPr>
          <w:p w14:paraId="2078E265">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设置的防火门保持常闭，闭门器、顺位器等部件保持完好。</w:t>
            </w:r>
          </w:p>
        </w:tc>
        <w:tc>
          <w:tcPr>
            <w:tcW w:w="1364" w:type="pct"/>
            <w:vAlign w:val="center"/>
          </w:tcPr>
          <w:p w14:paraId="5D313AE0">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保持常闭，部件保持完好。</w:t>
            </w:r>
          </w:p>
        </w:tc>
        <w:tc>
          <w:tcPr>
            <w:tcW w:w="376" w:type="pct"/>
            <w:vAlign w:val="center"/>
          </w:tcPr>
          <w:p w14:paraId="17F5FB27">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cs="宋体"/>
                <w:color w:val="000000" w:themeColor="text1"/>
                <w:kern w:val="0"/>
                <w:sz w:val="21"/>
                <w:szCs w:val="21"/>
                <w:highlight w:val="none"/>
                <w:lang w:eastAsia="zh-CN"/>
              </w:rPr>
              <w:t>符合</w:t>
            </w:r>
          </w:p>
        </w:tc>
      </w:tr>
      <w:tr w14:paraId="1F15E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051122BB">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08471F31">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w:t>
            </w:r>
          </w:p>
        </w:tc>
        <w:tc>
          <w:tcPr>
            <w:tcW w:w="2433" w:type="pct"/>
            <w:vAlign w:val="center"/>
          </w:tcPr>
          <w:p w14:paraId="6169F0BE">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危险化学品作业储存区域的非承重外墙、房间隔墙和屋面板采用金属夹芯板材的，其芯材应为岩棉、矿渣棉等不燃材料。</w:t>
            </w:r>
          </w:p>
        </w:tc>
        <w:tc>
          <w:tcPr>
            <w:tcW w:w="1364" w:type="pct"/>
            <w:vAlign w:val="center"/>
          </w:tcPr>
          <w:p w14:paraId="5CD3A5D4">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危险化学品作业储存区域的非承重外墙、房间隔墙和屋面板未采用金属夹芯板材。</w:t>
            </w:r>
          </w:p>
        </w:tc>
        <w:tc>
          <w:tcPr>
            <w:tcW w:w="376" w:type="pct"/>
            <w:vAlign w:val="center"/>
          </w:tcPr>
          <w:p w14:paraId="1A291CDA">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158BE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76D423AF">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19D407CD">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5</w:t>
            </w:r>
          </w:p>
        </w:tc>
        <w:tc>
          <w:tcPr>
            <w:tcW w:w="2433" w:type="pct"/>
            <w:vAlign w:val="center"/>
          </w:tcPr>
          <w:p w14:paraId="2E4B8B08">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具有可燃性、爆炸危险性及毒性介质的管道，不应穿越与其无关的建筑物、构筑物、生产装置、辅助生产及仓储设施、储罐区等。</w:t>
            </w:r>
          </w:p>
        </w:tc>
        <w:tc>
          <w:tcPr>
            <w:tcW w:w="1364" w:type="pct"/>
            <w:vAlign w:val="center"/>
          </w:tcPr>
          <w:p w14:paraId="2ADF6E60">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不涉及。</w:t>
            </w:r>
          </w:p>
        </w:tc>
        <w:tc>
          <w:tcPr>
            <w:tcW w:w="376" w:type="pct"/>
            <w:vAlign w:val="center"/>
          </w:tcPr>
          <w:p w14:paraId="61BD954F">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w:t>
            </w:r>
          </w:p>
        </w:tc>
      </w:tr>
      <w:tr w14:paraId="13F5B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60AE0634">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1092B93B">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6</w:t>
            </w:r>
          </w:p>
        </w:tc>
        <w:tc>
          <w:tcPr>
            <w:tcW w:w="2433" w:type="pct"/>
            <w:vAlign w:val="center"/>
          </w:tcPr>
          <w:p w14:paraId="33EEDA0D">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甲类厂房30米范围内不得有明火地点或散发火花地点。</w:t>
            </w:r>
          </w:p>
        </w:tc>
        <w:tc>
          <w:tcPr>
            <w:tcW w:w="1364" w:type="pct"/>
            <w:vAlign w:val="center"/>
          </w:tcPr>
          <w:p w14:paraId="30A0F717">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不涉及。</w:t>
            </w:r>
          </w:p>
        </w:tc>
        <w:tc>
          <w:tcPr>
            <w:tcW w:w="376" w:type="pct"/>
            <w:vAlign w:val="center"/>
          </w:tcPr>
          <w:p w14:paraId="05950EA5">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w:t>
            </w:r>
          </w:p>
        </w:tc>
      </w:tr>
      <w:tr w14:paraId="3D794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4B9C82D2">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4429D9FF">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7*</w:t>
            </w:r>
          </w:p>
        </w:tc>
        <w:tc>
          <w:tcPr>
            <w:tcW w:w="2433" w:type="pct"/>
            <w:vAlign w:val="center"/>
          </w:tcPr>
          <w:p w14:paraId="3DDC22F5">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作业区域设置2个安全出口（或符合标准计算要求）；单层面积小于100平方米且同一时间作业人数不超过5人的，可只设置1个安全出口。</w:t>
            </w:r>
          </w:p>
        </w:tc>
        <w:tc>
          <w:tcPr>
            <w:tcW w:w="1364" w:type="pct"/>
            <w:vAlign w:val="center"/>
          </w:tcPr>
          <w:p w14:paraId="7A3DF571">
            <w:pPr>
              <w:widowControl w:val="0"/>
              <w:adjustRightInd w:val="0"/>
              <w:snapToGrid w:val="0"/>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漂染车间</w:t>
            </w:r>
            <w:r>
              <w:rPr>
                <w:rFonts w:hint="eastAsia" w:ascii="宋体" w:hAnsi="宋体" w:eastAsia="宋体" w:cs="宋体"/>
                <w:color w:val="000000" w:themeColor="text1"/>
                <w:kern w:val="0"/>
                <w:sz w:val="21"/>
                <w:szCs w:val="21"/>
                <w:highlight w:val="none"/>
              </w:rPr>
              <w:t>设置有</w:t>
            </w:r>
            <w:r>
              <w:rPr>
                <w:rFonts w:hint="eastAsia" w:cs="宋体"/>
                <w:color w:val="000000" w:themeColor="text1"/>
                <w:kern w:val="0"/>
                <w:sz w:val="21"/>
                <w:szCs w:val="21"/>
                <w:highlight w:val="none"/>
                <w:lang w:val="en-US" w:eastAsia="zh-CN"/>
              </w:rPr>
              <w:t>8</w:t>
            </w:r>
            <w:r>
              <w:rPr>
                <w:rFonts w:hint="eastAsia" w:ascii="宋体" w:hAnsi="宋体" w:eastAsia="宋体" w:cs="宋体"/>
                <w:color w:val="000000" w:themeColor="text1"/>
                <w:kern w:val="0"/>
                <w:sz w:val="21"/>
                <w:szCs w:val="21"/>
                <w:highlight w:val="none"/>
              </w:rPr>
              <w:t>个安全出口。</w:t>
            </w:r>
            <w:r>
              <w:rPr>
                <w:rFonts w:hint="eastAsia" w:cs="宋体"/>
                <w:color w:val="000000" w:themeColor="text1"/>
                <w:kern w:val="0"/>
                <w:sz w:val="21"/>
                <w:szCs w:val="21"/>
                <w:highlight w:val="none"/>
                <w:lang w:val="en-US" w:eastAsia="zh-CN"/>
              </w:rPr>
              <w:t>危险化学备货库房每个隔间</w:t>
            </w:r>
            <w:r>
              <w:rPr>
                <w:rFonts w:hint="eastAsia" w:ascii="宋体" w:hAnsi="宋体" w:eastAsia="宋体" w:cs="宋体"/>
                <w:color w:val="000000" w:themeColor="text1"/>
                <w:kern w:val="0"/>
                <w:sz w:val="21"/>
                <w:szCs w:val="21"/>
                <w:highlight w:val="none"/>
                <w:lang w:val="en-US" w:eastAsia="zh-CN"/>
              </w:rPr>
              <w:t>建筑面积不大于100m</w:t>
            </w:r>
            <w:r>
              <w:rPr>
                <w:rFonts w:hint="eastAsia" w:ascii="宋体" w:hAnsi="宋体" w:eastAsia="宋体" w:cs="宋体"/>
                <w:color w:val="000000" w:themeColor="text1"/>
                <w:kern w:val="0"/>
                <w:sz w:val="21"/>
                <w:szCs w:val="21"/>
                <w:highlight w:val="none"/>
                <w:vertAlign w:val="superscript"/>
                <w:lang w:val="en-US" w:eastAsia="zh-CN"/>
              </w:rPr>
              <w:t>2</w:t>
            </w:r>
            <w:r>
              <w:rPr>
                <w:rFonts w:hint="eastAsia" w:cs="宋体"/>
                <w:color w:val="000000" w:themeColor="text1"/>
                <w:kern w:val="0"/>
                <w:sz w:val="21"/>
                <w:szCs w:val="21"/>
                <w:highlight w:val="none"/>
                <w:vertAlign w:val="baseline"/>
                <w:lang w:val="en-US" w:eastAsia="zh-CN"/>
              </w:rPr>
              <w:t>，</w:t>
            </w:r>
            <w:r>
              <w:rPr>
                <w:rFonts w:hint="eastAsia" w:cs="宋体"/>
                <w:color w:val="000000" w:themeColor="text1"/>
                <w:kern w:val="0"/>
                <w:sz w:val="21"/>
                <w:szCs w:val="21"/>
                <w:highlight w:val="none"/>
                <w:lang w:val="en-US" w:eastAsia="zh-CN"/>
              </w:rPr>
              <w:t>均设有安全出口。</w:t>
            </w:r>
          </w:p>
        </w:tc>
        <w:tc>
          <w:tcPr>
            <w:tcW w:w="376" w:type="pct"/>
            <w:vAlign w:val="center"/>
          </w:tcPr>
          <w:p w14:paraId="298F5FDA">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18827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397A24BA">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139BF7E4">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8</w:t>
            </w:r>
          </w:p>
        </w:tc>
        <w:tc>
          <w:tcPr>
            <w:tcW w:w="2433" w:type="pct"/>
            <w:vAlign w:val="center"/>
          </w:tcPr>
          <w:p w14:paraId="1D45B1F0">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甲、乙类多层厂房的疏散楼梯应采用封闭楼梯间或室外楼梯。</w:t>
            </w:r>
          </w:p>
        </w:tc>
        <w:tc>
          <w:tcPr>
            <w:tcW w:w="1364" w:type="pct"/>
            <w:vAlign w:val="center"/>
          </w:tcPr>
          <w:p w14:paraId="0AC8BF52">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不涉及。</w:t>
            </w:r>
          </w:p>
        </w:tc>
        <w:tc>
          <w:tcPr>
            <w:tcW w:w="376" w:type="pct"/>
            <w:vAlign w:val="center"/>
          </w:tcPr>
          <w:p w14:paraId="726E1996">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w:t>
            </w:r>
          </w:p>
        </w:tc>
      </w:tr>
      <w:tr w14:paraId="69F58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76E79F5A">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45B0636F">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9*</w:t>
            </w:r>
          </w:p>
        </w:tc>
        <w:tc>
          <w:tcPr>
            <w:tcW w:w="2433" w:type="pct"/>
            <w:vAlign w:val="center"/>
          </w:tcPr>
          <w:p w14:paraId="082DDBAE">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安全疏散门向外开启，外墙门窗未设置广告牌、装饰物、栅栏、防盗窗等影响逃生和灭火救援的障碍物；疏散走道的最小净宽度不宜小于1.40米，门的最小净宽度不宜小于0.90米，疏散楼梯最小净宽度不宜小于1.10米。</w:t>
            </w:r>
          </w:p>
        </w:tc>
        <w:tc>
          <w:tcPr>
            <w:tcW w:w="1364" w:type="pct"/>
            <w:vAlign w:val="center"/>
          </w:tcPr>
          <w:p w14:paraId="63F3DF02">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满足疏散要求。</w:t>
            </w:r>
          </w:p>
        </w:tc>
        <w:tc>
          <w:tcPr>
            <w:tcW w:w="376" w:type="pct"/>
            <w:vAlign w:val="center"/>
          </w:tcPr>
          <w:p w14:paraId="29D17AF6">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44E45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restart"/>
            <w:vAlign w:val="center"/>
          </w:tcPr>
          <w:p w14:paraId="4CDB3A0A">
            <w:pPr>
              <w:widowControl w:val="0"/>
              <w:adjustRightInd w:val="0"/>
              <w:snapToGrid w:val="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二、工艺和设备设施</w:t>
            </w:r>
          </w:p>
        </w:tc>
        <w:tc>
          <w:tcPr>
            <w:tcW w:w="332" w:type="pct"/>
            <w:vAlign w:val="center"/>
          </w:tcPr>
          <w:p w14:paraId="75A683FD">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10*</w:t>
            </w:r>
          </w:p>
        </w:tc>
        <w:tc>
          <w:tcPr>
            <w:tcW w:w="2433" w:type="pct"/>
            <w:vAlign w:val="center"/>
          </w:tcPr>
          <w:p w14:paraId="032886C7">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可能散发可燃气体的场所，应具备良好通风条件，设置可燃气体检测（并带现场声光）报警装置，检测报警装置状况良好，可正常使用。</w:t>
            </w:r>
          </w:p>
        </w:tc>
        <w:tc>
          <w:tcPr>
            <w:tcW w:w="1364" w:type="pct"/>
            <w:vAlign w:val="center"/>
          </w:tcPr>
          <w:p w14:paraId="0D3AA9DF">
            <w:pPr>
              <w:widowControl w:val="0"/>
              <w:adjustRightInd w:val="0"/>
              <w:snapToGrid w:val="0"/>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危险化学品备货库房乙酸所在隔间</w:t>
            </w:r>
            <w:r>
              <w:rPr>
                <w:rFonts w:hint="eastAsia" w:ascii="宋体" w:hAnsi="宋体" w:eastAsia="宋体" w:cs="宋体"/>
                <w:color w:val="000000" w:themeColor="text1"/>
                <w:kern w:val="0"/>
                <w:sz w:val="21"/>
                <w:szCs w:val="21"/>
                <w:highlight w:val="none"/>
              </w:rPr>
              <w:t>设置</w:t>
            </w:r>
            <w:r>
              <w:rPr>
                <w:rFonts w:hint="eastAsia" w:cs="宋体"/>
                <w:color w:val="000000" w:themeColor="text1"/>
                <w:kern w:val="0"/>
                <w:sz w:val="21"/>
                <w:szCs w:val="21"/>
                <w:highlight w:val="none"/>
                <w:lang w:eastAsia="zh-CN"/>
              </w:rPr>
              <w:t>了防爆轴流排风机、</w:t>
            </w:r>
            <w:r>
              <w:rPr>
                <w:rFonts w:hint="eastAsia" w:ascii="宋体" w:hAnsi="宋体" w:eastAsia="宋体" w:cs="宋体"/>
                <w:color w:val="000000" w:themeColor="text1"/>
                <w:kern w:val="0"/>
                <w:sz w:val="21"/>
                <w:szCs w:val="21"/>
                <w:highlight w:val="none"/>
              </w:rPr>
              <w:t>可燃气体</w:t>
            </w:r>
            <w:r>
              <w:rPr>
                <w:rFonts w:hint="eastAsia" w:cs="宋体"/>
                <w:color w:val="000000" w:themeColor="text1"/>
                <w:kern w:val="0"/>
                <w:sz w:val="21"/>
                <w:szCs w:val="21"/>
                <w:highlight w:val="none"/>
                <w:lang w:eastAsia="zh-CN"/>
              </w:rPr>
              <w:t>检测</w:t>
            </w:r>
            <w:r>
              <w:rPr>
                <w:rFonts w:hint="eastAsia" w:ascii="宋体" w:hAnsi="宋体" w:eastAsia="宋体" w:cs="宋体"/>
                <w:color w:val="000000" w:themeColor="text1"/>
                <w:kern w:val="0"/>
                <w:sz w:val="21"/>
                <w:szCs w:val="21"/>
                <w:highlight w:val="none"/>
              </w:rPr>
              <w:t>报警</w:t>
            </w:r>
            <w:r>
              <w:rPr>
                <w:rFonts w:hint="eastAsia" w:cs="宋体"/>
                <w:color w:val="000000" w:themeColor="text1"/>
                <w:kern w:val="0"/>
                <w:sz w:val="21"/>
                <w:szCs w:val="21"/>
                <w:highlight w:val="none"/>
                <w:lang w:eastAsia="zh-CN"/>
              </w:rPr>
              <w:t>器，</w:t>
            </w:r>
            <w:r>
              <w:rPr>
                <w:rFonts w:hint="eastAsia" w:ascii="宋体" w:hAnsi="宋体" w:eastAsia="宋体" w:cs="宋体"/>
                <w:color w:val="000000" w:themeColor="text1"/>
                <w:kern w:val="0"/>
                <w:sz w:val="21"/>
                <w:szCs w:val="21"/>
                <w:highlight w:val="none"/>
              </w:rPr>
              <w:t>可燃气体</w:t>
            </w:r>
            <w:r>
              <w:rPr>
                <w:rFonts w:hint="eastAsia" w:cs="宋体"/>
                <w:color w:val="000000" w:themeColor="text1"/>
                <w:kern w:val="0"/>
                <w:sz w:val="21"/>
                <w:szCs w:val="21"/>
                <w:highlight w:val="none"/>
                <w:lang w:eastAsia="zh-CN"/>
              </w:rPr>
              <w:t>检测</w:t>
            </w:r>
            <w:r>
              <w:rPr>
                <w:rFonts w:hint="eastAsia" w:ascii="宋体" w:hAnsi="宋体" w:eastAsia="宋体" w:cs="宋体"/>
                <w:color w:val="000000" w:themeColor="text1"/>
                <w:kern w:val="0"/>
                <w:sz w:val="21"/>
                <w:szCs w:val="21"/>
                <w:highlight w:val="none"/>
              </w:rPr>
              <w:t>报警</w:t>
            </w:r>
            <w:r>
              <w:rPr>
                <w:rFonts w:hint="eastAsia" w:cs="宋体"/>
                <w:color w:val="000000" w:themeColor="text1"/>
                <w:kern w:val="0"/>
                <w:sz w:val="21"/>
                <w:szCs w:val="21"/>
                <w:highlight w:val="none"/>
                <w:lang w:eastAsia="zh-CN"/>
              </w:rPr>
              <w:t>器</w:t>
            </w:r>
            <w:r>
              <w:rPr>
                <w:rFonts w:hint="eastAsia" w:ascii="宋体" w:hAnsi="宋体" w:eastAsia="宋体" w:cs="宋体"/>
                <w:color w:val="000000" w:themeColor="text1"/>
                <w:kern w:val="0"/>
                <w:sz w:val="21"/>
                <w:szCs w:val="21"/>
                <w:highlight w:val="none"/>
              </w:rPr>
              <w:t>带现场声光报警装置</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状况良好，可正常使用。</w:t>
            </w:r>
          </w:p>
        </w:tc>
        <w:tc>
          <w:tcPr>
            <w:tcW w:w="376" w:type="pct"/>
            <w:vAlign w:val="center"/>
          </w:tcPr>
          <w:p w14:paraId="1485BDC3">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7BF0C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721CD64D">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043B98A2">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11</w:t>
            </w:r>
          </w:p>
        </w:tc>
        <w:tc>
          <w:tcPr>
            <w:tcW w:w="2433" w:type="pct"/>
            <w:vAlign w:val="center"/>
          </w:tcPr>
          <w:p w14:paraId="5AFA8008">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涉及危险化学品的生产储存装置，应具备对影响安全的温度、压力、液位等关键参数的实时监测、监控功能。</w:t>
            </w:r>
          </w:p>
        </w:tc>
        <w:tc>
          <w:tcPr>
            <w:tcW w:w="1364" w:type="pct"/>
            <w:vAlign w:val="center"/>
          </w:tcPr>
          <w:p w14:paraId="4B1F7732">
            <w:pPr>
              <w:widowControl w:val="0"/>
              <w:adjustRightInd w:val="0"/>
              <w:snapToGrid w:val="0"/>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氢氧化钠溶液储罐设置了液位计</w:t>
            </w:r>
            <w:r>
              <w:rPr>
                <w:rFonts w:hint="eastAsia" w:ascii="宋体" w:hAnsi="宋体" w:eastAsia="宋体" w:cs="宋体"/>
                <w:color w:val="000000" w:themeColor="text1"/>
                <w:kern w:val="0"/>
                <w:sz w:val="21"/>
                <w:szCs w:val="21"/>
                <w:highlight w:val="none"/>
              </w:rPr>
              <w:t>。</w:t>
            </w:r>
          </w:p>
        </w:tc>
        <w:tc>
          <w:tcPr>
            <w:tcW w:w="376" w:type="pct"/>
            <w:vAlign w:val="center"/>
          </w:tcPr>
          <w:p w14:paraId="293CB0BA">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04398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126A7BDB">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01F1ACB6">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12*</w:t>
            </w:r>
          </w:p>
        </w:tc>
        <w:tc>
          <w:tcPr>
            <w:tcW w:w="2433" w:type="pct"/>
            <w:vAlign w:val="center"/>
          </w:tcPr>
          <w:p w14:paraId="0DDC793C">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涉及危险化学品的作业储存区域，应安装视频监控系统，可掌握危险化学品作业、储存状况，视频图像存储时间不少于7天。</w:t>
            </w:r>
          </w:p>
        </w:tc>
        <w:tc>
          <w:tcPr>
            <w:tcW w:w="1364" w:type="pct"/>
            <w:vAlign w:val="center"/>
          </w:tcPr>
          <w:p w14:paraId="17B4BA54">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涉及危险化学品的作业储存区域安装了视频监控系统，可掌握危险化学品作业、储存状况，视频图像存储时间</w:t>
            </w:r>
            <w:r>
              <w:rPr>
                <w:rFonts w:hint="eastAsia" w:cs="宋体"/>
                <w:color w:val="000000" w:themeColor="text1"/>
                <w:kern w:val="0"/>
                <w:sz w:val="21"/>
                <w:szCs w:val="21"/>
                <w:highlight w:val="none"/>
                <w:lang w:val="en-US" w:eastAsia="zh-CN"/>
              </w:rPr>
              <w:t>6</w:t>
            </w:r>
            <w:r>
              <w:rPr>
                <w:rFonts w:hint="eastAsia" w:ascii="宋体" w:hAnsi="宋体" w:eastAsia="宋体" w:cs="宋体"/>
                <w:color w:val="000000" w:themeColor="text1"/>
                <w:kern w:val="0"/>
                <w:sz w:val="21"/>
                <w:szCs w:val="21"/>
                <w:highlight w:val="none"/>
              </w:rPr>
              <w:t>0天。</w:t>
            </w:r>
          </w:p>
        </w:tc>
        <w:tc>
          <w:tcPr>
            <w:tcW w:w="376" w:type="pct"/>
            <w:vAlign w:val="center"/>
          </w:tcPr>
          <w:p w14:paraId="05BB0B91">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73F90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10A7DADC">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608F2CEA">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15*</w:t>
            </w:r>
          </w:p>
        </w:tc>
        <w:tc>
          <w:tcPr>
            <w:tcW w:w="2433" w:type="pct"/>
            <w:vAlign w:val="center"/>
          </w:tcPr>
          <w:p w14:paraId="593C13FA">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涉及易燃易爆危险化学品的场所，应设置人体静电导除设施，相关人员应穿用防静电服（如棉质）；不使用铁质等可能产生火花的工具。</w:t>
            </w:r>
          </w:p>
        </w:tc>
        <w:tc>
          <w:tcPr>
            <w:tcW w:w="1364" w:type="pct"/>
            <w:vAlign w:val="center"/>
          </w:tcPr>
          <w:p w14:paraId="49F8101C">
            <w:pPr>
              <w:widowControl w:val="0"/>
              <w:adjustRightInd w:val="0"/>
              <w:snapToGrid w:val="0"/>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危险化学品备货库房</w:t>
            </w:r>
            <w:r>
              <w:rPr>
                <w:rFonts w:hint="eastAsia" w:cs="宋体"/>
                <w:color w:val="000000" w:themeColor="text1"/>
                <w:kern w:val="0"/>
                <w:sz w:val="21"/>
                <w:szCs w:val="21"/>
                <w:highlight w:val="none"/>
                <w:lang w:val="en-US" w:eastAsia="zh-CN"/>
              </w:rPr>
              <w:t>1#</w:t>
            </w:r>
            <w:r>
              <w:rPr>
                <w:rFonts w:hint="eastAsia" w:cs="宋体"/>
                <w:color w:val="000000" w:themeColor="text1"/>
                <w:kern w:val="0"/>
                <w:sz w:val="21"/>
                <w:szCs w:val="21"/>
                <w:highlight w:val="none"/>
                <w:lang w:eastAsia="zh-CN"/>
              </w:rPr>
              <w:t>隔间门口未设置人体静电导除设施；</w:t>
            </w:r>
          </w:p>
        </w:tc>
        <w:tc>
          <w:tcPr>
            <w:tcW w:w="376" w:type="pct"/>
            <w:vAlign w:val="center"/>
          </w:tcPr>
          <w:p w14:paraId="6CAB97CD">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不</w:t>
            </w:r>
            <w:r>
              <w:rPr>
                <w:rFonts w:hint="eastAsia" w:ascii="宋体" w:hAnsi="宋体" w:eastAsia="宋体" w:cs="宋体"/>
                <w:color w:val="000000" w:themeColor="text1"/>
                <w:kern w:val="0"/>
                <w:sz w:val="21"/>
                <w:szCs w:val="21"/>
                <w:highlight w:val="none"/>
              </w:rPr>
              <w:t>符合</w:t>
            </w:r>
          </w:p>
        </w:tc>
      </w:tr>
      <w:tr w14:paraId="274ED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7588DFF1">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74C58225">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16*</w:t>
            </w:r>
          </w:p>
        </w:tc>
        <w:tc>
          <w:tcPr>
            <w:tcW w:w="2433" w:type="pct"/>
            <w:vAlign w:val="center"/>
          </w:tcPr>
          <w:p w14:paraId="704B7BF4">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应根据危险化学品安全技术说明书配备相应类别的消防器材，消防器材配备数量应与危险化学品数量及作业点位相适应，消防器材位置及放置应便于取用；每50平方米作业区域不少于1具5公斤灭火器，且每个作业区域不少于2具。</w:t>
            </w:r>
          </w:p>
        </w:tc>
        <w:tc>
          <w:tcPr>
            <w:tcW w:w="1364" w:type="pct"/>
            <w:vAlign w:val="center"/>
          </w:tcPr>
          <w:p w14:paraId="77EDAB20">
            <w:pPr>
              <w:widowControl w:val="0"/>
              <w:adjustRightInd w:val="0"/>
              <w:snapToGrid w:val="0"/>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配备了干粉灭火器、消防砂</w:t>
            </w:r>
            <w:r>
              <w:rPr>
                <w:rFonts w:hint="eastAsia" w:ascii="宋体" w:hAnsi="宋体" w:eastAsia="宋体" w:cs="宋体"/>
                <w:color w:val="000000" w:themeColor="text1"/>
                <w:kern w:val="0"/>
                <w:sz w:val="21"/>
                <w:szCs w:val="21"/>
                <w:highlight w:val="none"/>
              </w:rPr>
              <w:t>。</w:t>
            </w:r>
            <w:r>
              <w:rPr>
                <w:rFonts w:hint="eastAsia" w:cs="宋体"/>
                <w:color w:val="000000" w:themeColor="text1"/>
                <w:kern w:val="0"/>
                <w:sz w:val="21"/>
                <w:szCs w:val="21"/>
                <w:highlight w:val="none"/>
                <w:lang w:eastAsia="zh-CN"/>
              </w:rPr>
              <w:t>干粉灭火器、消防砂</w:t>
            </w:r>
            <w:r>
              <w:rPr>
                <w:rFonts w:hint="eastAsia" w:ascii="宋体" w:hAnsi="宋体" w:eastAsia="宋体" w:cs="宋体"/>
                <w:color w:val="000000" w:themeColor="text1"/>
                <w:kern w:val="0"/>
                <w:sz w:val="21"/>
                <w:szCs w:val="21"/>
                <w:highlight w:val="none"/>
              </w:rPr>
              <w:t>数量位置</w:t>
            </w:r>
            <w:r>
              <w:rPr>
                <w:rFonts w:hint="eastAsia" w:ascii="宋体" w:hAnsi="宋体" w:eastAsia="宋体" w:cs="宋体"/>
                <w:color w:val="000000" w:themeColor="text1"/>
                <w:kern w:val="0"/>
                <w:sz w:val="21"/>
                <w:szCs w:val="21"/>
                <w:highlight w:val="none"/>
                <w:lang w:eastAsia="zh-CN"/>
              </w:rPr>
              <w:t>满足要求</w:t>
            </w:r>
            <w:r>
              <w:rPr>
                <w:rFonts w:hint="eastAsia" w:ascii="宋体" w:hAnsi="宋体" w:eastAsia="宋体" w:cs="宋体"/>
                <w:color w:val="000000" w:themeColor="text1"/>
                <w:kern w:val="0"/>
                <w:sz w:val="21"/>
                <w:szCs w:val="21"/>
                <w:highlight w:val="none"/>
              </w:rPr>
              <w:t>。</w:t>
            </w:r>
          </w:p>
        </w:tc>
        <w:tc>
          <w:tcPr>
            <w:tcW w:w="376" w:type="pct"/>
            <w:vAlign w:val="center"/>
          </w:tcPr>
          <w:p w14:paraId="108D17C2">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5E7C7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7C57A209">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7707E95F">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17*</w:t>
            </w:r>
          </w:p>
        </w:tc>
        <w:tc>
          <w:tcPr>
            <w:tcW w:w="2433" w:type="pct"/>
            <w:vAlign w:val="center"/>
          </w:tcPr>
          <w:p w14:paraId="14C633E0">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配备的消防器材设施保持完好（消防栓不被遮挡、手轮能转动、配有水带和水枪；灭火器压力表指针处于绿色区域，无明显损伤，未达到报废年限），定期开展完整性、有效性检查。</w:t>
            </w:r>
          </w:p>
        </w:tc>
        <w:tc>
          <w:tcPr>
            <w:tcW w:w="1364" w:type="pct"/>
            <w:vAlign w:val="center"/>
          </w:tcPr>
          <w:p w14:paraId="706DA5C8">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配备的消防器材设施保持完好。</w:t>
            </w:r>
          </w:p>
        </w:tc>
        <w:tc>
          <w:tcPr>
            <w:tcW w:w="376" w:type="pct"/>
            <w:vAlign w:val="center"/>
          </w:tcPr>
          <w:p w14:paraId="23269053">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001E6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40EB0D61">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65E6157C">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18*</w:t>
            </w:r>
          </w:p>
        </w:tc>
        <w:tc>
          <w:tcPr>
            <w:tcW w:w="2433" w:type="pct"/>
            <w:vAlign w:val="center"/>
          </w:tcPr>
          <w:p w14:paraId="28F40DA8">
            <w:pPr>
              <w:widowControl w:val="0"/>
              <w:adjustRightInd w:val="0"/>
              <w:snapToGrid w:val="0"/>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涉及危险化学品生产、使用、储存的压力容器、压力管道、气瓶等特种设备及安全阀、压力表、液位计等相关安全附件应符合国家有关规定。</w:t>
            </w:r>
          </w:p>
        </w:tc>
        <w:tc>
          <w:tcPr>
            <w:tcW w:w="1364" w:type="pct"/>
            <w:vAlign w:val="center"/>
          </w:tcPr>
          <w:p w14:paraId="1601BB9C">
            <w:pPr>
              <w:widowControl w:val="0"/>
              <w:adjustRightInd w:val="0"/>
              <w:snapToGrid w:val="0"/>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不涉及。</w:t>
            </w:r>
          </w:p>
        </w:tc>
        <w:tc>
          <w:tcPr>
            <w:tcW w:w="376" w:type="pct"/>
            <w:vAlign w:val="center"/>
          </w:tcPr>
          <w:p w14:paraId="5E486C77">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w:t>
            </w:r>
          </w:p>
        </w:tc>
      </w:tr>
      <w:tr w14:paraId="63DDF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restart"/>
            <w:vAlign w:val="center"/>
          </w:tcPr>
          <w:p w14:paraId="32EA700A">
            <w:pPr>
              <w:widowControl w:val="0"/>
              <w:adjustRightInd w:val="0"/>
              <w:snapToGrid w:val="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三、仓库罐区</w:t>
            </w:r>
          </w:p>
        </w:tc>
        <w:tc>
          <w:tcPr>
            <w:tcW w:w="332" w:type="pct"/>
            <w:vAlign w:val="center"/>
          </w:tcPr>
          <w:p w14:paraId="28AB9A1B">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20*</w:t>
            </w:r>
          </w:p>
        </w:tc>
        <w:tc>
          <w:tcPr>
            <w:tcW w:w="2433" w:type="pct"/>
            <w:vAlign w:val="center"/>
          </w:tcPr>
          <w:p w14:paraId="45753AAB">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危险化学品应根据其危险特性，采用隔离、隔开、分离等方式分区、分类、分库储存在专用仓库、专用场地或专用储存室内，并设置明显的危险化学品品名标识；相禁忌物料不得混合储存。</w:t>
            </w:r>
          </w:p>
        </w:tc>
        <w:tc>
          <w:tcPr>
            <w:tcW w:w="1364" w:type="pct"/>
            <w:vAlign w:val="center"/>
          </w:tcPr>
          <w:p w14:paraId="72EA9DD5">
            <w:pPr>
              <w:widowControl w:val="0"/>
              <w:adjustRightInd w:val="0"/>
              <w:snapToGrid w:val="0"/>
              <w:rPr>
                <w:rFonts w:hint="eastAsia" w:ascii="宋体" w:hAnsi="宋体" w:eastAsia="宋体" w:cs="宋体"/>
                <w:color w:val="000000" w:themeColor="text1"/>
                <w:kern w:val="0"/>
                <w:sz w:val="21"/>
                <w:szCs w:val="21"/>
                <w:highlight w:val="none"/>
              </w:rPr>
            </w:pPr>
            <w:r>
              <w:rPr>
                <w:rFonts w:hint="eastAsia"/>
                <w:color w:val="000000" w:themeColor="text1"/>
                <w:sz w:val="21"/>
                <w:szCs w:val="21"/>
                <w:highlight w:val="none"/>
                <w:lang w:eastAsia="zh-CN"/>
              </w:rPr>
              <w:t>次氯酸钠溶液与其他非危化品混存。</w:t>
            </w:r>
          </w:p>
        </w:tc>
        <w:tc>
          <w:tcPr>
            <w:tcW w:w="376" w:type="pct"/>
            <w:vAlign w:val="center"/>
          </w:tcPr>
          <w:p w14:paraId="46D33591">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不</w:t>
            </w:r>
            <w:r>
              <w:rPr>
                <w:rFonts w:hint="eastAsia" w:ascii="宋体" w:hAnsi="宋体" w:eastAsia="宋体" w:cs="宋体"/>
                <w:color w:val="000000" w:themeColor="text1"/>
                <w:kern w:val="0"/>
                <w:sz w:val="21"/>
                <w:szCs w:val="21"/>
                <w:highlight w:val="none"/>
              </w:rPr>
              <w:t>符合</w:t>
            </w:r>
          </w:p>
        </w:tc>
      </w:tr>
      <w:tr w14:paraId="6E0B7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20F460B9">
            <w:pPr>
              <w:widowControl w:val="0"/>
              <w:adjustRightInd w:val="0"/>
              <w:snapToGrid w:val="0"/>
              <w:rPr>
                <w:rFonts w:hint="eastAsia" w:ascii="宋体" w:hAnsi="宋体" w:eastAsia="宋体" w:cs="宋体"/>
                <w:bCs/>
                <w:color w:val="000000" w:themeColor="text1"/>
                <w:kern w:val="0"/>
                <w:sz w:val="21"/>
                <w:szCs w:val="21"/>
                <w:highlight w:val="none"/>
              </w:rPr>
            </w:pPr>
          </w:p>
        </w:tc>
        <w:tc>
          <w:tcPr>
            <w:tcW w:w="332" w:type="pct"/>
            <w:vAlign w:val="center"/>
          </w:tcPr>
          <w:p w14:paraId="59F7DFBF">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21*</w:t>
            </w:r>
          </w:p>
        </w:tc>
        <w:tc>
          <w:tcPr>
            <w:tcW w:w="2433" w:type="pct"/>
            <w:vAlign w:val="center"/>
          </w:tcPr>
          <w:p w14:paraId="38DB0109">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甲、乙类液体罐区设置在室外，甲、乙类液体地上式、半地下式储罐（组）四周应设置符合国家标准要求的不燃性防火堤，甲类液体半露天堆场、乙类液体桶装堆场应设置防火堤或采取防流散设施。</w:t>
            </w:r>
          </w:p>
        </w:tc>
        <w:tc>
          <w:tcPr>
            <w:tcW w:w="1364" w:type="pct"/>
            <w:vAlign w:val="center"/>
          </w:tcPr>
          <w:p w14:paraId="2B8A8B88">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不涉及。</w:t>
            </w:r>
          </w:p>
        </w:tc>
        <w:tc>
          <w:tcPr>
            <w:tcW w:w="376" w:type="pct"/>
            <w:vAlign w:val="center"/>
          </w:tcPr>
          <w:p w14:paraId="18F3298B">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w:t>
            </w:r>
          </w:p>
        </w:tc>
      </w:tr>
      <w:tr w14:paraId="60C34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2864052F">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565DAE49">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22*</w:t>
            </w:r>
          </w:p>
        </w:tc>
        <w:tc>
          <w:tcPr>
            <w:tcW w:w="2433" w:type="pct"/>
            <w:vAlign w:val="center"/>
          </w:tcPr>
          <w:p w14:paraId="68F39414">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甲、乙类液体罐区设置的遮阳（雨）等附属设施，不得采用易燃材料，且不得影响应急处置。</w:t>
            </w:r>
          </w:p>
        </w:tc>
        <w:tc>
          <w:tcPr>
            <w:tcW w:w="1364" w:type="pct"/>
            <w:vAlign w:val="center"/>
          </w:tcPr>
          <w:p w14:paraId="36C9FF3A">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不涉及。</w:t>
            </w:r>
          </w:p>
        </w:tc>
        <w:tc>
          <w:tcPr>
            <w:tcW w:w="376" w:type="pct"/>
            <w:vAlign w:val="center"/>
          </w:tcPr>
          <w:p w14:paraId="296E07DB">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w:t>
            </w:r>
          </w:p>
        </w:tc>
      </w:tr>
      <w:tr w14:paraId="0476B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4F7D4BFD">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51FAE38B">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23*</w:t>
            </w:r>
          </w:p>
        </w:tc>
        <w:tc>
          <w:tcPr>
            <w:tcW w:w="2433" w:type="pct"/>
            <w:vAlign w:val="center"/>
          </w:tcPr>
          <w:p w14:paraId="091AA30B">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露天布置的可燃气体、液化烃、可燃液体等的储罐，应按相关规定设防雷接地。</w:t>
            </w:r>
          </w:p>
        </w:tc>
        <w:tc>
          <w:tcPr>
            <w:tcW w:w="1364" w:type="pct"/>
            <w:vAlign w:val="center"/>
          </w:tcPr>
          <w:p w14:paraId="5725AB69">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不涉及。</w:t>
            </w:r>
          </w:p>
        </w:tc>
        <w:tc>
          <w:tcPr>
            <w:tcW w:w="376" w:type="pct"/>
            <w:vAlign w:val="center"/>
          </w:tcPr>
          <w:p w14:paraId="145B19D3">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w:t>
            </w:r>
          </w:p>
        </w:tc>
      </w:tr>
      <w:tr w14:paraId="4B68E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70A0F33E">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0A5F7757">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24</w:t>
            </w:r>
          </w:p>
        </w:tc>
        <w:tc>
          <w:tcPr>
            <w:tcW w:w="2433" w:type="pct"/>
            <w:vAlign w:val="center"/>
          </w:tcPr>
          <w:p w14:paraId="14DCBE6F">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临时存放的危险化学品，划定专门存放场地并规范存放，存放量一般不超过当天（班）需要量。</w:t>
            </w:r>
          </w:p>
        </w:tc>
        <w:tc>
          <w:tcPr>
            <w:tcW w:w="1364" w:type="pct"/>
            <w:vAlign w:val="center"/>
          </w:tcPr>
          <w:p w14:paraId="7012EDC5">
            <w:pPr>
              <w:widowControl w:val="0"/>
              <w:adjustRightInd w:val="0"/>
              <w:snapToGrid w:val="0"/>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漂染车间内</w:t>
            </w:r>
            <w:r>
              <w:rPr>
                <w:rFonts w:hint="eastAsia" w:ascii="宋体" w:hAnsi="宋体" w:eastAsia="宋体" w:cs="宋体"/>
                <w:color w:val="000000" w:themeColor="text1"/>
                <w:kern w:val="0"/>
                <w:sz w:val="21"/>
                <w:szCs w:val="21"/>
                <w:highlight w:val="none"/>
              </w:rPr>
              <w:t>临时存放的</w:t>
            </w:r>
            <w:r>
              <w:rPr>
                <w:rFonts w:hint="eastAsia" w:cs="宋体"/>
                <w:color w:val="000000" w:themeColor="text1"/>
                <w:kern w:val="0"/>
                <w:sz w:val="21"/>
                <w:szCs w:val="21"/>
                <w:highlight w:val="none"/>
                <w:lang w:eastAsia="zh-CN"/>
              </w:rPr>
              <w:t>氢氧化钠溶液，</w:t>
            </w:r>
            <w:r>
              <w:rPr>
                <w:rFonts w:hint="eastAsia" w:ascii="宋体" w:hAnsi="宋体" w:eastAsia="宋体" w:cs="宋体"/>
                <w:color w:val="000000" w:themeColor="text1"/>
                <w:kern w:val="0"/>
                <w:sz w:val="21"/>
                <w:szCs w:val="21"/>
                <w:highlight w:val="none"/>
              </w:rPr>
              <w:t>划定专门存放场地并规范存放，存放量不过当天（班）需要量。</w:t>
            </w:r>
          </w:p>
        </w:tc>
        <w:tc>
          <w:tcPr>
            <w:tcW w:w="376" w:type="pct"/>
            <w:vAlign w:val="center"/>
          </w:tcPr>
          <w:p w14:paraId="56A2C831">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cs="宋体"/>
                <w:color w:val="000000" w:themeColor="text1"/>
                <w:kern w:val="0"/>
                <w:sz w:val="21"/>
                <w:szCs w:val="21"/>
                <w:highlight w:val="none"/>
                <w:lang w:eastAsia="zh-CN"/>
              </w:rPr>
              <w:t>符合</w:t>
            </w:r>
          </w:p>
        </w:tc>
      </w:tr>
      <w:tr w14:paraId="05B34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40AB8AE1">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3DEB7EB7">
            <w:pPr>
              <w:widowControl w:val="0"/>
              <w:adjustRightInd w:val="0"/>
              <w:snapToGrid w:val="0"/>
              <w:spacing w:line="240" w:lineRule="auto"/>
              <w:jc w:val="center"/>
              <w:rPr>
                <w:rFonts w:hint="eastAsia" w:ascii="宋体" w:hAnsi="宋体" w:eastAsia="宋体" w:cs="宋体"/>
                <w:color w:val="000000" w:themeColor="text1"/>
                <w:kern w:val="0"/>
                <w:sz w:val="21"/>
                <w:szCs w:val="21"/>
                <w:highlight w:val="none"/>
              </w:rPr>
            </w:pPr>
            <w:r>
              <w:rPr>
                <w:rFonts w:hint="eastAsia" w:cs="微软雅黑"/>
                <w:color w:val="000000" w:themeColor="text1"/>
                <w:sz w:val="21"/>
                <w:szCs w:val="21"/>
                <w:highlight w:val="none"/>
              </w:rPr>
              <w:t>25*</w:t>
            </w:r>
          </w:p>
        </w:tc>
        <w:tc>
          <w:tcPr>
            <w:tcW w:w="2433" w:type="pct"/>
            <w:vAlign w:val="center"/>
          </w:tcPr>
          <w:p w14:paraId="7AE700F6">
            <w:pPr>
              <w:widowControl w:val="0"/>
              <w:adjustRightInd w:val="0"/>
              <w:snapToGrid w:val="0"/>
              <w:spacing w:line="240" w:lineRule="auto"/>
              <w:rPr>
                <w:rFonts w:hint="eastAsia" w:ascii="宋体" w:hAnsi="宋体" w:eastAsia="宋体" w:cs="宋体"/>
                <w:color w:val="000000" w:themeColor="text1"/>
                <w:kern w:val="0"/>
                <w:sz w:val="21"/>
                <w:szCs w:val="21"/>
                <w:highlight w:val="none"/>
              </w:rPr>
            </w:pPr>
            <w:r>
              <w:rPr>
                <w:rFonts w:hint="eastAsia" w:cs="微软雅黑"/>
                <w:color w:val="000000" w:themeColor="text1"/>
                <w:sz w:val="21"/>
                <w:szCs w:val="21"/>
                <w:highlight w:val="none"/>
              </w:rPr>
              <w:t>储存可能散发可燃气体的危险化学品仓库应安装通风设备，并与可燃气体泄漏报警装置相联动；通风设备安装位置应利于泄漏气体排出</w:t>
            </w:r>
            <w:r>
              <w:rPr>
                <w:rFonts w:hint="eastAsia" w:cs="微软雅黑"/>
                <w:color w:val="000000" w:themeColor="text1"/>
                <w:sz w:val="21"/>
                <w:szCs w:val="21"/>
                <w:highlight w:val="none"/>
                <w:lang w:eastAsia="zh-CN"/>
              </w:rPr>
              <w:t>。</w:t>
            </w:r>
          </w:p>
        </w:tc>
        <w:tc>
          <w:tcPr>
            <w:tcW w:w="1364" w:type="pct"/>
            <w:vAlign w:val="center"/>
          </w:tcPr>
          <w:p w14:paraId="03780659">
            <w:pPr>
              <w:widowControl w:val="0"/>
              <w:adjustRightInd w:val="0"/>
              <w:snapToGrid w:val="0"/>
              <w:rPr>
                <w:rFonts w:hint="eastAsia" w:cs="宋体"/>
                <w:color w:val="000000" w:themeColor="text1"/>
                <w:kern w:val="0"/>
                <w:sz w:val="21"/>
                <w:szCs w:val="21"/>
                <w:highlight w:val="none"/>
                <w:lang w:eastAsia="zh-CN"/>
              </w:rPr>
            </w:pPr>
            <w:r>
              <w:rPr>
                <w:rFonts w:hint="eastAsia" w:cs="宋体"/>
                <w:color w:val="000000" w:themeColor="text1"/>
                <w:kern w:val="0"/>
                <w:sz w:val="21"/>
                <w:szCs w:val="21"/>
                <w:highlight w:val="none"/>
                <w:lang w:eastAsia="zh-CN"/>
              </w:rPr>
              <w:t>危险化学品库房可燃气体检测报警器未与轴流排风机相联动。</w:t>
            </w:r>
          </w:p>
        </w:tc>
        <w:tc>
          <w:tcPr>
            <w:tcW w:w="376" w:type="pct"/>
            <w:vAlign w:val="center"/>
          </w:tcPr>
          <w:p w14:paraId="11896A2C">
            <w:pPr>
              <w:widowControl w:val="0"/>
              <w:adjustRightInd w:val="0"/>
              <w:snapToGrid w:val="0"/>
              <w:jc w:val="center"/>
              <w:rPr>
                <w:rFonts w:hint="eastAsia" w:cs="宋体"/>
                <w:color w:val="000000" w:themeColor="text1"/>
                <w:kern w:val="0"/>
                <w:sz w:val="21"/>
                <w:szCs w:val="21"/>
                <w:highlight w:val="none"/>
                <w:lang w:eastAsia="zh-CN"/>
              </w:rPr>
            </w:pPr>
            <w:r>
              <w:rPr>
                <w:rFonts w:hint="eastAsia" w:cs="宋体"/>
                <w:color w:val="000000" w:themeColor="text1"/>
                <w:kern w:val="0"/>
                <w:sz w:val="21"/>
                <w:szCs w:val="21"/>
                <w:highlight w:val="none"/>
                <w:lang w:eastAsia="zh-CN"/>
              </w:rPr>
              <w:t>不符合</w:t>
            </w:r>
          </w:p>
        </w:tc>
      </w:tr>
      <w:tr w14:paraId="1B5A0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3BFA3D06">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69B9F4B3">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26*</w:t>
            </w:r>
          </w:p>
        </w:tc>
        <w:tc>
          <w:tcPr>
            <w:tcW w:w="2433" w:type="pct"/>
            <w:vAlign w:val="center"/>
          </w:tcPr>
          <w:p w14:paraId="56CE89F1">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甲、乙类液体仓库，设置</w:t>
            </w:r>
            <w:r>
              <w:rPr>
                <w:rFonts w:hint="eastAsia" w:ascii="宋体" w:hAnsi="宋体" w:eastAsia="宋体" w:cs="宋体"/>
                <w:color w:val="000000" w:themeColor="text1"/>
                <w:kern w:val="0"/>
                <w:sz w:val="21"/>
                <w:szCs w:val="21"/>
                <w:highlight w:val="none"/>
                <w:lang w:eastAsia="zh-CN"/>
              </w:rPr>
              <w:t>慢坡</w:t>
            </w:r>
            <w:r>
              <w:rPr>
                <w:rFonts w:hint="eastAsia" w:ascii="宋体" w:hAnsi="宋体" w:eastAsia="宋体" w:cs="宋体"/>
                <w:color w:val="000000" w:themeColor="text1"/>
                <w:kern w:val="0"/>
                <w:sz w:val="21"/>
                <w:szCs w:val="21"/>
                <w:highlight w:val="none"/>
              </w:rPr>
              <w:t>、</w:t>
            </w:r>
            <w:r>
              <w:rPr>
                <w:rFonts w:hint="eastAsia" w:ascii="宋体" w:hAnsi="宋体" w:eastAsia="宋体" w:cs="宋体"/>
                <w:color w:val="000000" w:themeColor="text1"/>
                <w:kern w:val="0"/>
                <w:sz w:val="21"/>
                <w:szCs w:val="21"/>
                <w:highlight w:val="none"/>
                <w:lang w:eastAsia="zh-CN"/>
              </w:rPr>
              <w:t>门槛</w:t>
            </w:r>
            <w:r>
              <w:rPr>
                <w:rFonts w:hint="eastAsia" w:ascii="宋体" w:hAnsi="宋体" w:eastAsia="宋体" w:cs="宋体"/>
                <w:color w:val="000000" w:themeColor="text1"/>
                <w:kern w:val="0"/>
                <w:sz w:val="21"/>
                <w:szCs w:val="21"/>
                <w:highlight w:val="none"/>
              </w:rPr>
              <w:t>、围堰等防止液体流散的设施。</w:t>
            </w:r>
          </w:p>
        </w:tc>
        <w:tc>
          <w:tcPr>
            <w:tcW w:w="1364" w:type="pct"/>
            <w:vAlign w:val="center"/>
          </w:tcPr>
          <w:p w14:paraId="21D8D4CD">
            <w:pPr>
              <w:widowControl w:val="0"/>
              <w:adjustRightInd w:val="0"/>
              <w:snapToGrid w:val="0"/>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危险化学品备货库房乙酸所在</w:t>
            </w:r>
            <w:r>
              <w:rPr>
                <w:rFonts w:hint="eastAsia" w:cs="宋体"/>
                <w:color w:val="000000" w:themeColor="text1"/>
                <w:kern w:val="0"/>
                <w:sz w:val="21"/>
                <w:szCs w:val="21"/>
                <w:highlight w:val="none"/>
                <w:lang w:val="en-US" w:eastAsia="zh-CN"/>
              </w:rPr>
              <w:t>1#</w:t>
            </w:r>
            <w:r>
              <w:rPr>
                <w:rFonts w:hint="eastAsia" w:cs="宋体"/>
                <w:color w:val="000000" w:themeColor="text1"/>
                <w:kern w:val="0"/>
                <w:sz w:val="21"/>
                <w:szCs w:val="21"/>
                <w:highlight w:val="none"/>
                <w:lang w:eastAsia="zh-CN"/>
              </w:rPr>
              <w:t>隔间、</w:t>
            </w:r>
            <w:r>
              <w:rPr>
                <w:rFonts w:hint="eastAsia"/>
                <w:color w:val="000000" w:themeColor="text1"/>
                <w:sz w:val="21"/>
                <w:szCs w:val="21"/>
                <w:highlight w:val="none"/>
              </w:rPr>
              <w:t>废水处理站</w:t>
            </w:r>
            <w:r>
              <w:rPr>
                <w:rFonts w:hint="eastAsia" w:cs="宋体"/>
                <w:color w:val="000000" w:themeColor="text1"/>
                <w:kern w:val="0"/>
                <w:sz w:val="21"/>
                <w:szCs w:val="21"/>
                <w:highlight w:val="none"/>
                <w:lang w:eastAsia="zh-CN"/>
              </w:rPr>
              <w:t>药剂房次氯酸钠溶液储存区域、氢氧化钠溶液储罐均设置了防流散围堰。</w:t>
            </w:r>
          </w:p>
        </w:tc>
        <w:tc>
          <w:tcPr>
            <w:tcW w:w="376" w:type="pct"/>
            <w:vAlign w:val="center"/>
          </w:tcPr>
          <w:p w14:paraId="201DBA46">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4B7E4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0E725416">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36DA5135">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27*</w:t>
            </w:r>
          </w:p>
        </w:tc>
        <w:tc>
          <w:tcPr>
            <w:tcW w:w="2433" w:type="pct"/>
            <w:vAlign w:val="center"/>
          </w:tcPr>
          <w:p w14:paraId="7472740C">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铝粉、镁粉、连二亚硫酸钠（保险粉）等遇湿会发生燃烧爆炸的物品仓库，应采取防止水浸渍的措施。</w:t>
            </w:r>
          </w:p>
        </w:tc>
        <w:tc>
          <w:tcPr>
            <w:tcW w:w="1364" w:type="pct"/>
            <w:vAlign w:val="center"/>
          </w:tcPr>
          <w:p w14:paraId="789701FC">
            <w:pPr>
              <w:widowControl w:val="0"/>
              <w:adjustRightInd w:val="0"/>
              <w:snapToGrid w:val="0"/>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val="en-US" w:eastAsia="zh-CN"/>
              </w:rPr>
              <w:t>2#隔间</w:t>
            </w:r>
            <w:r>
              <w:rPr>
                <w:rFonts w:hint="eastAsia" w:cs="宋体"/>
                <w:color w:val="000000" w:themeColor="text1"/>
                <w:kern w:val="0"/>
                <w:sz w:val="21"/>
                <w:szCs w:val="21"/>
                <w:highlight w:val="none"/>
                <w:lang w:eastAsia="zh-CN"/>
              </w:rPr>
              <w:t>储存</w:t>
            </w:r>
            <w:r>
              <w:rPr>
                <w:rFonts w:hint="eastAsia" w:ascii="宋体" w:hAnsi="宋体" w:eastAsia="宋体" w:cs="宋体"/>
                <w:color w:val="000000" w:themeColor="text1"/>
                <w:kern w:val="0"/>
                <w:sz w:val="21"/>
                <w:szCs w:val="21"/>
                <w:highlight w:val="none"/>
              </w:rPr>
              <w:t>保险粉</w:t>
            </w:r>
            <w:r>
              <w:rPr>
                <w:rFonts w:hint="eastAsia" w:cs="宋体"/>
                <w:color w:val="000000" w:themeColor="text1"/>
                <w:kern w:val="0"/>
                <w:sz w:val="21"/>
                <w:szCs w:val="21"/>
                <w:highlight w:val="none"/>
                <w:lang w:eastAsia="zh-CN"/>
              </w:rPr>
              <w:t>区域的</w:t>
            </w:r>
            <w:r>
              <w:rPr>
                <w:rFonts w:hint="eastAsia" w:cs="宋体"/>
                <w:color w:val="000000" w:themeColor="text1"/>
                <w:kern w:val="0"/>
                <w:sz w:val="21"/>
                <w:szCs w:val="21"/>
                <w:highlight w:val="none"/>
                <w:lang w:val="en-US" w:eastAsia="zh-CN"/>
              </w:rPr>
              <w:t>地面要比室外地坪高出约40cm</w:t>
            </w:r>
            <w:r>
              <w:rPr>
                <w:rFonts w:hint="eastAsia" w:ascii="宋体" w:hAnsi="宋体" w:eastAsia="宋体" w:cs="宋体"/>
                <w:color w:val="000000" w:themeColor="text1"/>
                <w:kern w:val="0"/>
                <w:sz w:val="21"/>
                <w:szCs w:val="21"/>
                <w:highlight w:val="none"/>
              </w:rPr>
              <w:t>。</w:t>
            </w:r>
          </w:p>
        </w:tc>
        <w:tc>
          <w:tcPr>
            <w:tcW w:w="376" w:type="pct"/>
            <w:vAlign w:val="center"/>
          </w:tcPr>
          <w:p w14:paraId="6147C65E">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符合</w:t>
            </w:r>
          </w:p>
        </w:tc>
      </w:tr>
      <w:tr w14:paraId="02396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6C141C14">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4ED5432E">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28</w:t>
            </w:r>
          </w:p>
        </w:tc>
        <w:tc>
          <w:tcPr>
            <w:tcW w:w="2433" w:type="pct"/>
            <w:vAlign w:val="center"/>
          </w:tcPr>
          <w:p w14:paraId="2B18696D">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易燃易爆危险化学品（气瓶装除外）不应直接落地存放，一般应垫 15 厘米以上；遇湿易燃、易吸潮溶化和吸潮分解的，应适当增加下垫高度。</w:t>
            </w:r>
          </w:p>
        </w:tc>
        <w:tc>
          <w:tcPr>
            <w:tcW w:w="1364" w:type="pct"/>
            <w:vAlign w:val="center"/>
          </w:tcPr>
          <w:p w14:paraId="536EC177">
            <w:pPr>
              <w:widowControl w:val="0"/>
              <w:adjustRightInd w:val="0"/>
              <w:snapToGrid w:val="0"/>
              <w:rPr>
                <w:rFonts w:hint="eastAsia" w:ascii="宋体" w:hAnsi="宋体" w:eastAsia="宋体" w:cs="宋体"/>
                <w:color w:val="000000" w:themeColor="text1"/>
                <w:kern w:val="0"/>
                <w:sz w:val="21"/>
                <w:szCs w:val="21"/>
                <w:highlight w:val="none"/>
                <w:lang w:eastAsia="zh-CN"/>
              </w:rPr>
            </w:pPr>
            <w:r>
              <w:rPr>
                <w:rFonts w:hint="eastAsia" w:cs="宋体"/>
                <w:color w:val="000000" w:themeColor="text1"/>
                <w:sz w:val="21"/>
                <w:szCs w:val="21"/>
                <w:highlight w:val="none"/>
                <w:lang w:val="en-US" w:eastAsia="zh-CN"/>
              </w:rPr>
              <w:t>保险粉放置在木质托盘上</w:t>
            </w:r>
            <w:r>
              <w:rPr>
                <w:rFonts w:hint="eastAsia" w:ascii="宋体" w:hAnsi="宋体" w:eastAsia="宋体" w:cs="宋体"/>
                <w:color w:val="000000" w:themeColor="text1"/>
                <w:kern w:val="0"/>
                <w:sz w:val="21"/>
                <w:szCs w:val="21"/>
                <w:highlight w:val="none"/>
              </w:rPr>
              <w:t>。</w:t>
            </w:r>
            <w:r>
              <w:rPr>
                <w:rFonts w:hint="eastAsia" w:cs="宋体"/>
                <w:color w:val="000000" w:themeColor="text1"/>
                <w:kern w:val="0"/>
                <w:sz w:val="21"/>
                <w:szCs w:val="21"/>
                <w:highlight w:val="none"/>
                <w:lang w:eastAsia="zh-CN"/>
              </w:rPr>
              <w:t>乙酸直接落地存放。</w:t>
            </w:r>
          </w:p>
        </w:tc>
        <w:tc>
          <w:tcPr>
            <w:tcW w:w="376" w:type="pct"/>
            <w:vAlign w:val="center"/>
          </w:tcPr>
          <w:p w14:paraId="767D0B00">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不</w:t>
            </w:r>
            <w:r>
              <w:rPr>
                <w:rFonts w:hint="eastAsia" w:ascii="宋体" w:hAnsi="宋体" w:eastAsia="宋体" w:cs="宋体"/>
                <w:color w:val="000000" w:themeColor="text1"/>
                <w:kern w:val="0"/>
                <w:sz w:val="21"/>
                <w:szCs w:val="21"/>
                <w:highlight w:val="none"/>
              </w:rPr>
              <w:t>符合</w:t>
            </w:r>
          </w:p>
        </w:tc>
      </w:tr>
      <w:tr w14:paraId="11E02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257FB1F1">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0F4A03A4">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29</w:t>
            </w:r>
          </w:p>
        </w:tc>
        <w:tc>
          <w:tcPr>
            <w:tcW w:w="2433" w:type="pct"/>
            <w:vAlign w:val="center"/>
          </w:tcPr>
          <w:p w14:paraId="7D0A6AA7">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在散发比空气重的可燃、有毒性气体的场所，不宜采用管沟敷设；如需敷设，应采取填沙等防止可燃气体积聚的措施。</w:t>
            </w:r>
          </w:p>
        </w:tc>
        <w:tc>
          <w:tcPr>
            <w:tcW w:w="1364" w:type="pct"/>
            <w:vAlign w:val="center"/>
          </w:tcPr>
          <w:p w14:paraId="51014982">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不涉及。</w:t>
            </w:r>
          </w:p>
        </w:tc>
        <w:tc>
          <w:tcPr>
            <w:tcW w:w="376" w:type="pct"/>
            <w:vAlign w:val="center"/>
          </w:tcPr>
          <w:p w14:paraId="7C629A21">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w:t>
            </w:r>
          </w:p>
        </w:tc>
      </w:tr>
      <w:tr w14:paraId="18508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3E3F76BB">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2D568C00">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30*</w:t>
            </w:r>
          </w:p>
        </w:tc>
        <w:tc>
          <w:tcPr>
            <w:tcW w:w="2433" w:type="pct"/>
            <w:vAlign w:val="center"/>
          </w:tcPr>
          <w:p w14:paraId="43B2E526">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涉及甲、乙类液体的厂房、仓库，其污（雨）水管、沟不与相邻厂房、仓库的污（雨）水管、沟直接相通，下水道设置隔油设施。</w:t>
            </w:r>
          </w:p>
        </w:tc>
        <w:tc>
          <w:tcPr>
            <w:tcW w:w="1364" w:type="pct"/>
            <w:vAlign w:val="center"/>
          </w:tcPr>
          <w:p w14:paraId="40D1037F">
            <w:pPr>
              <w:widowControl w:val="0"/>
              <w:adjustRightInd w:val="0"/>
              <w:snapToGrid w:val="0"/>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危险化学品备货库房乙酸所在隔间设置了防流散围堰</w:t>
            </w:r>
            <w:r>
              <w:rPr>
                <w:rFonts w:hint="eastAsia" w:ascii="宋体" w:hAnsi="宋体" w:eastAsia="宋体" w:cs="宋体"/>
                <w:color w:val="000000" w:themeColor="text1"/>
                <w:kern w:val="0"/>
                <w:sz w:val="21"/>
                <w:szCs w:val="21"/>
                <w:highlight w:val="none"/>
                <w:lang w:eastAsia="zh-CN"/>
              </w:rPr>
              <w:t>，</w:t>
            </w:r>
            <w:r>
              <w:rPr>
                <w:rFonts w:hint="eastAsia" w:cs="宋体"/>
                <w:color w:val="000000" w:themeColor="text1"/>
                <w:kern w:val="0"/>
                <w:sz w:val="21"/>
                <w:szCs w:val="21"/>
                <w:highlight w:val="none"/>
                <w:lang w:eastAsia="zh-CN"/>
              </w:rPr>
              <w:t>乙酸</w:t>
            </w:r>
            <w:r>
              <w:rPr>
                <w:rFonts w:hint="eastAsia" w:ascii="宋体" w:hAnsi="宋体" w:eastAsia="宋体" w:cs="宋体"/>
                <w:color w:val="000000" w:themeColor="text1"/>
                <w:kern w:val="0"/>
                <w:sz w:val="21"/>
                <w:szCs w:val="21"/>
                <w:highlight w:val="none"/>
                <w:lang w:eastAsia="zh-CN"/>
              </w:rPr>
              <w:t>不会进入污（雨）</w:t>
            </w:r>
            <w:r>
              <w:rPr>
                <w:rFonts w:hint="eastAsia" w:ascii="宋体" w:hAnsi="宋体" w:eastAsia="宋体" w:cs="宋体"/>
                <w:color w:val="000000" w:themeColor="text1"/>
                <w:kern w:val="0"/>
                <w:sz w:val="21"/>
                <w:szCs w:val="21"/>
                <w:highlight w:val="none"/>
              </w:rPr>
              <w:t>水管、沟。</w:t>
            </w:r>
          </w:p>
        </w:tc>
        <w:tc>
          <w:tcPr>
            <w:tcW w:w="376" w:type="pct"/>
            <w:vAlign w:val="center"/>
          </w:tcPr>
          <w:p w14:paraId="502E0441">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cs="宋体"/>
                <w:color w:val="000000" w:themeColor="text1"/>
                <w:kern w:val="0"/>
                <w:sz w:val="21"/>
                <w:szCs w:val="21"/>
                <w:highlight w:val="none"/>
                <w:lang w:eastAsia="zh-CN"/>
              </w:rPr>
              <w:t>符合</w:t>
            </w:r>
          </w:p>
        </w:tc>
      </w:tr>
      <w:tr w14:paraId="45A9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2" w:type="pct"/>
            <w:vMerge w:val="continue"/>
            <w:vAlign w:val="center"/>
          </w:tcPr>
          <w:p w14:paraId="13C871A6">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33DD91E8">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31*</w:t>
            </w:r>
          </w:p>
        </w:tc>
        <w:tc>
          <w:tcPr>
            <w:tcW w:w="2433" w:type="pct"/>
            <w:vAlign w:val="center"/>
          </w:tcPr>
          <w:p w14:paraId="00DDCF38">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危险化学品槽罐车装卸区相对独立设置，设有防槽罐车冲撞、移动装置，配置应急处置器材；涉及易燃易爆危险化学品的，具有静电防护条件。</w:t>
            </w:r>
          </w:p>
        </w:tc>
        <w:tc>
          <w:tcPr>
            <w:tcW w:w="1364" w:type="pct"/>
            <w:vAlign w:val="center"/>
          </w:tcPr>
          <w:p w14:paraId="21A2FF8D">
            <w:pPr>
              <w:widowControl w:val="0"/>
              <w:adjustRightInd w:val="0"/>
              <w:snapToGrid w:val="0"/>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氢氧化钠溶液</w:t>
            </w:r>
            <w:r>
              <w:rPr>
                <w:rFonts w:hint="eastAsia" w:ascii="宋体" w:hAnsi="宋体" w:eastAsia="宋体" w:cs="宋体"/>
                <w:color w:val="000000" w:themeColor="text1"/>
                <w:kern w:val="0"/>
                <w:sz w:val="21"/>
                <w:szCs w:val="21"/>
                <w:highlight w:val="none"/>
              </w:rPr>
              <w:t>槽罐车装卸区相对独立设置</w:t>
            </w:r>
            <w:r>
              <w:rPr>
                <w:rFonts w:hint="eastAsia" w:ascii="宋体" w:hAnsi="宋体" w:eastAsia="宋体"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设有防移动装置</w:t>
            </w:r>
            <w:r>
              <w:rPr>
                <w:rFonts w:hint="eastAsia" w:ascii="宋体" w:hAnsi="宋体" w:eastAsia="宋体" w:cs="宋体"/>
                <w:color w:val="000000" w:themeColor="text1"/>
                <w:kern w:val="0"/>
                <w:sz w:val="21"/>
                <w:szCs w:val="21"/>
                <w:highlight w:val="none"/>
                <w:lang w:eastAsia="zh-CN"/>
              </w:rPr>
              <w:t>（三角木）</w:t>
            </w:r>
            <w:r>
              <w:rPr>
                <w:rFonts w:hint="eastAsia" w:ascii="宋体" w:hAnsi="宋体" w:eastAsia="宋体" w:cs="宋体"/>
                <w:color w:val="000000" w:themeColor="text1"/>
                <w:kern w:val="0"/>
                <w:sz w:val="21"/>
                <w:szCs w:val="21"/>
                <w:highlight w:val="none"/>
              </w:rPr>
              <w:t>，配置应急处置器材。</w:t>
            </w:r>
          </w:p>
        </w:tc>
        <w:tc>
          <w:tcPr>
            <w:tcW w:w="376" w:type="pct"/>
            <w:vAlign w:val="center"/>
          </w:tcPr>
          <w:p w14:paraId="4773C255">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w:t>
            </w:r>
          </w:p>
        </w:tc>
      </w:tr>
      <w:tr w14:paraId="48727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restart"/>
            <w:vAlign w:val="center"/>
          </w:tcPr>
          <w:p w14:paraId="5BE54DB3">
            <w:pPr>
              <w:widowControl w:val="0"/>
              <w:adjustRightInd w:val="0"/>
              <w:snapToGrid w:val="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四、安全管理</w:t>
            </w:r>
          </w:p>
        </w:tc>
        <w:tc>
          <w:tcPr>
            <w:tcW w:w="332" w:type="pct"/>
            <w:vAlign w:val="center"/>
          </w:tcPr>
          <w:p w14:paraId="33128293">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32*</w:t>
            </w:r>
          </w:p>
        </w:tc>
        <w:tc>
          <w:tcPr>
            <w:tcW w:w="2433" w:type="pct"/>
            <w:vAlign w:val="center"/>
          </w:tcPr>
          <w:p w14:paraId="5222DC2A">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所使用的危险化学品应具有符合国家标准要求的安全技术说明书和安全标签，安全技术说明书和安全标签为非中文的还应具有中文版本。</w:t>
            </w:r>
          </w:p>
        </w:tc>
        <w:tc>
          <w:tcPr>
            <w:tcW w:w="1364" w:type="pct"/>
            <w:vAlign w:val="center"/>
          </w:tcPr>
          <w:p w14:paraId="4D540FCD">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所使用的危险化学品具有符合国家标准要求的安全技术说明书和安全标签。</w:t>
            </w:r>
          </w:p>
        </w:tc>
        <w:tc>
          <w:tcPr>
            <w:tcW w:w="376" w:type="pct"/>
            <w:vAlign w:val="center"/>
          </w:tcPr>
          <w:p w14:paraId="0E6858A6">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4631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7816E572">
            <w:pPr>
              <w:widowControl w:val="0"/>
              <w:adjustRightInd w:val="0"/>
              <w:snapToGrid w:val="0"/>
              <w:rPr>
                <w:rFonts w:hint="eastAsia" w:ascii="宋体" w:hAnsi="宋体" w:eastAsia="宋体" w:cs="宋体"/>
                <w:bCs/>
                <w:color w:val="000000" w:themeColor="text1"/>
                <w:kern w:val="0"/>
                <w:sz w:val="21"/>
                <w:szCs w:val="21"/>
                <w:highlight w:val="none"/>
              </w:rPr>
            </w:pPr>
          </w:p>
        </w:tc>
        <w:tc>
          <w:tcPr>
            <w:tcW w:w="332" w:type="pct"/>
            <w:vAlign w:val="center"/>
          </w:tcPr>
          <w:p w14:paraId="1EC3AA57">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33*</w:t>
            </w:r>
          </w:p>
        </w:tc>
        <w:tc>
          <w:tcPr>
            <w:tcW w:w="2433" w:type="pct"/>
            <w:vAlign w:val="center"/>
          </w:tcPr>
          <w:p w14:paraId="07DD5CF4">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根据危险化学品的种类、危险特性、使用量和使用方式，制定使用危险化学品的安全生产责任制、安全管理规章制度和安全操作规程；岗位安全操作规程至少应明确操作程序、控制指标、禁止事项、防护要求、紧急处置等内容。</w:t>
            </w:r>
          </w:p>
        </w:tc>
        <w:tc>
          <w:tcPr>
            <w:tcW w:w="1364" w:type="pct"/>
            <w:vAlign w:val="center"/>
          </w:tcPr>
          <w:p w14:paraId="01304E82">
            <w:pPr>
              <w:widowControl w:val="0"/>
              <w:adjustRightInd w:val="0"/>
              <w:snapToGrid w:val="0"/>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制定了</w:t>
            </w:r>
            <w:r>
              <w:rPr>
                <w:rFonts w:hint="eastAsia" w:ascii="宋体" w:hAnsi="宋体" w:eastAsia="宋体" w:cs="宋体"/>
                <w:color w:val="000000" w:themeColor="text1"/>
                <w:kern w:val="0"/>
                <w:sz w:val="21"/>
                <w:szCs w:val="21"/>
                <w:highlight w:val="none"/>
              </w:rPr>
              <w:t>危险化学品安全管理制度。</w:t>
            </w:r>
          </w:p>
        </w:tc>
        <w:tc>
          <w:tcPr>
            <w:tcW w:w="376" w:type="pct"/>
            <w:vAlign w:val="center"/>
          </w:tcPr>
          <w:p w14:paraId="1BF86690">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cs="宋体"/>
                <w:color w:val="000000" w:themeColor="text1"/>
                <w:kern w:val="0"/>
                <w:sz w:val="21"/>
                <w:szCs w:val="21"/>
                <w:highlight w:val="none"/>
                <w:lang w:eastAsia="zh-CN"/>
              </w:rPr>
              <w:t>符合</w:t>
            </w:r>
          </w:p>
        </w:tc>
      </w:tr>
      <w:tr w14:paraId="58D4B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0138F691">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116085BB">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34*</w:t>
            </w:r>
          </w:p>
        </w:tc>
        <w:tc>
          <w:tcPr>
            <w:tcW w:w="2433" w:type="pct"/>
            <w:vAlign w:val="center"/>
          </w:tcPr>
          <w:p w14:paraId="1FAA5583">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危险化学品仓库应指定专人管理。</w:t>
            </w:r>
          </w:p>
        </w:tc>
        <w:tc>
          <w:tcPr>
            <w:tcW w:w="1364" w:type="pct"/>
            <w:vAlign w:val="center"/>
          </w:tcPr>
          <w:p w14:paraId="0228130A">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专人管理。</w:t>
            </w:r>
          </w:p>
        </w:tc>
        <w:tc>
          <w:tcPr>
            <w:tcW w:w="376" w:type="pct"/>
            <w:vAlign w:val="center"/>
          </w:tcPr>
          <w:p w14:paraId="3233FE9A">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34616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1F3D461A">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79FCCA19">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35*</w:t>
            </w:r>
          </w:p>
        </w:tc>
        <w:tc>
          <w:tcPr>
            <w:tcW w:w="2433" w:type="pct"/>
            <w:vAlign w:val="center"/>
          </w:tcPr>
          <w:p w14:paraId="3588D113">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对相关管理人员、操作人员进行安全培训，使其掌握所涉及危险化学品的危险特性、防护措施、操作规程、应急处置程序及方法等，经培训合格后上岗；安全培训考核记录保存三年备查。</w:t>
            </w:r>
          </w:p>
        </w:tc>
        <w:tc>
          <w:tcPr>
            <w:tcW w:w="1364" w:type="pct"/>
            <w:vAlign w:val="center"/>
          </w:tcPr>
          <w:p w14:paraId="6D2488F4">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对相关管理人员、操作人员进行安全培训，有培训记录。</w:t>
            </w:r>
          </w:p>
        </w:tc>
        <w:tc>
          <w:tcPr>
            <w:tcW w:w="376" w:type="pct"/>
            <w:vAlign w:val="center"/>
          </w:tcPr>
          <w:p w14:paraId="08EC02FE">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1749C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60B5AA9C">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7118E921">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36*</w:t>
            </w:r>
          </w:p>
        </w:tc>
        <w:tc>
          <w:tcPr>
            <w:tcW w:w="2433" w:type="pct"/>
            <w:vAlign w:val="center"/>
          </w:tcPr>
          <w:p w14:paraId="37EF759D">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进行可能影响危险化学品安全的动火、受限空间作业等危险作业时，应安排专门人员进行现场安全管理，并采取相应安全措施。</w:t>
            </w:r>
          </w:p>
        </w:tc>
        <w:tc>
          <w:tcPr>
            <w:tcW w:w="1364" w:type="pct"/>
            <w:vAlign w:val="center"/>
          </w:tcPr>
          <w:p w14:paraId="69887595">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安排专门人员进行现场安全管理，并采取相应安全措施。</w:t>
            </w:r>
          </w:p>
        </w:tc>
        <w:tc>
          <w:tcPr>
            <w:tcW w:w="376" w:type="pct"/>
            <w:vAlign w:val="center"/>
          </w:tcPr>
          <w:p w14:paraId="78DBC92C">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6F79D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3B01AF45">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7D637E49">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37*</w:t>
            </w:r>
          </w:p>
        </w:tc>
        <w:tc>
          <w:tcPr>
            <w:tcW w:w="2433" w:type="pct"/>
            <w:vAlign w:val="center"/>
          </w:tcPr>
          <w:p w14:paraId="335F1A58">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使用挥发性有机溶剂进行清洗作业时，应注意现场通风、火源管控及挥发性可燃气体局部积聚。</w:t>
            </w:r>
          </w:p>
        </w:tc>
        <w:tc>
          <w:tcPr>
            <w:tcW w:w="1364" w:type="pct"/>
            <w:vAlign w:val="center"/>
          </w:tcPr>
          <w:p w14:paraId="38BBD219">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不涉及。</w:t>
            </w:r>
          </w:p>
        </w:tc>
        <w:tc>
          <w:tcPr>
            <w:tcW w:w="376" w:type="pct"/>
            <w:vAlign w:val="center"/>
          </w:tcPr>
          <w:p w14:paraId="46A06BCA">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w:t>
            </w:r>
          </w:p>
        </w:tc>
      </w:tr>
      <w:tr w14:paraId="7BC31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70604FD5">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62972518">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38</w:t>
            </w:r>
          </w:p>
        </w:tc>
        <w:tc>
          <w:tcPr>
            <w:tcW w:w="2433" w:type="pct"/>
            <w:vAlign w:val="center"/>
          </w:tcPr>
          <w:p w14:paraId="7DD8E545">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进行危险化学品的装卸作业时，应安排现场监护人员。</w:t>
            </w:r>
          </w:p>
        </w:tc>
        <w:tc>
          <w:tcPr>
            <w:tcW w:w="1364" w:type="pct"/>
            <w:vAlign w:val="center"/>
          </w:tcPr>
          <w:p w14:paraId="6A56D3A9">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危险化学品的装卸作业时，安排现场监护人员。</w:t>
            </w:r>
          </w:p>
        </w:tc>
        <w:tc>
          <w:tcPr>
            <w:tcW w:w="376" w:type="pct"/>
            <w:vAlign w:val="center"/>
          </w:tcPr>
          <w:p w14:paraId="309EC400">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619A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62072B57">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2D7F1B8E">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40</w:t>
            </w:r>
          </w:p>
        </w:tc>
        <w:tc>
          <w:tcPr>
            <w:tcW w:w="2433" w:type="pct"/>
            <w:vAlign w:val="center"/>
          </w:tcPr>
          <w:p w14:paraId="5476DE85">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综合运用现场检查、视频查看等方式，加强对危险化学品作业行为的安全检查，督促员工正确佩戴、使用劳动防护用品。</w:t>
            </w:r>
          </w:p>
        </w:tc>
        <w:tc>
          <w:tcPr>
            <w:tcW w:w="1364" w:type="pct"/>
            <w:vAlign w:val="center"/>
          </w:tcPr>
          <w:p w14:paraId="047FB296">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实行危险化学品作业行为的安全检查。</w:t>
            </w:r>
          </w:p>
        </w:tc>
        <w:tc>
          <w:tcPr>
            <w:tcW w:w="376" w:type="pct"/>
            <w:vAlign w:val="center"/>
          </w:tcPr>
          <w:p w14:paraId="3E415D27">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4E8B1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2E5DD21A">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0484B4D2">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41*</w:t>
            </w:r>
          </w:p>
        </w:tc>
        <w:tc>
          <w:tcPr>
            <w:tcW w:w="2433" w:type="pct"/>
            <w:vAlign w:val="center"/>
          </w:tcPr>
          <w:p w14:paraId="485026E7">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保持疏散通道畅通，疏散通道、安全出口处不存在占用、堵塞、封闭、上锁及其他妨碍人员疏散情形；保证消防车可抵近救援。</w:t>
            </w:r>
          </w:p>
        </w:tc>
        <w:tc>
          <w:tcPr>
            <w:tcW w:w="1364" w:type="pct"/>
            <w:vAlign w:val="center"/>
          </w:tcPr>
          <w:p w14:paraId="162A2BAE">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现场检查时疏散通道畅通，疏散通道、安全出口处不存在占用、堵塞、封闭、上锁及其他妨碍人员疏散情形。</w:t>
            </w:r>
          </w:p>
        </w:tc>
        <w:tc>
          <w:tcPr>
            <w:tcW w:w="376" w:type="pct"/>
            <w:vAlign w:val="center"/>
          </w:tcPr>
          <w:p w14:paraId="6BE0BAAD">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409A6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37AAF9BC">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73AB8832">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42</w:t>
            </w:r>
          </w:p>
        </w:tc>
        <w:tc>
          <w:tcPr>
            <w:tcW w:w="2433" w:type="pct"/>
            <w:vAlign w:val="center"/>
          </w:tcPr>
          <w:p w14:paraId="429F8D76">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与涉及危险化学品的外协单位签订专门的安全生产管理协议或在有关合同中约定各自的安全生产管理职责，并对外协单位的安全生产工作实施统一协调、管理。</w:t>
            </w:r>
          </w:p>
        </w:tc>
        <w:tc>
          <w:tcPr>
            <w:tcW w:w="1364" w:type="pct"/>
            <w:vAlign w:val="center"/>
          </w:tcPr>
          <w:p w14:paraId="4D53EDD1">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不涉及。</w:t>
            </w:r>
          </w:p>
        </w:tc>
        <w:tc>
          <w:tcPr>
            <w:tcW w:w="376" w:type="pct"/>
            <w:vAlign w:val="center"/>
          </w:tcPr>
          <w:p w14:paraId="3ED3A9D4">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w:t>
            </w:r>
          </w:p>
        </w:tc>
      </w:tr>
      <w:tr w14:paraId="23324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311EFB04">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1DD8D389">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43</w:t>
            </w:r>
          </w:p>
        </w:tc>
        <w:tc>
          <w:tcPr>
            <w:tcW w:w="2433" w:type="pct"/>
            <w:vAlign w:val="center"/>
          </w:tcPr>
          <w:p w14:paraId="27A10BA6">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将所涉及的危险化学品基本信息、重大危险源信息及时、准确报上级主管部门备案。</w:t>
            </w:r>
          </w:p>
        </w:tc>
        <w:tc>
          <w:tcPr>
            <w:tcW w:w="1364" w:type="pct"/>
            <w:vAlign w:val="center"/>
          </w:tcPr>
          <w:p w14:paraId="6AA50537">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已委托进行安全评价，安全评价报告包含危险化学品重大危险源辨识。</w:t>
            </w:r>
          </w:p>
        </w:tc>
        <w:tc>
          <w:tcPr>
            <w:tcW w:w="376" w:type="pct"/>
            <w:vAlign w:val="center"/>
          </w:tcPr>
          <w:p w14:paraId="0C4CF7CC">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1C7B8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7ADCD533">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7C0475F9">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44</w:t>
            </w:r>
          </w:p>
        </w:tc>
        <w:tc>
          <w:tcPr>
            <w:tcW w:w="2433" w:type="pct"/>
            <w:vAlign w:val="center"/>
          </w:tcPr>
          <w:p w14:paraId="43824B85">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按规定对危险化学品仓库、储罐（区）、作业区域等的安全条件进行安全评价或评估。</w:t>
            </w:r>
          </w:p>
        </w:tc>
        <w:tc>
          <w:tcPr>
            <w:tcW w:w="1364" w:type="pct"/>
            <w:vAlign w:val="center"/>
          </w:tcPr>
          <w:p w14:paraId="1E44E303">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已委托进行安全评价。</w:t>
            </w:r>
          </w:p>
        </w:tc>
        <w:tc>
          <w:tcPr>
            <w:tcW w:w="376" w:type="pct"/>
            <w:vAlign w:val="center"/>
          </w:tcPr>
          <w:p w14:paraId="7225C4E8">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03067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5E9BA21A">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53CA7084">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45</w:t>
            </w:r>
          </w:p>
        </w:tc>
        <w:tc>
          <w:tcPr>
            <w:tcW w:w="2433" w:type="pct"/>
            <w:vAlign w:val="center"/>
          </w:tcPr>
          <w:p w14:paraId="340F69CF">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及时、妥善处置废弃危险化学品。</w:t>
            </w:r>
          </w:p>
        </w:tc>
        <w:tc>
          <w:tcPr>
            <w:tcW w:w="1364" w:type="pct"/>
            <w:vAlign w:val="center"/>
          </w:tcPr>
          <w:p w14:paraId="0729993F">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未产生废弃危险化学品。</w:t>
            </w:r>
          </w:p>
        </w:tc>
        <w:tc>
          <w:tcPr>
            <w:tcW w:w="376" w:type="pct"/>
            <w:vAlign w:val="center"/>
          </w:tcPr>
          <w:p w14:paraId="05A5FAB6">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w:t>
            </w:r>
          </w:p>
        </w:tc>
      </w:tr>
      <w:tr w14:paraId="1D69E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restart"/>
            <w:vAlign w:val="center"/>
          </w:tcPr>
          <w:p w14:paraId="2C69191E">
            <w:pPr>
              <w:widowControl w:val="0"/>
              <w:adjustRightInd w:val="0"/>
              <w:snapToGrid w:val="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五、应急救援</w:t>
            </w:r>
          </w:p>
        </w:tc>
        <w:tc>
          <w:tcPr>
            <w:tcW w:w="332" w:type="pct"/>
            <w:vAlign w:val="center"/>
          </w:tcPr>
          <w:p w14:paraId="53CB8E06">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46*</w:t>
            </w:r>
          </w:p>
        </w:tc>
        <w:tc>
          <w:tcPr>
            <w:tcW w:w="2433" w:type="pct"/>
            <w:vAlign w:val="center"/>
          </w:tcPr>
          <w:p w14:paraId="2252343A">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根据所使用危险化学品的风险特点（详见危险化学品安全技术说明书），结合企业实际，编制生产安全事故应急处置方案和操作岗位应急处置卡；与可能影响的周边其他单位、人员建立应急联动机制。</w:t>
            </w:r>
          </w:p>
        </w:tc>
        <w:tc>
          <w:tcPr>
            <w:tcW w:w="1364" w:type="pct"/>
            <w:vAlign w:val="center"/>
          </w:tcPr>
          <w:p w14:paraId="6916029C">
            <w:pPr>
              <w:widowControl w:val="0"/>
              <w:adjustRightInd w:val="0"/>
              <w:snapToGrid w:val="0"/>
              <w:rPr>
                <w:rFonts w:hint="eastAsia" w:ascii="宋体" w:hAnsi="宋体" w:eastAsia="宋体" w:cs="宋体"/>
                <w:color w:val="000000" w:themeColor="text1"/>
                <w:kern w:val="0"/>
                <w:sz w:val="21"/>
                <w:szCs w:val="21"/>
                <w:highlight w:val="none"/>
                <w:lang w:eastAsia="zh-CN"/>
              </w:rPr>
            </w:pPr>
            <w:r>
              <w:rPr>
                <w:rFonts w:hint="eastAsia" w:cs="宋体"/>
                <w:color w:val="000000" w:themeColor="text1"/>
                <w:kern w:val="0"/>
                <w:sz w:val="21"/>
                <w:szCs w:val="21"/>
                <w:highlight w:val="none"/>
                <w:lang w:eastAsia="zh-CN"/>
              </w:rPr>
              <w:t>编制有</w:t>
            </w:r>
            <w:r>
              <w:rPr>
                <w:rFonts w:hint="eastAsia" w:ascii="宋体" w:hAnsi="宋体" w:eastAsia="宋体" w:cs="宋体"/>
                <w:color w:val="000000" w:themeColor="text1"/>
                <w:kern w:val="0"/>
                <w:sz w:val="21"/>
                <w:szCs w:val="21"/>
                <w:highlight w:val="none"/>
              </w:rPr>
              <w:t>《危险源事故专项应急预案》</w:t>
            </w:r>
            <w:r>
              <w:rPr>
                <w:rFonts w:hint="eastAsia"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《化学品存放处火灾事故现场处置方案》</w:t>
            </w:r>
            <w:r>
              <w:rPr>
                <w:rFonts w:hint="eastAsia" w:cs="宋体"/>
                <w:color w:val="000000" w:themeColor="text1"/>
                <w:kern w:val="0"/>
                <w:sz w:val="21"/>
                <w:szCs w:val="21"/>
                <w:highlight w:val="none"/>
                <w:lang w:eastAsia="zh-CN"/>
              </w:rPr>
              <w:t>。</w:t>
            </w:r>
          </w:p>
        </w:tc>
        <w:tc>
          <w:tcPr>
            <w:tcW w:w="376" w:type="pct"/>
            <w:vAlign w:val="center"/>
          </w:tcPr>
          <w:p w14:paraId="04944AAA">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49F4C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0DD0B3F1">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742D5A47">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47*</w:t>
            </w:r>
          </w:p>
        </w:tc>
        <w:tc>
          <w:tcPr>
            <w:tcW w:w="2433" w:type="pct"/>
            <w:vAlign w:val="center"/>
          </w:tcPr>
          <w:p w14:paraId="56021276">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根据危险化学品事故应急预案，配置应急救援物资、装备，并确保应急救援物资、装备、设施完好可用。</w:t>
            </w:r>
          </w:p>
        </w:tc>
        <w:tc>
          <w:tcPr>
            <w:tcW w:w="1364" w:type="pct"/>
            <w:vAlign w:val="center"/>
          </w:tcPr>
          <w:p w14:paraId="6CD274D1">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配置了应急救援物资、装备，完好可用。</w:t>
            </w:r>
          </w:p>
        </w:tc>
        <w:tc>
          <w:tcPr>
            <w:tcW w:w="376" w:type="pct"/>
            <w:vAlign w:val="center"/>
          </w:tcPr>
          <w:p w14:paraId="39075EB5">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r w14:paraId="19AC1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vAlign w:val="center"/>
          </w:tcPr>
          <w:p w14:paraId="58B30A78">
            <w:pPr>
              <w:widowControl w:val="0"/>
              <w:adjustRightInd w:val="0"/>
              <w:snapToGrid w:val="0"/>
              <w:rPr>
                <w:rFonts w:hint="eastAsia" w:ascii="宋体" w:hAnsi="宋体" w:eastAsia="宋体" w:cs="宋体"/>
                <w:color w:val="000000" w:themeColor="text1"/>
                <w:kern w:val="0"/>
                <w:sz w:val="21"/>
                <w:szCs w:val="21"/>
                <w:highlight w:val="none"/>
              </w:rPr>
            </w:pPr>
          </w:p>
        </w:tc>
        <w:tc>
          <w:tcPr>
            <w:tcW w:w="332" w:type="pct"/>
            <w:vAlign w:val="center"/>
          </w:tcPr>
          <w:p w14:paraId="51E9D2F0">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48*</w:t>
            </w:r>
          </w:p>
        </w:tc>
        <w:tc>
          <w:tcPr>
            <w:tcW w:w="2433" w:type="pct"/>
            <w:vAlign w:val="center"/>
          </w:tcPr>
          <w:p w14:paraId="7EF4A917">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每半年至少组织一次危险化学品事故应急预案演练。</w:t>
            </w:r>
          </w:p>
        </w:tc>
        <w:tc>
          <w:tcPr>
            <w:tcW w:w="1364" w:type="pct"/>
            <w:vAlign w:val="center"/>
          </w:tcPr>
          <w:p w14:paraId="0749E9E9">
            <w:pPr>
              <w:widowControl w:val="0"/>
              <w:adjustRightInd w:val="0"/>
              <w:snapToGrid w:val="0"/>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《危险源事故专项应急预案》</w:t>
            </w:r>
            <w:r>
              <w:rPr>
                <w:rFonts w:hint="eastAsia"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《化学品存放处火灾事故现场处置方案》</w:t>
            </w:r>
            <w:r>
              <w:rPr>
                <w:rFonts w:hint="eastAsia" w:ascii="宋体" w:hAnsi="宋体" w:eastAsia="宋体" w:cs="宋体"/>
                <w:color w:val="000000" w:themeColor="text1"/>
                <w:kern w:val="0"/>
                <w:sz w:val="21"/>
                <w:szCs w:val="21"/>
                <w:highlight w:val="none"/>
                <w:lang w:eastAsia="zh-CN"/>
              </w:rPr>
              <w:t>每半年</w:t>
            </w:r>
            <w:r>
              <w:rPr>
                <w:rFonts w:hint="eastAsia" w:ascii="宋体" w:hAnsi="宋体" w:eastAsia="宋体" w:cs="宋体"/>
                <w:color w:val="000000" w:themeColor="text1"/>
                <w:kern w:val="0"/>
                <w:sz w:val="21"/>
                <w:szCs w:val="21"/>
                <w:highlight w:val="none"/>
              </w:rPr>
              <w:t>演练</w:t>
            </w:r>
            <w:r>
              <w:rPr>
                <w:rFonts w:hint="eastAsia" w:ascii="宋体" w:hAnsi="宋体" w:eastAsia="宋体" w:cs="宋体"/>
                <w:color w:val="000000" w:themeColor="text1"/>
                <w:kern w:val="0"/>
                <w:sz w:val="21"/>
                <w:szCs w:val="21"/>
                <w:highlight w:val="none"/>
                <w:lang w:eastAsia="zh-CN"/>
              </w:rPr>
              <w:t>一次。</w:t>
            </w:r>
          </w:p>
        </w:tc>
        <w:tc>
          <w:tcPr>
            <w:tcW w:w="376" w:type="pct"/>
            <w:vAlign w:val="center"/>
          </w:tcPr>
          <w:p w14:paraId="4D3C683B">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符合</w:t>
            </w:r>
          </w:p>
        </w:tc>
      </w:tr>
    </w:tbl>
    <w:p w14:paraId="2F8377A6">
      <w:pPr>
        <w:pStyle w:val="3"/>
        <w:keepNext w:val="0"/>
        <w:keepLines w:val="0"/>
        <w:pageBreakBefore w:val="0"/>
        <w:widowControl w:val="0"/>
        <w:kinsoku/>
        <w:wordWrap/>
        <w:overflowPunct/>
        <w:topLinePunct w:val="0"/>
        <w:autoSpaceDE/>
        <w:autoSpaceDN/>
        <w:bidi w:val="0"/>
        <w:adjustRightInd w:val="0"/>
        <w:snapToGrid w:val="0"/>
        <w:spacing w:before="219" w:beforeLines="50" w:after="0" w:line="360" w:lineRule="auto"/>
        <w:ind w:left="0" w:leftChars="0" w:firstLine="560" w:firstLineChars="200"/>
        <w:jc w:val="left"/>
        <w:textAlignment w:val="auto"/>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经检查，存在以下问题：</w:t>
      </w:r>
    </w:p>
    <w:p w14:paraId="69BB5BC9">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kern w:val="0"/>
          <w:sz w:val="28"/>
          <w:szCs w:val="28"/>
          <w:highlight w:val="none"/>
          <w:lang w:eastAsia="zh-CN"/>
        </w:rPr>
      </w:pPr>
      <w:r>
        <w:rPr>
          <w:rFonts w:hint="eastAsia" w:ascii="宋体" w:hAnsi="宋体" w:eastAsia="宋体" w:cs="宋体"/>
          <w:color w:val="000000" w:themeColor="text1"/>
          <w:kern w:val="0"/>
          <w:sz w:val="28"/>
          <w:szCs w:val="28"/>
          <w:highlight w:val="none"/>
          <w:lang w:eastAsia="zh-CN"/>
        </w:rPr>
        <w:t>危险化学品备货库房乙酸隔间门口未设置人体静电导除设施。</w:t>
      </w:r>
    </w:p>
    <w:p w14:paraId="70127981">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kern w:val="0"/>
          <w:sz w:val="28"/>
          <w:szCs w:val="28"/>
          <w:highlight w:val="none"/>
          <w:lang w:val="en-US" w:eastAsia="zh-CN"/>
        </w:rPr>
      </w:pPr>
      <w:r>
        <w:rPr>
          <w:rFonts w:hint="eastAsia"/>
          <w:color w:val="000000" w:themeColor="text1"/>
          <w:sz w:val="28"/>
          <w:szCs w:val="28"/>
          <w:highlight w:val="none"/>
        </w:rPr>
        <w:t>危险化学品库房可燃气体检测报警器未与轴流排风机相联动。</w:t>
      </w:r>
    </w:p>
    <w:p w14:paraId="0BCBB545">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kern w:val="0"/>
          <w:sz w:val="28"/>
          <w:szCs w:val="28"/>
          <w:highlight w:val="none"/>
          <w:lang w:val="en-US" w:eastAsia="zh-CN"/>
        </w:rPr>
      </w:pPr>
      <w:r>
        <w:rPr>
          <w:rFonts w:hint="eastAsia" w:ascii="宋体" w:hAnsi="宋体" w:eastAsia="宋体" w:cs="宋体"/>
          <w:color w:val="000000" w:themeColor="text1"/>
          <w:sz w:val="28"/>
          <w:szCs w:val="28"/>
          <w:highlight w:val="none"/>
          <w:lang w:eastAsia="zh-CN"/>
        </w:rPr>
        <w:t>次氯酸钠溶液与其他非危化品混存。</w:t>
      </w:r>
    </w:p>
    <w:p w14:paraId="0577A325">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sz w:val="28"/>
          <w:szCs w:val="28"/>
          <w:highlight w:val="none"/>
          <w:lang w:val="en-US" w:eastAsia="zh-CN"/>
        </w:rPr>
      </w:pPr>
      <w:r>
        <w:rPr>
          <w:rFonts w:hint="eastAsia" w:ascii="宋体" w:hAnsi="宋体" w:eastAsia="宋体" w:cs="宋体"/>
          <w:color w:val="000000" w:themeColor="text1"/>
          <w:kern w:val="0"/>
          <w:sz w:val="28"/>
          <w:szCs w:val="28"/>
          <w:highlight w:val="none"/>
          <w:lang w:eastAsia="zh-CN"/>
        </w:rPr>
        <w:t>乙酸直接落地存放。</w:t>
      </w:r>
    </w:p>
    <w:bookmarkEnd w:id="809"/>
    <w:bookmarkEnd w:id="829"/>
    <w:p w14:paraId="47037CAF">
      <w:pPr>
        <w:keepNext w:val="0"/>
        <w:keepLines w:val="0"/>
        <w:pageBreakBefore w:val="0"/>
        <w:widowControl w:val="0"/>
        <w:kinsoku/>
        <w:wordWrap/>
        <w:overflowPunct/>
        <w:topLinePunct w:val="0"/>
        <w:autoSpaceDE/>
        <w:autoSpaceDN/>
        <w:bidi w:val="0"/>
        <w:adjustRightInd w:val="0"/>
        <w:snapToGrid w:val="0"/>
        <w:spacing w:beforeLines="0" w:afterLines="0" w:line="360" w:lineRule="auto"/>
        <w:textAlignment w:val="auto"/>
        <w:outlineLvl w:val="2"/>
        <w:rPr>
          <w:rFonts w:hint="eastAsia" w:ascii="黑体" w:hAnsi="黑体" w:eastAsia="黑体" w:cs="Times New Roman"/>
          <w:b/>
          <w:color w:val="000000" w:themeColor="text1"/>
          <w:sz w:val="28"/>
          <w:szCs w:val="28"/>
          <w:highlight w:val="none"/>
          <w:lang w:val="en-US" w:eastAsia="zh-CN"/>
        </w:rPr>
      </w:pPr>
      <w:bookmarkStart w:id="876" w:name="_Toc485239905"/>
      <w:bookmarkStart w:id="877" w:name="_Toc60846642"/>
      <w:bookmarkStart w:id="878" w:name="_Toc498075623"/>
      <w:bookmarkStart w:id="879" w:name="_Toc487030534"/>
      <w:bookmarkStart w:id="880" w:name="_Toc25907"/>
      <w:bookmarkStart w:id="881" w:name="_Toc14569"/>
      <w:bookmarkStart w:id="882" w:name="_Toc22786"/>
      <w:bookmarkStart w:id="883" w:name="_Toc1276"/>
      <w:bookmarkStart w:id="884" w:name="_Toc11335"/>
      <w:bookmarkStart w:id="885" w:name="_Toc10741"/>
      <w:bookmarkStart w:id="886" w:name="_Toc13585"/>
      <w:bookmarkStart w:id="887" w:name="_Toc31626"/>
      <w:bookmarkStart w:id="888" w:name="_Toc8204"/>
      <w:bookmarkStart w:id="889" w:name="_Toc18350"/>
      <w:bookmarkStart w:id="890" w:name="_Toc27439"/>
      <w:bookmarkStart w:id="891" w:name="_Toc12610"/>
      <w:bookmarkStart w:id="892" w:name="_Toc6673186"/>
      <w:bookmarkStart w:id="893" w:name="_Toc466019053"/>
      <w:r>
        <w:rPr>
          <w:rFonts w:ascii="黑体" w:hAnsi="黑体" w:eastAsia="黑体" w:cs="Times New Roman"/>
          <w:b/>
          <w:color w:val="000000" w:themeColor="text1"/>
          <w:sz w:val="28"/>
          <w:szCs w:val="28"/>
          <w:highlight w:val="none"/>
        </w:rPr>
        <w:t>5.1.</w:t>
      </w:r>
      <w:r>
        <w:rPr>
          <w:rFonts w:hint="eastAsia" w:ascii="黑体" w:hAnsi="黑体" w:eastAsia="黑体" w:cs="Times New Roman"/>
          <w:b/>
          <w:color w:val="000000" w:themeColor="text1"/>
          <w:sz w:val="28"/>
          <w:szCs w:val="28"/>
          <w:highlight w:val="none"/>
          <w:lang w:val="en-US" w:eastAsia="zh-CN"/>
        </w:rPr>
        <w:t>4</w:t>
      </w:r>
      <w:r>
        <w:rPr>
          <w:rFonts w:ascii="黑体" w:hAnsi="黑体" w:eastAsia="黑体" w:cs="Times New Roman"/>
          <w:b/>
          <w:color w:val="000000" w:themeColor="text1"/>
          <w:sz w:val="28"/>
          <w:szCs w:val="28"/>
          <w:highlight w:val="none"/>
        </w:rPr>
        <w:t>危险化学品储存</w:t>
      </w:r>
      <w:bookmarkEnd w:id="876"/>
      <w:bookmarkEnd w:id="877"/>
      <w:bookmarkEnd w:id="878"/>
      <w:bookmarkEnd w:id="879"/>
      <w:r>
        <w:rPr>
          <w:rFonts w:hint="eastAsia" w:ascii="黑体" w:hAnsi="黑体" w:eastAsia="黑体" w:cs="Times New Roman"/>
          <w:b/>
          <w:color w:val="000000" w:themeColor="text1"/>
          <w:sz w:val="28"/>
          <w:szCs w:val="28"/>
          <w:highlight w:val="none"/>
          <w:lang w:eastAsia="zh-CN"/>
        </w:rPr>
        <w:t>评价</w:t>
      </w:r>
      <w:bookmarkEnd w:id="880"/>
      <w:bookmarkEnd w:id="881"/>
      <w:bookmarkEnd w:id="882"/>
      <w:bookmarkEnd w:id="883"/>
      <w:bookmarkEnd w:id="884"/>
      <w:bookmarkEnd w:id="885"/>
      <w:bookmarkEnd w:id="886"/>
      <w:bookmarkEnd w:id="887"/>
    </w:p>
    <w:p w14:paraId="53B216EE">
      <w:pPr>
        <w:pStyle w:val="732"/>
        <w:widowControl w:val="0"/>
        <w:adjustRightInd w:val="0"/>
        <w:snapToGrid w:val="0"/>
        <w:spacing w:line="360" w:lineRule="auto"/>
        <w:ind w:firstLine="560"/>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根据</w:t>
      </w:r>
      <w:r>
        <w:rPr>
          <w:rFonts w:hint="eastAsia" w:ascii="宋体" w:hAnsi="宋体" w:eastAsia="宋体" w:cs="宋体"/>
          <w:color w:val="000000" w:themeColor="text1"/>
          <w:kern w:val="0"/>
          <w:sz w:val="28"/>
          <w:szCs w:val="28"/>
          <w:highlight w:val="none"/>
        </w:rPr>
        <w:t>《浙江省应急管理厅关于印发〈浙江省工贸企业危险化学品使用安全管理指南（试行）〉的通知》浙应急基础</w:t>
      </w:r>
      <w:r>
        <w:rPr>
          <w:rFonts w:hint="eastAsia" w:ascii="宋体" w:hAnsi="宋体" w:eastAsia="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2020</w:t>
      </w:r>
      <w:r>
        <w:rPr>
          <w:rFonts w:hint="eastAsia" w:ascii="宋体" w:hAnsi="宋体" w:eastAsia="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75号</w:t>
      </w:r>
      <w:r>
        <w:rPr>
          <w:rFonts w:hint="eastAsia" w:ascii="宋体" w:hAnsi="宋体" w:eastAsia="宋体" w:cs="宋体"/>
          <w:color w:val="000000" w:themeColor="text1"/>
          <w:sz w:val="28"/>
          <w:szCs w:val="28"/>
          <w:highlight w:val="none"/>
          <w:lang w:eastAsia="zh-CN"/>
        </w:rPr>
        <w:t>、</w:t>
      </w:r>
      <w:r>
        <w:rPr>
          <w:rFonts w:hint="eastAsia" w:ascii="宋体" w:hAnsi="宋体" w:eastAsia="宋体" w:cs="宋体"/>
          <w:color w:val="000000" w:themeColor="text1"/>
          <w:kern w:val="0"/>
          <w:sz w:val="28"/>
          <w:szCs w:val="28"/>
          <w:highlight w:val="none"/>
        </w:rPr>
        <w:t>《宁波市应急管理局关于印发〈宁波市使用危险化学品从事生产的企业专项安全评价暂行办法〉的通知》甬应急〔2020〕9号</w:t>
      </w:r>
      <w:r>
        <w:rPr>
          <w:rFonts w:hint="eastAsia" w:ascii="宋体" w:hAnsi="宋体" w:eastAsia="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lang w:eastAsia="zh-Hans"/>
        </w:rPr>
        <w:t>《危险化学品仓库储存通则》GB15603-2022</w:t>
      </w:r>
      <w:r>
        <w:rPr>
          <w:rFonts w:hint="eastAsia" w:ascii="宋体" w:hAnsi="宋体" w:eastAsia="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《易燃易爆性商品储存养护技术条件》GB17914-2013、《腐蚀性商品储存养护技术条件》GB17915-2013</w:t>
      </w:r>
      <w:r>
        <w:rPr>
          <w:rFonts w:hint="eastAsia" w:ascii="宋体" w:hAnsi="宋体" w:eastAsia="宋体" w:cs="宋体"/>
          <w:color w:val="000000" w:themeColor="text1"/>
          <w:sz w:val="28"/>
          <w:szCs w:val="28"/>
          <w:highlight w:val="none"/>
        </w:rPr>
        <w:t>对</w:t>
      </w:r>
      <w:r>
        <w:rPr>
          <w:rFonts w:hint="eastAsia" w:ascii="宋体" w:hAnsi="宋体" w:eastAsia="宋体" w:cs="宋体"/>
          <w:color w:val="000000" w:themeColor="text1"/>
          <w:sz w:val="28"/>
          <w:szCs w:val="28"/>
          <w:highlight w:val="none"/>
          <w:lang w:eastAsia="zh-CN"/>
        </w:rPr>
        <w:t>本项目危险化学品</w:t>
      </w:r>
      <w:r>
        <w:rPr>
          <w:rFonts w:hint="eastAsia" w:ascii="宋体" w:hAnsi="宋体" w:eastAsia="宋体" w:cs="宋体"/>
          <w:color w:val="000000" w:themeColor="text1"/>
          <w:sz w:val="28"/>
          <w:szCs w:val="28"/>
          <w:highlight w:val="none"/>
        </w:rPr>
        <w:t>储存进行检查，检查情况见下表。</w:t>
      </w:r>
    </w:p>
    <w:p w14:paraId="7D76C74E">
      <w:pPr>
        <w:pStyle w:val="732"/>
        <w:widowControl w:val="0"/>
        <w:adjustRightInd w:val="0"/>
        <w:snapToGrid w:val="0"/>
        <w:spacing w:line="360" w:lineRule="auto"/>
        <w:ind w:firstLine="0" w:firstLineChars="0"/>
        <w:jc w:val="center"/>
        <w:rPr>
          <w:rFonts w:ascii="黑体" w:hAnsi="黑体" w:eastAsia="黑体"/>
          <w:b/>
          <w:bCs/>
          <w:color w:val="000000" w:themeColor="text1"/>
          <w:kern w:val="0"/>
          <w:sz w:val="24"/>
          <w:szCs w:val="24"/>
          <w:highlight w:val="none"/>
        </w:rPr>
      </w:pPr>
    </w:p>
    <w:p w14:paraId="427BFBEE">
      <w:pPr>
        <w:pStyle w:val="732"/>
        <w:widowControl w:val="0"/>
        <w:adjustRightInd w:val="0"/>
        <w:snapToGrid w:val="0"/>
        <w:spacing w:line="360" w:lineRule="auto"/>
        <w:ind w:firstLine="0" w:firstLineChars="0"/>
        <w:jc w:val="center"/>
        <w:rPr>
          <w:rFonts w:ascii="黑体" w:hAnsi="黑体" w:eastAsia="黑体"/>
          <w:b/>
          <w:bCs/>
          <w:color w:val="000000" w:themeColor="text1"/>
          <w:kern w:val="0"/>
          <w:sz w:val="24"/>
          <w:szCs w:val="24"/>
          <w:highlight w:val="none"/>
        </w:rPr>
      </w:pPr>
    </w:p>
    <w:p w14:paraId="6A14E1CA">
      <w:pPr>
        <w:pStyle w:val="732"/>
        <w:widowControl w:val="0"/>
        <w:adjustRightInd w:val="0"/>
        <w:snapToGrid w:val="0"/>
        <w:spacing w:line="360" w:lineRule="auto"/>
        <w:ind w:firstLine="0" w:firstLineChars="0"/>
        <w:jc w:val="center"/>
        <w:rPr>
          <w:rFonts w:ascii="黑体" w:hAnsi="黑体" w:eastAsia="黑体"/>
          <w:b/>
          <w:bCs/>
          <w:color w:val="000000" w:themeColor="text1"/>
          <w:kern w:val="0"/>
          <w:sz w:val="24"/>
          <w:szCs w:val="24"/>
          <w:highlight w:val="none"/>
        </w:rPr>
      </w:pPr>
    </w:p>
    <w:p w14:paraId="28E60251">
      <w:pPr>
        <w:pStyle w:val="732"/>
        <w:widowControl w:val="0"/>
        <w:adjustRightInd w:val="0"/>
        <w:snapToGrid w:val="0"/>
        <w:spacing w:line="360" w:lineRule="auto"/>
        <w:ind w:firstLine="0" w:firstLineChars="0"/>
        <w:jc w:val="center"/>
        <w:rPr>
          <w:rFonts w:ascii="黑体" w:hAnsi="黑体" w:eastAsia="黑体"/>
          <w:b/>
          <w:bCs/>
          <w:color w:val="000000" w:themeColor="text1"/>
          <w:kern w:val="0"/>
          <w:sz w:val="24"/>
          <w:szCs w:val="24"/>
          <w:highlight w:val="none"/>
        </w:rPr>
      </w:pPr>
    </w:p>
    <w:p w14:paraId="3C7B95C1">
      <w:pPr>
        <w:pStyle w:val="732"/>
        <w:widowControl w:val="0"/>
        <w:adjustRightInd w:val="0"/>
        <w:snapToGrid w:val="0"/>
        <w:spacing w:line="360" w:lineRule="auto"/>
        <w:ind w:firstLine="0" w:firstLineChars="0"/>
        <w:jc w:val="center"/>
        <w:rPr>
          <w:rFonts w:ascii="黑体" w:hAnsi="黑体" w:eastAsia="黑体"/>
          <w:b/>
          <w:bCs/>
          <w:color w:val="000000" w:themeColor="text1"/>
          <w:kern w:val="0"/>
          <w:sz w:val="24"/>
          <w:szCs w:val="24"/>
          <w:highlight w:val="none"/>
        </w:rPr>
      </w:pPr>
    </w:p>
    <w:p w14:paraId="58B56662">
      <w:pPr>
        <w:pStyle w:val="732"/>
        <w:widowControl w:val="0"/>
        <w:adjustRightInd w:val="0"/>
        <w:snapToGrid w:val="0"/>
        <w:spacing w:line="360" w:lineRule="auto"/>
        <w:ind w:firstLine="0" w:firstLineChars="0"/>
        <w:jc w:val="center"/>
        <w:rPr>
          <w:rFonts w:ascii="黑体" w:hAnsi="黑体" w:eastAsia="黑体"/>
          <w:b/>
          <w:bCs/>
          <w:color w:val="000000" w:themeColor="text1"/>
          <w:kern w:val="0"/>
          <w:sz w:val="24"/>
          <w:szCs w:val="24"/>
          <w:highlight w:val="none"/>
        </w:rPr>
      </w:pPr>
    </w:p>
    <w:p w14:paraId="22160697">
      <w:pPr>
        <w:pStyle w:val="732"/>
        <w:widowControl w:val="0"/>
        <w:adjustRightInd w:val="0"/>
        <w:snapToGrid w:val="0"/>
        <w:spacing w:line="360" w:lineRule="auto"/>
        <w:ind w:firstLine="0" w:firstLineChars="0"/>
        <w:jc w:val="center"/>
        <w:rPr>
          <w:rFonts w:ascii="黑体" w:hAnsi="黑体" w:eastAsia="黑体"/>
          <w:b/>
          <w:bCs/>
          <w:color w:val="000000" w:themeColor="text1"/>
          <w:kern w:val="0"/>
          <w:sz w:val="24"/>
          <w:szCs w:val="24"/>
          <w:highlight w:val="none"/>
        </w:rPr>
      </w:pPr>
    </w:p>
    <w:p w14:paraId="2E0B3964">
      <w:pPr>
        <w:pStyle w:val="732"/>
        <w:widowControl w:val="0"/>
        <w:adjustRightInd w:val="0"/>
        <w:snapToGrid w:val="0"/>
        <w:spacing w:line="360" w:lineRule="auto"/>
        <w:ind w:firstLine="0" w:firstLineChars="0"/>
        <w:jc w:val="center"/>
        <w:rPr>
          <w:rFonts w:hint="eastAsia"/>
          <w:color w:val="000000" w:themeColor="text1"/>
          <w:sz w:val="24"/>
          <w:szCs w:val="24"/>
          <w:highlight w:val="none"/>
        </w:rPr>
      </w:pPr>
      <w:r>
        <w:rPr>
          <w:rFonts w:ascii="黑体" w:hAnsi="黑体" w:eastAsia="黑体"/>
          <w:b/>
          <w:bCs/>
          <w:color w:val="000000" w:themeColor="text1"/>
          <w:kern w:val="0"/>
          <w:sz w:val="24"/>
          <w:szCs w:val="24"/>
          <w:highlight w:val="none"/>
        </w:rPr>
        <w:t>表5</w:t>
      </w:r>
      <w:r>
        <w:rPr>
          <w:rFonts w:hint="eastAsia" w:ascii="黑体" w:hAnsi="黑体" w:eastAsia="黑体"/>
          <w:b/>
          <w:bCs/>
          <w:color w:val="000000" w:themeColor="text1"/>
          <w:kern w:val="0"/>
          <w:sz w:val="24"/>
          <w:szCs w:val="24"/>
          <w:highlight w:val="none"/>
        </w:rPr>
        <w:t>.1</w:t>
      </w:r>
      <w:r>
        <w:rPr>
          <w:rFonts w:ascii="黑体" w:hAnsi="黑体" w:eastAsia="黑体"/>
          <w:b/>
          <w:bCs/>
          <w:color w:val="000000" w:themeColor="text1"/>
          <w:kern w:val="0"/>
          <w:sz w:val="24"/>
          <w:szCs w:val="24"/>
          <w:highlight w:val="none"/>
        </w:rPr>
        <w:t>-</w:t>
      </w:r>
      <w:r>
        <w:rPr>
          <w:rFonts w:hint="eastAsia" w:ascii="黑体" w:hAnsi="黑体" w:eastAsia="黑体"/>
          <w:b/>
          <w:bCs/>
          <w:color w:val="000000" w:themeColor="text1"/>
          <w:kern w:val="0"/>
          <w:sz w:val="24"/>
          <w:szCs w:val="24"/>
          <w:highlight w:val="none"/>
          <w:lang w:val="en-US" w:eastAsia="zh-CN"/>
        </w:rPr>
        <w:t>6</w:t>
      </w:r>
      <w:r>
        <w:rPr>
          <w:rFonts w:hint="eastAsia" w:ascii="黑体" w:hAnsi="黑体" w:eastAsia="黑体"/>
          <w:b/>
          <w:bCs/>
          <w:color w:val="000000" w:themeColor="text1"/>
          <w:kern w:val="0"/>
          <w:sz w:val="24"/>
          <w:szCs w:val="24"/>
          <w:highlight w:val="none"/>
        </w:rPr>
        <w:t xml:space="preserve"> </w:t>
      </w:r>
      <w:r>
        <w:rPr>
          <w:rFonts w:hint="eastAsia" w:ascii="黑体" w:hAnsi="黑体" w:eastAsia="黑体"/>
          <w:b/>
          <w:bCs/>
          <w:color w:val="000000" w:themeColor="text1"/>
          <w:kern w:val="0"/>
          <w:sz w:val="24"/>
          <w:szCs w:val="24"/>
          <w:highlight w:val="none"/>
          <w:lang w:eastAsia="zh-CN"/>
        </w:rPr>
        <w:t>危险化学品</w:t>
      </w:r>
      <w:r>
        <w:rPr>
          <w:rFonts w:hint="eastAsia" w:ascii="黑体" w:hAnsi="黑体" w:eastAsia="黑体"/>
          <w:b/>
          <w:bCs/>
          <w:color w:val="000000" w:themeColor="text1"/>
          <w:kern w:val="0"/>
          <w:sz w:val="24"/>
          <w:szCs w:val="24"/>
          <w:highlight w:val="none"/>
        </w:rPr>
        <w:t>储存</w:t>
      </w:r>
      <w:r>
        <w:rPr>
          <w:rFonts w:hint="eastAsia" w:ascii="黑体" w:hAnsi="黑体" w:eastAsia="黑体"/>
          <w:b/>
          <w:bCs/>
          <w:color w:val="000000" w:themeColor="text1"/>
          <w:kern w:val="0"/>
          <w:sz w:val="24"/>
          <w:szCs w:val="24"/>
          <w:highlight w:val="none"/>
          <w:lang w:eastAsia="zh-CN"/>
        </w:rPr>
        <w:t>安全</w:t>
      </w:r>
      <w:r>
        <w:rPr>
          <w:rFonts w:hint="eastAsia" w:ascii="黑体" w:hAnsi="黑体" w:eastAsia="黑体"/>
          <w:b/>
          <w:bCs/>
          <w:color w:val="000000" w:themeColor="text1"/>
          <w:kern w:val="0"/>
          <w:sz w:val="24"/>
          <w:szCs w:val="24"/>
          <w:highlight w:val="none"/>
        </w:rPr>
        <w:t>检查表</w:t>
      </w:r>
    </w:p>
    <w:tbl>
      <w:tblPr>
        <w:tblStyle w:val="6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5"/>
        <w:gridCol w:w="4092"/>
        <w:gridCol w:w="1476"/>
        <w:gridCol w:w="2579"/>
        <w:gridCol w:w="791"/>
      </w:tblGrid>
      <w:tr w14:paraId="46CC2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42" w:type="pct"/>
            <w:noWrap w:val="0"/>
            <w:vAlign w:val="center"/>
          </w:tcPr>
          <w:p w14:paraId="6A5DF353">
            <w:pPr>
              <w:widowControl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序号</w:t>
            </w:r>
          </w:p>
        </w:tc>
        <w:tc>
          <w:tcPr>
            <w:tcW w:w="2177" w:type="pct"/>
            <w:noWrap w:val="0"/>
            <w:vAlign w:val="center"/>
          </w:tcPr>
          <w:p w14:paraId="26C72F5A">
            <w:pPr>
              <w:widowControl w:val="0"/>
              <w:adjustRightInd w:val="0"/>
              <w:snapToGrid w:val="0"/>
              <w:ind w:firstLine="48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检查项目及内容</w:t>
            </w:r>
          </w:p>
        </w:tc>
        <w:tc>
          <w:tcPr>
            <w:tcW w:w="785" w:type="pct"/>
            <w:noWrap w:val="0"/>
            <w:vAlign w:val="center"/>
          </w:tcPr>
          <w:p w14:paraId="7BDB0047">
            <w:pPr>
              <w:widowControl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lang w:eastAsia="zh-CN"/>
              </w:rPr>
              <w:t>检查</w:t>
            </w:r>
            <w:r>
              <w:rPr>
                <w:rFonts w:hint="eastAsia" w:ascii="宋体" w:hAnsi="宋体" w:eastAsia="宋体" w:cs="宋体"/>
                <w:b/>
                <w:bCs/>
                <w:color w:val="000000" w:themeColor="text1"/>
                <w:sz w:val="21"/>
                <w:szCs w:val="21"/>
                <w:highlight w:val="none"/>
              </w:rPr>
              <w:t>依据</w:t>
            </w:r>
          </w:p>
        </w:tc>
        <w:tc>
          <w:tcPr>
            <w:tcW w:w="1372" w:type="pct"/>
            <w:noWrap w:val="0"/>
            <w:vAlign w:val="center"/>
          </w:tcPr>
          <w:p w14:paraId="7D9CACEA">
            <w:pPr>
              <w:widowControl w:val="0"/>
              <w:adjustRightInd w:val="0"/>
              <w:snapToGrid w:val="0"/>
              <w:jc w:val="center"/>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实际情况</w:t>
            </w:r>
          </w:p>
        </w:tc>
        <w:tc>
          <w:tcPr>
            <w:tcW w:w="421" w:type="pct"/>
            <w:noWrap w:val="0"/>
            <w:vAlign w:val="center"/>
          </w:tcPr>
          <w:p w14:paraId="48B47710">
            <w:pPr>
              <w:widowControl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检查结果</w:t>
            </w:r>
          </w:p>
        </w:tc>
      </w:tr>
      <w:tr w14:paraId="59FDF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7D4915CF">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3154DA79">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险化学品应当储存在专用仓库、专用场地或者专用储存室（以下统称专用仓库）内；因防火间距等条件受限不能设置危险化学品专用仓库的，可参照《危险化学品经营企业安全技术基本要求》（GB18265-2019）设置危险化学品备货库房，并符合下列要求：</w:t>
            </w:r>
          </w:p>
          <w:p w14:paraId="28675D7C">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一）甲乙类危险化学品备货库房只允许存放单件质量小于200kg或者容积小于200L的危险化学品（易燃液体不得使用塑料包装桶），其存放总质量不得超过2t，且备货库房内危险化学品的量与GB18218中所规定的临界量比值之和应当不大于0.1（氢气小于5kg）。</w:t>
            </w:r>
          </w:p>
          <w:p w14:paraId="0B011421">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（二）丙类备货库房存放总质量不得超过10t，丁戊类备货库房存放总质量不得超过100t，但有毒气体的存放总质量小于2吨且备货库房内危险化学品的量与GB18218中所规定的临界量比值之和应当不大于0.1。</w:t>
            </w:r>
          </w:p>
          <w:p w14:paraId="10CC12A7">
            <w:pPr>
              <w:widowControl w:val="0"/>
              <w:adjustRightInd w:val="0"/>
              <w:snapToGrid w:val="0"/>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三）甲乙类危险化学品备货库房周边30米范围内不得有明火或者散发火花地点，25米内不得有民用建筑（包括办公室、休息室）等人员密集场所；相邻防火分区15米范围内不得有甲乙丙类物品，常驻作业人员不得多于3人；应当靠外墙布置。甲乙类危险化学品备货库房及含有毒气体的丙丁戊类危险化学品备货库房不得位于人流主要通道旁边。</w:t>
            </w:r>
          </w:p>
        </w:tc>
        <w:tc>
          <w:tcPr>
            <w:tcW w:w="785" w:type="pct"/>
            <w:noWrap w:val="0"/>
            <w:vAlign w:val="center"/>
          </w:tcPr>
          <w:p w14:paraId="4765F0DF">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甬应急〔2020〕9号第</w:t>
            </w:r>
            <w:r>
              <w:rPr>
                <w:rFonts w:hint="eastAsia" w:cs="宋体"/>
                <w:color w:val="000000" w:themeColor="text1"/>
                <w:kern w:val="0"/>
                <w:sz w:val="21"/>
                <w:szCs w:val="21"/>
                <w:highlight w:val="none"/>
                <w:lang w:val="en-US" w:eastAsia="zh-CN"/>
              </w:rPr>
              <w:t>7</w:t>
            </w:r>
            <w:r>
              <w:rPr>
                <w:rFonts w:hint="eastAsia" w:ascii="宋体" w:hAnsi="宋体" w:eastAsia="宋体" w:cs="宋体"/>
                <w:color w:val="000000" w:themeColor="text1"/>
                <w:kern w:val="0"/>
                <w:sz w:val="21"/>
                <w:szCs w:val="21"/>
                <w:highlight w:val="none"/>
              </w:rPr>
              <w:t>条</w:t>
            </w:r>
          </w:p>
        </w:tc>
        <w:tc>
          <w:tcPr>
            <w:tcW w:w="1372" w:type="pct"/>
            <w:noWrap w:val="0"/>
            <w:vAlign w:val="center"/>
          </w:tcPr>
          <w:p w14:paraId="41B2B2AF">
            <w:pPr>
              <w:widowControl w:val="0"/>
              <w:adjustRightInd w:val="0"/>
              <w:snapToGrid w:val="0"/>
              <w:rPr>
                <w:rFonts w:hint="eastAsia" w:cs="宋体"/>
                <w:color w:val="000000" w:themeColor="text1"/>
                <w:kern w:val="0"/>
                <w:sz w:val="21"/>
                <w:szCs w:val="21"/>
                <w:highlight w:val="none"/>
                <w:lang w:eastAsia="zh-CN"/>
              </w:rPr>
            </w:pPr>
            <w:r>
              <w:rPr>
                <w:rFonts w:hint="eastAsia" w:cs="宋体"/>
                <w:color w:val="000000" w:themeColor="text1"/>
                <w:kern w:val="0"/>
                <w:sz w:val="21"/>
                <w:szCs w:val="21"/>
                <w:highlight w:val="none"/>
                <w:lang w:eastAsia="zh-CN"/>
              </w:rPr>
              <w:t>氢氧化钠溶液专用储罐储存；</w:t>
            </w:r>
          </w:p>
          <w:p w14:paraId="679D8A82">
            <w:pPr>
              <w:widowControl w:val="0"/>
              <w:adjustRightInd w:val="0"/>
              <w:snapToGrid w:val="0"/>
              <w:rPr>
                <w:rFonts w:hint="eastAsia" w:cs="宋体"/>
                <w:color w:val="000000" w:themeColor="text1"/>
                <w:kern w:val="0"/>
                <w:sz w:val="21"/>
                <w:szCs w:val="21"/>
                <w:highlight w:val="none"/>
                <w:lang w:val="en-US" w:eastAsia="zh-CN"/>
              </w:rPr>
            </w:pPr>
            <w:r>
              <w:rPr>
                <w:rFonts w:hint="eastAsia" w:cs="宋体"/>
                <w:color w:val="000000" w:themeColor="text1"/>
                <w:kern w:val="0"/>
                <w:sz w:val="21"/>
                <w:szCs w:val="21"/>
                <w:highlight w:val="none"/>
                <w:lang w:eastAsia="zh-CN"/>
              </w:rPr>
              <w:t>过碳酸钠、乙酸、保险粉专用危险化学品备货库房（乙类）储存，过碳酸钠单件质量</w:t>
            </w:r>
            <w:r>
              <w:rPr>
                <w:rFonts w:hint="eastAsia" w:cs="宋体"/>
                <w:color w:val="000000" w:themeColor="text1"/>
                <w:kern w:val="0"/>
                <w:sz w:val="21"/>
                <w:szCs w:val="21"/>
                <w:highlight w:val="none"/>
                <w:lang w:val="en-US" w:eastAsia="zh-CN"/>
              </w:rPr>
              <w:t>25kg，</w:t>
            </w:r>
            <w:r>
              <w:rPr>
                <w:rFonts w:hint="eastAsia" w:cs="宋体"/>
                <w:color w:val="000000" w:themeColor="text1"/>
                <w:kern w:val="0"/>
                <w:sz w:val="21"/>
                <w:szCs w:val="21"/>
                <w:highlight w:val="none"/>
                <w:lang w:eastAsia="zh-CN"/>
              </w:rPr>
              <w:t>乙酸单件质量</w:t>
            </w:r>
            <w:r>
              <w:rPr>
                <w:rFonts w:hint="eastAsia" w:cs="宋体"/>
                <w:color w:val="000000" w:themeColor="text1"/>
                <w:kern w:val="0"/>
                <w:sz w:val="21"/>
                <w:szCs w:val="21"/>
                <w:highlight w:val="none"/>
                <w:lang w:val="en-US" w:eastAsia="zh-CN"/>
              </w:rPr>
              <w:t>50kg，</w:t>
            </w:r>
            <w:r>
              <w:rPr>
                <w:rFonts w:hint="eastAsia" w:cs="宋体"/>
                <w:color w:val="000000" w:themeColor="text1"/>
                <w:kern w:val="0"/>
                <w:sz w:val="21"/>
                <w:szCs w:val="21"/>
                <w:highlight w:val="none"/>
                <w:lang w:eastAsia="zh-CN"/>
              </w:rPr>
              <w:t>保险粉单件质量</w:t>
            </w:r>
            <w:r>
              <w:rPr>
                <w:rFonts w:hint="eastAsia" w:cs="宋体"/>
                <w:color w:val="000000" w:themeColor="text1"/>
                <w:kern w:val="0"/>
                <w:sz w:val="21"/>
                <w:szCs w:val="21"/>
                <w:highlight w:val="none"/>
                <w:lang w:val="en-US" w:eastAsia="zh-CN"/>
              </w:rPr>
              <w:t>50kg，最大存放总质量2t。</w:t>
            </w:r>
          </w:p>
          <w:p w14:paraId="01CBE72D">
            <w:pPr>
              <w:pStyle w:val="2"/>
              <w:widowControl w:val="0"/>
              <w:adjustRightInd w:val="0"/>
              <w:snapToGrid w:val="0"/>
              <w:ind w:left="0" w:leftChars="0" w:firstLine="0" w:firstLineChars="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危险化学品备货库房周边30米范围内</w:t>
            </w:r>
            <w:r>
              <w:rPr>
                <w:rFonts w:hint="eastAsia" w:ascii="宋体" w:hAnsi="宋体" w:eastAsia="宋体" w:cs="宋体"/>
                <w:color w:val="000000" w:themeColor="text1"/>
                <w:kern w:val="0"/>
                <w:sz w:val="21"/>
                <w:szCs w:val="21"/>
                <w:highlight w:val="none"/>
                <w:lang w:eastAsia="zh-CN"/>
              </w:rPr>
              <w:t>无</w:t>
            </w:r>
            <w:r>
              <w:rPr>
                <w:rFonts w:hint="eastAsia" w:ascii="宋体" w:hAnsi="宋体" w:eastAsia="宋体" w:cs="宋体"/>
                <w:color w:val="000000" w:themeColor="text1"/>
                <w:kern w:val="0"/>
                <w:sz w:val="21"/>
                <w:szCs w:val="21"/>
                <w:highlight w:val="none"/>
              </w:rPr>
              <w:t>明火或者散发火花地点，25米内</w:t>
            </w:r>
            <w:r>
              <w:rPr>
                <w:rFonts w:hint="eastAsia" w:ascii="宋体" w:hAnsi="宋体" w:eastAsia="宋体" w:cs="宋体"/>
                <w:color w:val="000000" w:themeColor="text1"/>
                <w:kern w:val="0"/>
                <w:sz w:val="21"/>
                <w:szCs w:val="21"/>
                <w:highlight w:val="none"/>
                <w:lang w:eastAsia="zh-CN"/>
              </w:rPr>
              <w:t>有</w:t>
            </w:r>
            <w:r>
              <w:rPr>
                <w:rFonts w:hint="eastAsia" w:ascii="宋体" w:hAnsi="宋体" w:eastAsia="宋体" w:cs="宋体"/>
                <w:color w:val="000000" w:themeColor="text1"/>
                <w:kern w:val="0"/>
                <w:sz w:val="21"/>
                <w:szCs w:val="21"/>
                <w:highlight w:val="none"/>
                <w:lang w:val="en-US" w:eastAsia="zh-CN"/>
              </w:rPr>
              <w:t>1间</w:t>
            </w:r>
            <w:r>
              <w:rPr>
                <w:rFonts w:hint="eastAsia" w:ascii="宋体" w:hAnsi="宋体" w:eastAsia="宋体" w:cs="宋体"/>
                <w:color w:val="000000" w:themeColor="text1"/>
                <w:kern w:val="0"/>
                <w:sz w:val="21"/>
                <w:szCs w:val="21"/>
                <w:highlight w:val="none"/>
                <w:lang w:eastAsia="zh-CN"/>
              </w:rPr>
              <w:t>电工办公室、</w:t>
            </w:r>
            <w:r>
              <w:rPr>
                <w:rFonts w:hint="eastAsia" w:ascii="宋体" w:hAnsi="宋体" w:eastAsia="宋体" w:cs="宋体"/>
                <w:color w:val="000000" w:themeColor="text1"/>
                <w:kern w:val="0"/>
                <w:sz w:val="21"/>
                <w:szCs w:val="21"/>
                <w:highlight w:val="none"/>
                <w:lang w:val="en-US" w:eastAsia="zh-CN"/>
              </w:rPr>
              <w:t>1间</w:t>
            </w:r>
            <w:r>
              <w:rPr>
                <w:rFonts w:hint="eastAsia" w:ascii="宋体" w:hAnsi="宋体" w:eastAsia="宋体" w:cs="宋体"/>
                <w:color w:val="000000" w:themeColor="text1"/>
                <w:kern w:val="0"/>
                <w:sz w:val="21"/>
                <w:szCs w:val="21"/>
                <w:highlight w:val="none"/>
                <w:lang w:eastAsia="zh-CN"/>
              </w:rPr>
              <w:t>机修办公室</w:t>
            </w:r>
            <w:r>
              <w:rPr>
                <w:rFonts w:hint="eastAsia" w:ascii="宋体" w:hAnsi="宋体" w:eastAsia="宋体" w:cs="宋体"/>
                <w:color w:val="000000" w:themeColor="text1"/>
                <w:kern w:val="0"/>
                <w:sz w:val="21"/>
                <w:szCs w:val="21"/>
                <w:highlight w:val="none"/>
              </w:rPr>
              <w:t>；相邻防火分区15米范围内</w:t>
            </w:r>
            <w:r>
              <w:rPr>
                <w:rFonts w:hint="eastAsia" w:ascii="宋体" w:hAnsi="宋体" w:eastAsia="宋体" w:cs="宋体"/>
                <w:color w:val="000000" w:themeColor="text1"/>
                <w:kern w:val="0"/>
                <w:sz w:val="21"/>
                <w:szCs w:val="21"/>
                <w:highlight w:val="none"/>
                <w:lang w:eastAsia="zh-CN"/>
              </w:rPr>
              <w:t>无</w:t>
            </w:r>
            <w:r>
              <w:rPr>
                <w:rFonts w:hint="eastAsia" w:ascii="宋体" w:hAnsi="宋体" w:eastAsia="宋体" w:cs="宋体"/>
                <w:color w:val="000000" w:themeColor="text1"/>
                <w:kern w:val="0"/>
                <w:sz w:val="21"/>
                <w:szCs w:val="21"/>
                <w:highlight w:val="none"/>
              </w:rPr>
              <w:t>甲乙丙类物品，常驻作业人员</w:t>
            </w:r>
            <w:r>
              <w:rPr>
                <w:rFonts w:hint="eastAsia" w:ascii="宋体" w:hAnsi="宋体" w:eastAsia="宋体" w:cs="宋体"/>
                <w:color w:val="000000" w:themeColor="text1"/>
                <w:kern w:val="0"/>
                <w:sz w:val="21"/>
                <w:szCs w:val="21"/>
                <w:highlight w:val="none"/>
                <w:lang w:eastAsia="zh-CN"/>
              </w:rPr>
              <w:t>少</w:t>
            </w:r>
            <w:r>
              <w:rPr>
                <w:rFonts w:hint="eastAsia" w:ascii="宋体" w:hAnsi="宋体" w:eastAsia="宋体" w:cs="宋体"/>
                <w:color w:val="000000" w:themeColor="text1"/>
                <w:kern w:val="0"/>
                <w:sz w:val="21"/>
                <w:szCs w:val="21"/>
                <w:highlight w:val="none"/>
              </w:rPr>
              <w:t>于3人；靠外墙布置。</w:t>
            </w:r>
            <w:r>
              <w:rPr>
                <w:rFonts w:hint="eastAsia" w:ascii="宋体" w:hAnsi="宋体" w:eastAsia="宋体" w:cs="宋体"/>
                <w:color w:val="000000" w:themeColor="text1"/>
                <w:kern w:val="0"/>
                <w:sz w:val="21"/>
                <w:szCs w:val="21"/>
                <w:highlight w:val="none"/>
                <w:lang w:eastAsia="zh-CN"/>
              </w:rPr>
              <w:t>未</w:t>
            </w:r>
            <w:r>
              <w:rPr>
                <w:rFonts w:hint="eastAsia" w:ascii="宋体" w:hAnsi="宋体" w:eastAsia="宋体" w:cs="宋体"/>
                <w:color w:val="000000" w:themeColor="text1"/>
                <w:kern w:val="0"/>
                <w:sz w:val="21"/>
                <w:szCs w:val="21"/>
                <w:highlight w:val="none"/>
              </w:rPr>
              <w:t>位于人流主要通道旁边。</w:t>
            </w:r>
          </w:p>
          <w:p w14:paraId="74B19A3C">
            <w:pPr>
              <w:widowControl w:val="0"/>
              <w:adjustRightInd w:val="0"/>
              <w:snapToGrid w:val="0"/>
              <w:rPr>
                <w:rFonts w:hint="eastAsia" w:ascii="宋体" w:hAnsi="宋体" w:eastAsia="宋体" w:cs="宋体"/>
                <w:color w:val="000000" w:themeColor="text1"/>
                <w:sz w:val="24"/>
                <w:szCs w:val="24"/>
                <w:highlight w:val="none"/>
                <w:lang w:val="en-US" w:eastAsia="zh-CN" w:bidi="ar-SA"/>
              </w:rPr>
            </w:pPr>
            <w:r>
              <w:rPr>
                <w:rFonts w:hint="eastAsia"/>
                <w:color w:val="000000" w:themeColor="text1"/>
                <w:sz w:val="21"/>
                <w:szCs w:val="21"/>
                <w:highlight w:val="none"/>
                <w:lang w:eastAsia="zh-CN"/>
              </w:rPr>
              <w:t>次氯酸钠溶液与其他非危化品混存。</w:t>
            </w:r>
          </w:p>
        </w:tc>
        <w:tc>
          <w:tcPr>
            <w:tcW w:w="421" w:type="pct"/>
            <w:noWrap w:val="0"/>
            <w:vAlign w:val="center"/>
          </w:tcPr>
          <w:p w14:paraId="1ED9E818">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cs="宋体"/>
                <w:color w:val="000000" w:themeColor="text1"/>
                <w:kern w:val="0"/>
                <w:sz w:val="21"/>
                <w:szCs w:val="21"/>
                <w:highlight w:val="none"/>
                <w:lang w:eastAsia="zh-CN"/>
              </w:rPr>
              <w:t>不</w:t>
            </w:r>
            <w:r>
              <w:rPr>
                <w:rFonts w:hint="eastAsia" w:ascii="宋体" w:hAnsi="宋体" w:eastAsia="宋体" w:cs="宋体"/>
                <w:color w:val="000000" w:themeColor="text1"/>
                <w:kern w:val="0"/>
                <w:sz w:val="21"/>
                <w:szCs w:val="21"/>
                <w:highlight w:val="none"/>
              </w:rPr>
              <w:t>符合</w:t>
            </w:r>
          </w:p>
        </w:tc>
      </w:tr>
      <w:tr w14:paraId="48232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7469C8F8">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5A4A20AB">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rPr>
              <w:t>甲类仓库应为单层建筑。甲、乙类危险化学品仓库不得设在地下室。有爆炸危险的危险化学品仓库（中间仓库）或仓库内有爆炸危险的部位宜采取防爆措施，设置泄压设施。</w:t>
            </w:r>
          </w:p>
        </w:tc>
        <w:tc>
          <w:tcPr>
            <w:tcW w:w="785" w:type="pct"/>
            <w:noWrap w:val="0"/>
            <w:vAlign w:val="center"/>
          </w:tcPr>
          <w:p w14:paraId="172D054B">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bCs/>
                <w:color w:val="000000" w:themeColor="text1"/>
                <w:kern w:val="0"/>
                <w:sz w:val="21"/>
                <w:szCs w:val="21"/>
                <w:highlight w:val="none"/>
              </w:rPr>
              <w:t>浙应急基础</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2020</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75号</w:t>
            </w:r>
            <w:r>
              <w:rPr>
                <w:rFonts w:hint="eastAsia" w:ascii="宋体" w:hAnsi="宋体" w:eastAsia="宋体" w:cs="宋体"/>
                <w:color w:val="000000" w:themeColor="text1"/>
                <w:kern w:val="0"/>
                <w:sz w:val="21"/>
                <w:szCs w:val="21"/>
                <w:highlight w:val="none"/>
              </w:rPr>
              <w:t>第8.1.1条</w:t>
            </w:r>
          </w:p>
        </w:tc>
        <w:tc>
          <w:tcPr>
            <w:tcW w:w="1372" w:type="pct"/>
            <w:noWrap w:val="0"/>
            <w:vAlign w:val="center"/>
          </w:tcPr>
          <w:p w14:paraId="3B7F9B14">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rPr>
              <w:t>危险化学品备货库房所在建筑</w:t>
            </w:r>
            <w:r>
              <w:rPr>
                <w:rFonts w:hint="eastAsia" w:cs="宋体"/>
                <w:color w:val="000000" w:themeColor="text1"/>
                <w:kern w:val="0"/>
                <w:sz w:val="21"/>
                <w:szCs w:val="21"/>
                <w:highlight w:val="none"/>
                <w:lang w:eastAsia="zh-CN"/>
              </w:rPr>
              <w:t>为</w:t>
            </w:r>
            <w:r>
              <w:rPr>
                <w:rFonts w:hint="eastAsia" w:ascii="宋体" w:hAnsi="宋体" w:eastAsia="宋体" w:cs="宋体"/>
                <w:color w:val="000000" w:themeColor="text1"/>
                <w:kern w:val="0"/>
                <w:sz w:val="21"/>
                <w:szCs w:val="21"/>
                <w:highlight w:val="none"/>
              </w:rPr>
              <w:t>1层</w:t>
            </w:r>
            <w:r>
              <w:rPr>
                <w:rFonts w:hint="eastAsia" w:cs="宋体"/>
                <w:color w:val="000000" w:themeColor="text1"/>
                <w:kern w:val="0"/>
                <w:sz w:val="21"/>
                <w:szCs w:val="21"/>
                <w:highlight w:val="none"/>
                <w:lang w:eastAsia="zh-CN"/>
              </w:rPr>
              <w:t>、地上</w:t>
            </w:r>
            <w:r>
              <w:rPr>
                <w:rFonts w:hint="eastAsia" w:ascii="宋体" w:hAnsi="宋体" w:eastAsia="宋体" w:cs="宋体"/>
                <w:color w:val="000000" w:themeColor="text1"/>
                <w:kern w:val="0"/>
                <w:sz w:val="21"/>
                <w:szCs w:val="21"/>
                <w:highlight w:val="none"/>
              </w:rPr>
              <w:t>。危险化学品备货库房</w:t>
            </w:r>
            <w:r>
              <w:rPr>
                <w:rFonts w:hint="eastAsia" w:cs="宋体"/>
                <w:color w:val="000000" w:themeColor="text1"/>
                <w:kern w:val="0"/>
                <w:sz w:val="21"/>
                <w:szCs w:val="21"/>
                <w:highlight w:val="none"/>
                <w:lang w:val="en-US" w:eastAsia="zh-CN"/>
              </w:rPr>
              <w:t>1#隔间内电气防爆</w:t>
            </w:r>
            <w:r>
              <w:rPr>
                <w:rFonts w:hint="eastAsia" w:ascii="宋体" w:hAnsi="宋体" w:eastAsia="宋体" w:cs="宋体"/>
                <w:color w:val="000000" w:themeColor="text1"/>
                <w:kern w:val="0"/>
                <w:sz w:val="21"/>
                <w:szCs w:val="21"/>
                <w:highlight w:val="none"/>
              </w:rPr>
              <w:t>，设置泄压设施</w:t>
            </w:r>
            <w:r>
              <w:rPr>
                <w:rFonts w:hint="eastAsia" w:ascii="宋体" w:hAnsi="宋体" w:eastAsia="宋体" w:cs="宋体"/>
                <w:color w:val="000000" w:themeColor="text1"/>
                <w:kern w:val="0"/>
                <w:sz w:val="21"/>
                <w:szCs w:val="21"/>
                <w:highlight w:val="none"/>
                <w:lang w:eastAsia="zh-CN"/>
              </w:rPr>
              <w:t>（窗户）</w:t>
            </w:r>
            <w:r>
              <w:rPr>
                <w:rFonts w:hint="eastAsia" w:ascii="宋体" w:hAnsi="宋体" w:eastAsia="宋体" w:cs="宋体"/>
                <w:color w:val="000000" w:themeColor="text1"/>
                <w:kern w:val="0"/>
                <w:sz w:val="21"/>
                <w:szCs w:val="21"/>
                <w:highlight w:val="none"/>
              </w:rPr>
              <w:t>。</w:t>
            </w:r>
          </w:p>
        </w:tc>
        <w:tc>
          <w:tcPr>
            <w:tcW w:w="421" w:type="pct"/>
            <w:noWrap w:val="0"/>
            <w:vAlign w:val="center"/>
          </w:tcPr>
          <w:p w14:paraId="3B0DC7A6">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48547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74D20164">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2E735FB5">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rPr>
              <w:t>易燃易爆危险化学品仓库（中间仓库）应通风良好，排风系统应设置导除静电的接地装置，排风管应采用金属管道，不得穿越人员密集作业场所、防火墙，并应直接通向室外安全地点，不应暗设。</w:t>
            </w:r>
          </w:p>
        </w:tc>
        <w:tc>
          <w:tcPr>
            <w:tcW w:w="785" w:type="pct"/>
            <w:noWrap w:val="0"/>
            <w:vAlign w:val="center"/>
          </w:tcPr>
          <w:p w14:paraId="5EF7D149">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bCs/>
                <w:color w:val="000000" w:themeColor="text1"/>
                <w:kern w:val="0"/>
                <w:sz w:val="21"/>
                <w:szCs w:val="21"/>
                <w:highlight w:val="none"/>
              </w:rPr>
              <w:t>浙应急基础</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2020</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75号</w:t>
            </w:r>
            <w:r>
              <w:rPr>
                <w:rFonts w:hint="eastAsia" w:ascii="宋体" w:hAnsi="宋体" w:eastAsia="宋体" w:cs="宋体"/>
                <w:color w:val="000000" w:themeColor="text1"/>
                <w:kern w:val="0"/>
                <w:sz w:val="21"/>
                <w:szCs w:val="21"/>
                <w:highlight w:val="none"/>
              </w:rPr>
              <w:t>第8.1.7条</w:t>
            </w:r>
          </w:p>
        </w:tc>
        <w:tc>
          <w:tcPr>
            <w:tcW w:w="1372" w:type="pct"/>
            <w:noWrap w:val="0"/>
            <w:vAlign w:val="center"/>
          </w:tcPr>
          <w:p w14:paraId="7141EF80">
            <w:pPr>
              <w:widowControl w:val="0"/>
              <w:adjustRightInd w:val="0"/>
              <w:snapToGrid w:val="0"/>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kern w:val="0"/>
                <w:sz w:val="21"/>
                <w:szCs w:val="21"/>
                <w:highlight w:val="none"/>
                <w:lang w:eastAsia="zh-CN"/>
              </w:rPr>
              <w:t>轴流排风机</w:t>
            </w:r>
            <w:r>
              <w:rPr>
                <w:rFonts w:hint="eastAsia" w:ascii="宋体" w:hAnsi="宋体" w:eastAsia="宋体" w:cs="宋体"/>
                <w:color w:val="000000" w:themeColor="text1"/>
                <w:kern w:val="0"/>
                <w:sz w:val="21"/>
                <w:szCs w:val="21"/>
                <w:highlight w:val="none"/>
              </w:rPr>
              <w:t>设置</w:t>
            </w:r>
            <w:r>
              <w:rPr>
                <w:rFonts w:hint="eastAsia" w:ascii="宋体" w:hAnsi="宋体" w:cs="宋体"/>
                <w:color w:val="000000" w:themeColor="text1"/>
                <w:kern w:val="0"/>
                <w:sz w:val="21"/>
                <w:szCs w:val="21"/>
                <w:highlight w:val="none"/>
                <w:lang w:eastAsia="zh-CN"/>
              </w:rPr>
              <w:t>了</w:t>
            </w:r>
            <w:r>
              <w:rPr>
                <w:rFonts w:hint="eastAsia" w:ascii="宋体" w:hAnsi="宋体" w:eastAsia="宋体" w:cs="宋体"/>
                <w:color w:val="000000" w:themeColor="text1"/>
                <w:kern w:val="0"/>
                <w:sz w:val="21"/>
                <w:szCs w:val="21"/>
                <w:highlight w:val="none"/>
              </w:rPr>
              <w:t>导除静电的接地装置</w:t>
            </w:r>
            <w:r>
              <w:rPr>
                <w:rFonts w:hint="eastAsia" w:ascii="宋体" w:hAnsi="宋体" w:eastAsia="宋体" w:cs="宋体"/>
                <w:color w:val="000000" w:themeColor="text1"/>
                <w:kern w:val="0"/>
                <w:sz w:val="21"/>
                <w:szCs w:val="21"/>
                <w:highlight w:val="none"/>
                <w:lang w:eastAsia="zh-CN"/>
              </w:rPr>
              <w:t>。</w:t>
            </w:r>
          </w:p>
        </w:tc>
        <w:tc>
          <w:tcPr>
            <w:tcW w:w="421" w:type="pct"/>
            <w:noWrap w:val="0"/>
            <w:vAlign w:val="center"/>
          </w:tcPr>
          <w:p w14:paraId="423D975D">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6123D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5E4810B1">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38703041">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rPr>
              <w:t>危险化学品应按规范分区分类储存，不得超量、超品种储存，相互禁忌物质不得混存混放。同一库房内隔离储存的危险化学品应设置明显的标志，危险化学品包装上应粘贴或者拴挂与包装内物品相符的化学品安全标签。库房内严禁分（换）装、拆分、开箱（袋）、开桶（瓶）和调配等作业。</w:t>
            </w:r>
          </w:p>
        </w:tc>
        <w:tc>
          <w:tcPr>
            <w:tcW w:w="785" w:type="pct"/>
            <w:noWrap w:val="0"/>
            <w:vAlign w:val="center"/>
          </w:tcPr>
          <w:p w14:paraId="2D6C64D4">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bCs/>
                <w:color w:val="000000" w:themeColor="text1"/>
                <w:kern w:val="0"/>
                <w:sz w:val="21"/>
                <w:szCs w:val="21"/>
                <w:highlight w:val="none"/>
              </w:rPr>
              <w:t>浙应急基础</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2020</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75号</w:t>
            </w:r>
            <w:r>
              <w:rPr>
                <w:rFonts w:hint="eastAsia" w:ascii="宋体" w:hAnsi="宋体" w:eastAsia="宋体" w:cs="宋体"/>
                <w:color w:val="000000" w:themeColor="text1"/>
                <w:kern w:val="0"/>
                <w:sz w:val="21"/>
                <w:szCs w:val="21"/>
                <w:highlight w:val="none"/>
              </w:rPr>
              <w:t>第8.1.11条</w:t>
            </w:r>
          </w:p>
        </w:tc>
        <w:tc>
          <w:tcPr>
            <w:tcW w:w="1372" w:type="pct"/>
            <w:noWrap w:val="0"/>
            <w:vAlign w:val="center"/>
          </w:tcPr>
          <w:p w14:paraId="74F7A56A">
            <w:pPr>
              <w:widowControl w:val="0"/>
              <w:adjustRightInd w:val="0"/>
              <w:snapToGrid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kern w:val="0"/>
                <w:sz w:val="21"/>
                <w:szCs w:val="21"/>
                <w:highlight w:val="none"/>
              </w:rPr>
              <w:t>相互禁忌物质</w:t>
            </w:r>
            <w:r>
              <w:rPr>
                <w:rFonts w:hint="eastAsia" w:ascii="宋体" w:hAnsi="宋体" w:eastAsia="宋体" w:cs="宋体"/>
                <w:color w:val="000000" w:themeColor="text1"/>
                <w:kern w:val="0"/>
                <w:sz w:val="21"/>
                <w:szCs w:val="21"/>
                <w:highlight w:val="none"/>
                <w:lang w:eastAsia="zh-CN"/>
              </w:rPr>
              <w:t>未</w:t>
            </w:r>
            <w:r>
              <w:rPr>
                <w:rFonts w:hint="eastAsia" w:ascii="宋体" w:hAnsi="宋体" w:eastAsia="宋体" w:cs="宋体"/>
                <w:color w:val="000000" w:themeColor="text1"/>
                <w:kern w:val="0"/>
                <w:sz w:val="21"/>
                <w:szCs w:val="21"/>
                <w:highlight w:val="none"/>
              </w:rPr>
              <w:t>混存混放</w:t>
            </w:r>
            <w:r>
              <w:rPr>
                <w:rFonts w:hint="eastAsia" w:ascii="宋体" w:hAnsi="宋体" w:eastAsia="宋体" w:cs="宋体"/>
                <w:color w:val="000000" w:themeColor="text1"/>
                <w:kern w:val="0"/>
                <w:sz w:val="21"/>
                <w:szCs w:val="21"/>
                <w:highlight w:val="none"/>
                <w:lang w:val="en-US" w:eastAsia="zh-CN"/>
              </w:rPr>
              <w:t>。</w:t>
            </w:r>
          </w:p>
          <w:p w14:paraId="4C36BBED">
            <w:pPr>
              <w:widowControl w:val="0"/>
              <w:adjustRightInd w:val="0"/>
              <w:snapToGrid w:val="0"/>
              <w:rPr>
                <w:rFonts w:hint="eastAsia" w:ascii="宋体" w:hAnsi="宋体" w:eastAsia="宋体" w:cs="宋体"/>
                <w:color w:val="000000" w:themeColor="text1"/>
                <w:kern w:val="0"/>
                <w:sz w:val="21"/>
                <w:szCs w:val="21"/>
                <w:highlight w:val="none"/>
              </w:rPr>
            </w:pPr>
            <w:r>
              <w:rPr>
                <w:rFonts w:hint="eastAsia" w:cs="宋体"/>
                <w:color w:val="000000" w:themeColor="text1"/>
                <w:sz w:val="21"/>
                <w:szCs w:val="21"/>
                <w:highlight w:val="none"/>
                <w:lang w:eastAsia="zh-CN"/>
              </w:rPr>
              <w:t>乙酸</w:t>
            </w:r>
            <w:r>
              <w:rPr>
                <w:rFonts w:hint="eastAsia" w:ascii="宋体" w:hAnsi="宋体" w:eastAsia="宋体" w:cs="宋体"/>
                <w:color w:val="000000" w:themeColor="text1"/>
                <w:sz w:val="21"/>
                <w:szCs w:val="21"/>
                <w:highlight w:val="none"/>
                <w:lang w:eastAsia="zh-CN"/>
              </w:rPr>
              <w:t>包装桶</w:t>
            </w:r>
            <w:r>
              <w:rPr>
                <w:rFonts w:hint="eastAsia" w:cs="宋体"/>
                <w:color w:val="000000" w:themeColor="text1"/>
                <w:sz w:val="21"/>
                <w:szCs w:val="21"/>
                <w:highlight w:val="none"/>
                <w:lang w:eastAsia="zh-CN"/>
              </w:rPr>
              <w:t>、过碳酸钠包装袋、次氯酸钠溶液包装桶</w:t>
            </w:r>
            <w:r>
              <w:rPr>
                <w:rFonts w:hint="eastAsia" w:ascii="宋体" w:hAnsi="宋体" w:eastAsia="宋体" w:cs="宋体"/>
                <w:color w:val="000000" w:themeColor="text1"/>
                <w:sz w:val="21"/>
                <w:szCs w:val="21"/>
                <w:highlight w:val="none"/>
                <w:lang w:eastAsia="zh-CN"/>
              </w:rPr>
              <w:t>上未</w:t>
            </w:r>
            <w:r>
              <w:rPr>
                <w:rFonts w:hint="eastAsia" w:ascii="宋体" w:hAnsi="宋体" w:eastAsia="宋体" w:cs="宋体"/>
                <w:color w:val="000000" w:themeColor="text1"/>
                <w:kern w:val="0"/>
                <w:sz w:val="21"/>
                <w:szCs w:val="21"/>
                <w:highlight w:val="none"/>
              </w:rPr>
              <w:t>粘贴或者拴挂化学品安全标签。</w:t>
            </w:r>
          </w:p>
          <w:p w14:paraId="4B680C61">
            <w:pPr>
              <w:widowControl w:val="0"/>
              <w:adjustRightInd w:val="0"/>
              <w:snapToGrid w:val="0"/>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kern w:val="0"/>
                <w:sz w:val="21"/>
                <w:szCs w:val="21"/>
                <w:highlight w:val="none"/>
              </w:rPr>
              <w:t>库房内</w:t>
            </w:r>
            <w:r>
              <w:rPr>
                <w:rFonts w:hint="eastAsia" w:ascii="宋体" w:hAnsi="宋体" w:eastAsia="宋体" w:cs="宋体"/>
                <w:color w:val="000000" w:themeColor="text1"/>
                <w:kern w:val="0"/>
                <w:sz w:val="21"/>
                <w:szCs w:val="21"/>
                <w:highlight w:val="none"/>
                <w:lang w:eastAsia="zh-CN"/>
              </w:rPr>
              <w:t>未进行</w:t>
            </w:r>
            <w:r>
              <w:rPr>
                <w:rFonts w:hint="eastAsia" w:ascii="宋体" w:hAnsi="宋体" w:eastAsia="宋体" w:cs="宋体"/>
                <w:color w:val="000000" w:themeColor="text1"/>
                <w:kern w:val="0"/>
                <w:sz w:val="21"/>
                <w:szCs w:val="21"/>
                <w:highlight w:val="none"/>
              </w:rPr>
              <w:t>分（换）装、拆分、开箱（袋）、开桶（瓶）和调配等作业。</w:t>
            </w:r>
          </w:p>
        </w:tc>
        <w:tc>
          <w:tcPr>
            <w:tcW w:w="421" w:type="pct"/>
            <w:noWrap w:val="0"/>
            <w:vAlign w:val="center"/>
          </w:tcPr>
          <w:p w14:paraId="3A081228">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不符合</w:t>
            </w:r>
          </w:p>
        </w:tc>
      </w:tr>
      <w:tr w14:paraId="029A3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31633E50">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52E3C7BF">
            <w:pPr>
              <w:widowControl w:val="0"/>
              <w:adjustRightInd w:val="0"/>
              <w:snapToGrid w:val="0"/>
              <w:rPr>
                <w:rFonts w:hint="eastAsia" w:ascii="宋体" w:hAnsi="宋体" w:eastAsia="宋体" w:cs="宋体"/>
                <w:color w:val="000000" w:themeColor="text1"/>
                <w:kern w:val="0"/>
                <w:sz w:val="21"/>
                <w:szCs w:val="21"/>
                <w:highlight w:val="none"/>
              </w:rPr>
            </w:pPr>
            <w:r>
              <w:rPr>
                <w:rFonts w:hint="eastAsia"/>
                <w:color w:val="000000" w:themeColor="text1"/>
                <w:sz w:val="21"/>
                <w:szCs w:val="21"/>
                <w:highlight w:val="none"/>
              </w:rPr>
              <w:t>易产生静电的易燃易爆危险化学品不得使用不符合要求的塑料容器储存。</w:t>
            </w:r>
          </w:p>
        </w:tc>
        <w:tc>
          <w:tcPr>
            <w:tcW w:w="785" w:type="pct"/>
            <w:noWrap w:val="0"/>
            <w:vAlign w:val="center"/>
          </w:tcPr>
          <w:p w14:paraId="30FFECFD">
            <w:pPr>
              <w:widowControl w:val="0"/>
              <w:adjustRightInd w:val="0"/>
              <w:snapToGrid w:val="0"/>
              <w:jc w:val="center"/>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浙应急基础</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2020</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75号</w:t>
            </w:r>
            <w:r>
              <w:rPr>
                <w:rFonts w:hint="eastAsia" w:ascii="宋体" w:hAnsi="宋体" w:eastAsia="宋体" w:cs="宋体"/>
                <w:color w:val="000000" w:themeColor="text1"/>
                <w:kern w:val="0"/>
                <w:sz w:val="21"/>
                <w:szCs w:val="21"/>
                <w:highlight w:val="none"/>
              </w:rPr>
              <w:t>第8.1.1</w:t>
            </w:r>
            <w:r>
              <w:rPr>
                <w:rFonts w:hint="eastAsia" w:ascii="宋体" w:hAnsi="宋体" w:eastAsia="宋体" w:cs="宋体"/>
                <w:color w:val="000000" w:themeColor="text1"/>
                <w:kern w:val="0"/>
                <w:sz w:val="21"/>
                <w:szCs w:val="21"/>
                <w:highlight w:val="none"/>
                <w:lang w:val="en-US" w:eastAsia="zh-CN"/>
              </w:rPr>
              <w:t>3</w:t>
            </w:r>
            <w:r>
              <w:rPr>
                <w:rFonts w:hint="eastAsia" w:ascii="宋体" w:hAnsi="宋体" w:eastAsia="宋体" w:cs="宋体"/>
                <w:color w:val="000000" w:themeColor="text1"/>
                <w:kern w:val="0"/>
                <w:sz w:val="21"/>
                <w:szCs w:val="21"/>
                <w:highlight w:val="none"/>
              </w:rPr>
              <w:t>条</w:t>
            </w:r>
          </w:p>
        </w:tc>
        <w:tc>
          <w:tcPr>
            <w:tcW w:w="1372" w:type="pct"/>
            <w:noWrap w:val="0"/>
            <w:vAlign w:val="center"/>
          </w:tcPr>
          <w:p w14:paraId="57A6ACD2">
            <w:pPr>
              <w:widowControl w:val="0"/>
              <w:adjustRightInd w:val="0"/>
              <w:snapToGrid w:val="0"/>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乙酸使用</w:t>
            </w:r>
            <w:r>
              <w:rPr>
                <w:rFonts w:hint="eastAsia"/>
                <w:color w:val="000000" w:themeColor="text1"/>
                <w:sz w:val="21"/>
                <w:szCs w:val="21"/>
                <w:highlight w:val="none"/>
              </w:rPr>
              <w:t>塑料容器储存。</w:t>
            </w:r>
          </w:p>
        </w:tc>
        <w:tc>
          <w:tcPr>
            <w:tcW w:w="421" w:type="pct"/>
            <w:noWrap w:val="0"/>
            <w:vAlign w:val="center"/>
          </w:tcPr>
          <w:p w14:paraId="3A12C4BE">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eastAsia="zh-CN"/>
              </w:rPr>
              <w:t>不符合</w:t>
            </w:r>
          </w:p>
        </w:tc>
      </w:tr>
      <w:tr w14:paraId="60BE3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762C4AAF">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3AC6C8C8">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rPr>
              <w:t>危险化学品仓库（中间仓库）内应设置温湿度计并每日记录，库房内温湿度应保持在规定范围之内。</w:t>
            </w:r>
          </w:p>
        </w:tc>
        <w:tc>
          <w:tcPr>
            <w:tcW w:w="785" w:type="pct"/>
            <w:noWrap w:val="0"/>
            <w:vAlign w:val="center"/>
          </w:tcPr>
          <w:p w14:paraId="35E0796B">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bCs/>
                <w:color w:val="000000" w:themeColor="text1"/>
                <w:kern w:val="0"/>
                <w:sz w:val="21"/>
                <w:szCs w:val="21"/>
                <w:highlight w:val="none"/>
              </w:rPr>
              <w:t>浙应急基础</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2020</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75号</w:t>
            </w:r>
            <w:r>
              <w:rPr>
                <w:rFonts w:hint="eastAsia" w:ascii="宋体" w:hAnsi="宋体" w:eastAsia="宋体" w:cs="宋体"/>
                <w:color w:val="000000" w:themeColor="text1"/>
                <w:kern w:val="0"/>
                <w:sz w:val="21"/>
                <w:szCs w:val="21"/>
                <w:highlight w:val="none"/>
              </w:rPr>
              <w:t>第8.1.15条</w:t>
            </w:r>
          </w:p>
        </w:tc>
        <w:tc>
          <w:tcPr>
            <w:tcW w:w="1372" w:type="pct"/>
            <w:noWrap w:val="0"/>
            <w:vAlign w:val="center"/>
          </w:tcPr>
          <w:p w14:paraId="3F0D57F2">
            <w:pPr>
              <w:widowControl w:val="0"/>
              <w:adjustRightInd w:val="0"/>
              <w:snapToGrid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kern w:val="0"/>
                <w:sz w:val="21"/>
                <w:szCs w:val="21"/>
                <w:highlight w:val="none"/>
              </w:rPr>
              <w:t>危险化学品备货库房</w:t>
            </w:r>
            <w:r>
              <w:rPr>
                <w:rFonts w:hint="eastAsia" w:ascii="宋体" w:hAnsi="宋体" w:eastAsia="宋体" w:cs="宋体"/>
                <w:color w:val="000000" w:themeColor="text1"/>
                <w:sz w:val="21"/>
                <w:szCs w:val="21"/>
                <w:highlight w:val="none"/>
                <w:lang w:val="en-US" w:eastAsia="zh-CN"/>
              </w:rPr>
              <w:t>设置</w:t>
            </w:r>
            <w:r>
              <w:rPr>
                <w:rFonts w:hint="eastAsia" w:cs="宋体"/>
                <w:color w:val="000000" w:themeColor="text1"/>
                <w:sz w:val="21"/>
                <w:szCs w:val="21"/>
                <w:highlight w:val="none"/>
                <w:lang w:val="en-US" w:eastAsia="zh-CN"/>
              </w:rPr>
              <w:t>了</w:t>
            </w:r>
            <w:r>
              <w:rPr>
                <w:rFonts w:hint="eastAsia" w:ascii="宋体" w:hAnsi="宋体" w:eastAsia="宋体" w:cs="宋体"/>
                <w:color w:val="000000" w:themeColor="text1"/>
                <w:kern w:val="0"/>
                <w:sz w:val="21"/>
                <w:szCs w:val="21"/>
                <w:highlight w:val="none"/>
              </w:rPr>
              <w:t>温湿度计</w:t>
            </w:r>
            <w:r>
              <w:rPr>
                <w:rFonts w:hint="eastAsia" w:ascii="宋体" w:hAnsi="宋体" w:eastAsia="宋体" w:cs="宋体"/>
                <w:color w:val="000000" w:themeColor="text1"/>
                <w:kern w:val="0"/>
                <w:sz w:val="21"/>
                <w:szCs w:val="21"/>
                <w:highlight w:val="none"/>
                <w:lang w:eastAsia="zh-CN"/>
              </w:rPr>
              <w:t>。</w:t>
            </w:r>
          </w:p>
        </w:tc>
        <w:tc>
          <w:tcPr>
            <w:tcW w:w="421" w:type="pct"/>
            <w:noWrap w:val="0"/>
            <w:vAlign w:val="center"/>
          </w:tcPr>
          <w:p w14:paraId="75EC8FFA">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30FE2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671EDFB4">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203C8EC0">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危险化学品仓库（中间库）应按要求设置配备灭火器、消防沙、灭火毯等应急器材以及防毒面具、防护服等个体防护装备。</w:t>
            </w:r>
          </w:p>
        </w:tc>
        <w:tc>
          <w:tcPr>
            <w:tcW w:w="785" w:type="pct"/>
            <w:noWrap w:val="0"/>
            <w:vAlign w:val="center"/>
          </w:tcPr>
          <w:p w14:paraId="6D43B13F">
            <w:pPr>
              <w:widowControl w:val="0"/>
              <w:adjustRightInd w:val="0"/>
              <w:snapToGrid w:val="0"/>
              <w:jc w:val="center"/>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浙应急基础</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2020</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75号</w:t>
            </w:r>
            <w:r>
              <w:rPr>
                <w:rFonts w:hint="eastAsia" w:ascii="宋体" w:hAnsi="宋体" w:eastAsia="宋体" w:cs="宋体"/>
                <w:color w:val="000000" w:themeColor="text1"/>
                <w:kern w:val="0"/>
                <w:sz w:val="21"/>
                <w:szCs w:val="21"/>
                <w:highlight w:val="none"/>
              </w:rPr>
              <w:t>第8.1.17 条</w:t>
            </w:r>
          </w:p>
        </w:tc>
        <w:tc>
          <w:tcPr>
            <w:tcW w:w="1372" w:type="pct"/>
            <w:noWrap w:val="0"/>
            <w:vAlign w:val="center"/>
          </w:tcPr>
          <w:p w14:paraId="2FEAB157">
            <w:pPr>
              <w:pStyle w:val="26"/>
              <w:adjustRightInd w:val="0"/>
              <w:snapToGrid w:val="0"/>
              <w:ind w:firstLine="0" w:firstLineChars="0"/>
              <w:jc w:val="lef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配备了灭火器、消防沙等应急器材以及防毒面具、防护服等个体防护装备。</w:t>
            </w:r>
          </w:p>
        </w:tc>
        <w:tc>
          <w:tcPr>
            <w:tcW w:w="421" w:type="pct"/>
            <w:noWrap w:val="0"/>
            <w:vAlign w:val="center"/>
          </w:tcPr>
          <w:p w14:paraId="3563A50F">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eastAsia="zh-CN"/>
              </w:rPr>
              <w:t>符合</w:t>
            </w:r>
          </w:p>
        </w:tc>
      </w:tr>
      <w:tr w14:paraId="1BF51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39855FBC">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4E40C986">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危险化学品储存柜应放置在相对固定、独立的场地，周边无明火、散发火花地点和表面炽热设备，地面应平整。</w:t>
            </w:r>
          </w:p>
        </w:tc>
        <w:tc>
          <w:tcPr>
            <w:tcW w:w="785" w:type="pct"/>
            <w:noWrap w:val="0"/>
            <w:vAlign w:val="center"/>
          </w:tcPr>
          <w:p w14:paraId="14D36E9A">
            <w:pPr>
              <w:widowControl w:val="0"/>
              <w:adjustRightInd w:val="0"/>
              <w:snapToGrid w:val="0"/>
              <w:jc w:val="center"/>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浙应急基础</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2020</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75号</w:t>
            </w:r>
            <w:r>
              <w:rPr>
                <w:rFonts w:hint="eastAsia" w:ascii="宋体" w:hAnsi="宋体" w:eastAsia="宋体" w:cs="宋体"/>
                <w:color w:val="000000" w:themeColor="text1"/>
                <w:kern w:val="0"/>
                <w:sz w:val="21"/>
                <w:szCs w:val="21"/>
                <w:highlight w:val="none"/>
              </w:rPr>
              <w:t>第8.</w:t>
            </w:r>
            <w:r>
              <w:rPr>
                <w:rFonts w:hint="eastAsia" w:ascii="宋体" w:hAnsi="宋体" w:eastAsia="宋体" w:cs="宋体"/>
                <w:color w:val="000000" w:themeColor="text1"/>
                <w:kern w:val="0"/>
                <w:sz w:val="21"/>
                <w:szCs w:val="21"/>
                <w:highlight w:val="none"/>
                <w:lang w:val="en-US" w:eastAsia="zh-CN"/>
              </w:rPr>
              <w:t>2.2</w:t>
            </w:r>
            <w:r>
              <w:rPr>
                <w:rFonts w:hint="eastAsia" w:ascii="宋体" w:hAnsi="宋体" w:eastAsia="宋体" w:cs="宋体"/>
                <w:color w:val="000000" w:themeColor="text1"/>
                <w:kern w:val="0"/>
                <w:sz w:val="21"/>
                <w:szCs w:val="21"/>
                <w:highlight w:val="none"/>
              </w:rPr>
              <w:t>条</w:t>
            </w:r>
          </w:p>
        </w:tc>
        <w:tc>
          <w:tcPr>
            <w:tcW w:w="1372" w:type="pct"/>
            <w:noWrap w:val="0"/>
            <w:vAlign w:val="center"/>
          </w:tcPr>
          <w:p w14:paraId="109E79E5">
            <w:pPr>
              <w:pStyle w:val="26"/>
              <w:adjustRightInd w:val="0"/>
              <w:snapToGrid w:val="0"/>
              <w:ind w:firstLine="0" w:firstLineChars="0"/>
              <w:rPr>
                <w:rFonts w:hint="default" w:ascii="宋体" w:hAnsi="宋体" w:eastAsia="宋体" w:cs="宋体"/>
                <w:color w:val="000000" w:themeColor="text1"/>
                <w:kern w:val="0"/>
                <w:sz w:val="21"/>
                <w:szCs w:val="21"/>
                <w:highlight w:val="none"/>
                <w:lang w:val="en-US" w:eastAsia="zh-CN"/>
              </w:rPr>
            </w:pPr>
            <w:r>
              <w:rPr>
                <w:rFonts w:hint="eastAsia" w:ascii="宋体" w:hAnsi="宋体" w:cs="宋体"/>
                <w:color w:val="000000" w:themeColor="text1"/>
                <w:kern w:val="0"/>
                <w:sz w:val="21"/>
                <w:szCs w:val="21"/>
                <w:highlight w:val="none"/>
                <w:lang w:eastAsia="zh-CN"/>
              </w:rPr>
              <w:t>过碳酸钠储存柜放置在</w:t>
            </w:r>
            <w:r>
              <w:rPr>
                <w:rFonts w:hint="eastAsia" w:ascii="宋体" w:hAnsi="宋体" w:cs="宋体"/>
                <w:color w:val="000000" w:themeColor="text1"/>
                <w:kern w:val="0"/>
                <w:sz w:val="21"/>
                <w:szCs w:val="21"/>
                <w:highlight w:val="none"/>
                <w:lang w:val="en-US" w:eastAsia="zh-CN"/>
              </w:rPr>
              <w:t>1#隔间内。</w:t>
            </w:r>
          </w:p>
        </w:tc>
        <w:tc>
          <w:tcPr>
            <w:tcW w:w="421" w:type="pct"/>
            <w:noWrap w:val="0"/>
            <w:vAlign w:val="center"/>
          </w:tcPr>
          <w:p w14:paraId="5543FF17">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eastAsia="zh-CN"/>
              </w:rPr>
              <w:t>符合</w:t>
            </w:r>
          </w:p>
        </w:tc>
      </w:tr>
      <w:tr w14:paraId="05AA9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1BDD4828">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5A98AF5D">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险化学品储存柜的制作材料应采用坚固耐用的不燃材质。处于腐蚀性环境或存放酸、碱等腐蚀性危险化学品的储存柜还应采取防腐措施。易燃易爆危险化学品储存柜柜体应静电接地良好，周边电气设施符合防爆要求。</w:t>
            </w:r>
          </w:p>
        </w:tc>
        <w:tc>
          <w:tcPr>
            <w:tcW w:w="785" w:type="pct"/>
            <w:noWrap w:val="0"/>
            <w:vAlign w:val="center"/>
          </w:tcPr>
          <w:p w14:paraId="5EEBA06C">
            <w:pPr>
              <w:widowControl w:val="0"/>
              <w:adjustRightInd w:val="0"/>
              <w:snapToGrid w:val="0"/>
              <w:jc w:val="center"/>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浙应急基础</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2020</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75号</w:t>
            </w:r>
            <w:r>
              <w:rPr>
                <w:rFonts w:hint="eastAsia" w:ascii="宋体" w:hAnsi="宋体" w:eastAsia="宋体" w:cs="宋体"/>
                <w:color w:val="000000" w:themeColor="text1"/>
                <w:kern w:val="0"/>
                <w:sz w:val="21"/>
                <w:szCs w:val="21"/>
                <w:highlight w:val="none"/>
              </w:rPr>
              <w:t>第8.</w:t>
            </w:r>
            <w:r>
              <w:rPr>
                <w:rFonts w:hint="eastAsia" w:ascii="宋体" w:hAnsi="宋体" w:eastAsia="宋体" w:cs="宋体"/>
                <w:color w:val="000000" w:themeColor="text1"/>
                <w:kern w:val="0"/>
                <w:sz w:val="21"/>
                <w:szCs w:val="21"/>
                <w:highlight w:val="none"/>
                <w:lang w:val="en-US" w:eastAsia="zh-CN"/>
              </w:rPr>
              <w:t>2.3</w:t>
            </w:r>
            <w:r>
              <w:rPr>
                <w:rFonts w:hint="eastAsia" w:ascii="宋体" w:hAnsi="宋体" w:eastAsia="宋体" w:cs="宋体"/>
                <w:color w:val="000000" w:themeColor="text1"/>
                <w:kern w:val="0"/>
                <w:sz w:val="21"/>
                <w:szCs w:val="21"/>
                <w:highlight w:val="none"/>
              </w:rPr>
              <w:t>条</w:t>
            </w:r>
          </w:p>
        </w:tc>
        <w:tc>
          <w:tcPr>
            <w:tcW w:w="1372" w:type="pct"/>
            <w:noWrap w:val="0"/>
            <w:vAlign w:val="center"/>
          </w:tcPr>
          <w:p w14:paraId="668DF144">
            <w:pPr>
              <w:pStyle w:val="26"/>
              <w:adjustRightInd w:val="0"/>
              <w:snapToGrid w:val="0"/>
              <w:ind w:firstLine="0" w:firstLineChars="0"/>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eastAsia="zh-CN"/>
              </w:rPr>
              <w:t>过碳酸钠储存柜</w:t>
            </w:r>
            <w:r>
              <w:rPr>
                <w:rFonts w:hint="eastAsia" w:ascii="宋体" w:hAnsi="宋体" w:eastAsia="宋体" w:cs="宋体"/>
                <w:color w:val="000000" w:themeColor="text1"/>
                <w:kern w:val="0"/>
                <w:sz w:val="21"/>
                <w:szCs w:val="21"/>
                <w:highlight w:val="none"/>
              </w:rPr>
              <w:t>采用</w:t>
            </w:r>
            <w:r>
              <w:rPr>
                <w:rFonts w:hint="eastAsia" w:ascii="宋体" w:hAnsi="宋体" w:cs="宋体"/>
                <w:color w:val="000000" w:themeColor="text1"/>
                <w:kern w:val="0"/>
                <w:sz w:val="21"/>
                <w:szCs w:val="21"/>
                <w:highlight w:val="none"/>
                <w:lang w:eastAsia="zh-CN"/>
              </w:rPr>
              <w:t>不锈钢</w:t>
            </w:r>
            <w:r>
              <w:rPr>
                <w:rFonts w:hint="eastAsia" w:ascii="宋体" w:hAnsi="宋体" w:eastAsia="宋体" w:cs="宋体"/>
                <w:color w:val="000000" w:themeColor="text1"/>
                <w:kern w:val="0"/>
                <w:sz w:val="21"/>
                <w:szCs w:val="21"/>
                <w:highlight w:val="none"/>
              </w:rPr>
              <w:t>材质。</w:t>
            </w:r>
          </w:p>
        </w:tc>
        <w:tc>
          <w:tcPr>
            <w:tcW w:w="421" w:type="pct"/>
            <w:noWrap w:val="0"/>
            <w:vAlign w:val="center"/>
          </w:tcPr>
          <w:p w14:paraId="5BC5451F">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eastAsia="zh-CN"/>
              </w:rPr>
              <w:t>符合</w:t>
            </w:r>
          </w:p>
        </w:tc>
      </w:tr>
      <w:tr w14:paraId="07E38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50188115">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76B58F16">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储存柜内的危险化学品应采用密封容器盛装。存放易燃易爆、毒害性危险化学品储存柜应配设排气孔，排气孔应处于开启状态且外侧不得被遮挡影响通气。</w:t>
            </w:r>
          </w:p>
        </w:tc>
        <w:tc>
          <w:tcPr>
            <w:tcW w:w="785" w:type="pct"/>
            <w:noWrap w:val="0"/>
            <w:vAlign w:val="center"/>
          </w:tcPr>
          <w:p w14:paraId="4CE51AF6">
            <w:pPr>
              <w:widowControl w:val="0"/>
              <w:adjustRightInd w:val="0"/>
              <w:snapToGrid w:val="0"/>
              <w:jc w:val="center"/>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浙应急基础</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2020</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75号</w:t>
            </w:r>
            <w:r>
              <w:rPr>
                <w:rFonts w:hint="eastAsia" w:ascii="宋体" w:hAnsi="宋体" w:eastAsia="宋体" w:cs="宋体"/>
                <w:color w:val="000000" w:themeColor="text1"/>
                <w:kern w:val="0"/>
                <w:sz w:val="21"/>
                <w:szCs w:val="21"/>
                <w:highlight w:val="none"/>
              </w:rPr>
              <w:t>第8.</w:t>
            </w:r>
            <w:r>
              <w:rPr>
                <w:rFonts w:hint="eastAsia" w:ascii="宋体" w:hAnsi="宋体" w:eastAsia="宋体" w:cs="宋体"/>
                <w:color w:val="000000" w:themeColor="text1"/>
                <w:kern w:val="0"/>
                <w:sz w:val="21"/>
                <w:szCs w:val="21"/>
                <w:highlight w:val="none"/>
                <w:lang w:val="en-US" w:eastAsia="zh-CN"/>
              </w:rPr>
              <w:t>2.4</w:t>
            </w:r>
            <w:r>
              <w:rPr>
                <w:rFonts w:hint="eastAsia" w:ascii="宋体" w:hAnsi="宋体" w:eastAsia="宋体" w:cs="宋体"/>
                <w:color w:val="000000" w:themeColor="text1"/>
                <w:kern w:val="0"/>
                <w:sz w:val="21"/>
                <w:szCs w:val="21"/>
                <w:highlight w:val="none"/>
              </w:rPr>
              <w:t>条</w:t>
            </w:r>
          </w:p>
        </w:tc>
        <w:tc>
          <w:tcPr>
            <w:tcW w:w="1372" w:type="pct"/>
            <w:noWrap w:val="0"/>
            <w:vAlign w:val="center"/>
          </w:tcPr>
          <w:p w14:paraId="7E8F3B3F">
            <w:pPr>
              <w:pStyle w:val="26"/>
              <w:adjustRightInd w:val="0"/>
              <w:snapToGrid w:val="0"/>
              <w:ind w:firstLine="0" w:firstLineChars="0"/>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eastAsia="zh-CN"/>
              </w:rPr>
              <w:t>过碳酸钠袋装</w:t>
            </w:r>
            <w:r>
              <w:rPr>
                <w:rFonts w:hint="eastAsia" w:ascii="宋体" w:hAnsi="宋体" w:eastAsia="宋体" w:cs="宋体"/>
                <w:color w:val="000000" w:themeColor="text1"/>
                <w:kern w:val="0"/>
                <w:sz w:val="21"/>
                <w:szCs w:val="21"/>
                <w:highlight w:val="none"/>
              </w:rPr>
              <w:t>。</w:t>
            </w:r>
          </w:p>
        </w:tc>
        <w:tc>
          <w:tcPr>
            <w:tcW w:w="421" w:type="pct"/>
            <w:noWrap w:val="0"/>
            <w:vAlign w:val="center"/>
          </w:tcPr>
          <w:p w14:paraId="1935E7AD">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eastAsia="zh-CN"/>
              </w:rPr>
              <w:t>符合</w:t>
            </w:r>
          </w:p>
        </w:tc>
      </w:tr>
      <w:tr w14:paraId="0BB24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4B62C892">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6FDF47A0">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化品储存柜内不得储存自燃物品（如黄磷等）、爆炸品（如硝酸铵等）和遇湿会发生燃烧爆炸的物品（如金属钠、保险粉等）。相互禁忌的危险化学品不得混存混放。对灭火器使用有特殊要求的危险化学品应设置专柜储存。</w:t>
            </w:r>
          </w:p>
        </w:tc>
        <w:tc>
          <w:tcPr>
            <w:tcW w:w="785" w:type="pct"/>
            <w:noWrap w:val="0"/>
            <w:vAlign w:val="center"/>
          </w:tcPr>
          <w:p w14:paraId="43260614">
            <w:pPr>
              <w:widowControl w:val="0"/>
              <w:adjustRightInd w:val="0"/>
              <w:snapToGrid w:val="0"/>
              <w:jc w:val="center"/>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浙应急基础</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2020</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75号</w:t>
            </w:r>
            <w:r>
              <w:rPr>
                <w:rFonts w:hint="eastAsia" w:ascii="宋体" w:hAnsi="宋体" w:eastAsia="宋体" w:cs="宋体"/>
                <w:color w:val="000000" w:themeColor="text1"/>
                <w:kern w:val="0"/>
                <w:sz w:val="21"/>
                <w:szCs w:val="21"/>
                <w:highlight w:val="none"/>
              </w:rPr>
              <w:t>第8.</w:t>
            </w:r>
            <w:r>
              <w:rPr>
                <w:rFonts w:hint="eastAsia" w:ascii="宋体" w:hAnsi="宋体" w:eastAsia="宋体" w:cs="宋体"/>
                <w:color w:val="000000" w:themeColor="text1"/>
                <w:kern w:val="0"/>
                <w:sz w:val="21"/>
                <w:szCs w:val="21"/>
                <w:highlight w:val="none"/>
                <w:lang w:val="en-US" w:eastAsia="zh-CN"/>
              </w:rPr>
              <w:t>2.5</w:t>
            </w:r>
            <w:r>
              <w:rPr>
                <w:rFonts w:hint="eastAsia" w:ascii="宋体" w:hAnsi="宋体" w:eastAsia="宋体" w:cs="宋体"/>
                <w:color w:val="000000" w:themeColor="text1"/>
                <w:kern w:val="0"/>
                <w:sz w:val="21"/>
                <w:szCs w:val="21"/>
                <w:highlight w:val="none"/>
              </w:rPr>
              <w:t>条</w:t>
            </w:r>
          </w:p>
        </w:tc>
        <w:tc>
          <w:tcPr>
            <w:tcW w:w="1372" w:type="pct"/>
            <w:noWrap w:val="0"/>
            <w:vAlign w:val="center"/>
          </w:tcPr>
          <w:p w14:paraId="416ECF32">
            <w:pPr>
              <w:pStyle w:val="26"/>
              <w:adjustRightInd w:val="0"/>
              <w:snapToGrid w:val="0"/>
              <w:ind w:firstLine="0" w:firstLineChars="0"/>
              <w:rPr>
                <w:rFonts w:hint="eastAsia" w:ascii="宋体" w:hAnsi="宋体" w:eastAsia="宋体" w:cs="宋体"/>
                <w:color w:val="000000" w:themeColor="text1"/>
                <w:kern w:val="0"/>
                <w:sz w:val="21"/>
                <w:szCs w:val="21"/>
                <w:highlight w:val="none"/>
                <w:lang w:val="en-US" w:eastAsia="zh-CN"/>
              </w:rPr>
            </w:pPr>
            <w:r>
              <w:rPr>
                <w:rFonts w:hint="eastAsia" w:ascii="宋体" w:hAnsi="宋体" w:cs="宋体"/>
                <w:color w:val="000000" w:themeColor="text1"/>
                <w:kern w:val="0"/>
                <w:sz w:val="21"/>
                <w:szCs w:val="21"/>
                <w:highlight w:val="none"/>
                <w:lang w:eastAsia="zh-CN"/>
              </w:rPr>
              <w:t>不涉及</w:t>
            </w:r>
            <w:r>
              <w:rPr>
                <w:rFonts w:hint="eastAsia" w:ascii="宋体" w:hAnsi="宋体" w:eastAsia="宋体" w:cs="宋体"/>
                <w:color w:val="000000" w:themeColor="text1"/>
                <w:kern w:val="0"/>
                <w:sz w:val="21"/>
                <w:szCs w:val="21"/>
                <w:highlight w:val="none"/>
              </w:rPr>
              <w:t>自燃物品、爆炸品</w:t>
            </w:r>
            <w:r>
              <w:rPr>
                <w:rFonts w:hint="eastAsia" w:ascii="宋体" w:hAnsi="宋体" w:cs="宋体"/>
                <w:color w:val="000000" w:themeColor="text1"/>
                <w:kern w:val="0"/>
                <w:sz w:val="21"/>
                <w:szCs w:val="21"/>
                <w:highlight w:val="none"/>
                <w:lang w:eastAsia="zh-CN"/>
              </w:rPr>
              <w:t>，储存柜内未储存</w:t>
            </w:r>
            <w:r>
              <w:rPr>
                <w:rFonts w:hint="eastAsia" w:ascii="宋体" w:hAnsi="宋体" w:eastAsia="宋体" w:cs="宋体"/>
                <w:color w:val="000000" w:themeColor="text1"/>
                <w:kern w:val="0"/>
                <w:sz w:val="21"/>
                <w:szCs w:val="21"/>
                <w:highlight w:val="none"/>
              </w:rPr>
              <w:t>保险粉</w:t>
            </w:r>
            <w:r>
              <w:rPr>
                <w:rFonts w:hint="eastAsia" w:ascii="宋体" w:hAnsi="宋体" w:cs="宋体"/>
                <w:color w:val="000000" w:themeColor="text1"/>
                <w:kern w:val="0"/>
                <w:sz w:val="21"/>
                <w:szCs w:val="21"/>
                <w:highlight w:val="none"/>
                <w:lang w:eastAsia="zh-CN"/>
              </w:rPr>
              <w:t>。乙酸和过碳酸钠分别放置在</w:t>
            </w:r>
            <w:r>
              <w:rPr>
                <w:rFonts w:hint="eastAsia" w:ascii="宋体" w:hAnsi="宋体" w:cs="宋体"/>
                <w:color w:val="000000" w:themeColor="text1"/>
                <w:kern w:val="0"/>
                <w:sz w:val="21"/>
                <w:szCs w:val="21"/>
                <w:highlight w:val="none"/>
                <w:lang w:val="en-US" w:eastAsia="zh-CN"/>
              </w:rPr>
              <w:t>1#隔间内</w:t>
            </w:r>
            <w:r>
              <w:rPr>
                <w:rFonts w:hint="eastAsia" w:ascii="宋体" w:hAnsi="宋体" w:cs="宋体"/>
                <w:color w:val="000000" w:themeColor="text1"/>
                <w:kern w:val="0"/>
                <w:sz w:val="21"/>
                <w:szCs w:val="21"/>
                <w:highlight w:val="none"/>
                <w:lang w:eastAsia="zh-CN"/>
              </w:rPr>
              <w:t>过道两侧的围堰内，且过碳酸钠储存在储存柜内。</w:t>
            </w:r>
          </w:p>
        </w:tc>
        <w:tc>
          <w:tcPr>
            <w:tcW w:w="421" w:type="pct"/>
            <w:noWrap w:val="0"/>
            <w:vAlign w:val="center"/>
          </w:tcPr>
          <w:p w14:paraId="4176F64B">
            <w:pPr>
              <w:widowControl w:val="0"/>
              <w:adjustRightInd w:val="0"/>
              <w:snapToGrid w:val="0"/>
              <w:jc w:val="center"/>
              <w:rPr>
                <w:rFonts w:hint="default"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符合</w:t>
            </w:r>
          </w:p>
        </w:tc>
      </w:tr>
      <w:tr w14:paraId="062CB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70AF0730">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26048E1A">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禁止在储存柜内进行分（换）装、拆分、开箱（袋）、开桶（瓶）和调配等作业。</w:t>
            </w:r>
          </w:p>
        </w:tc>
        <w:tc>
          <w:tcPr>
            <w:tcW w:w="785" w:type="pct"/>
            <w:noWrap w:val="0"/>
            <w:vAlign w:val="center"/>
          </w:tcPr>
          <w:p w14:paraId="0834F31C">
            <w:pPr>
              <w:widowControl w:val="0"/>
              <w:adjustRightInd w:val="0"/>
              <w:snapToGrid w:val="0"/>
              <w:jc w:val="center"/>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浙应急基础</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2020</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75号</w:t>
            </w:r>
            <w:r>
              <w:rPr>
                <w:rFonts w:hint="eastAsia" w:ascii="宋体" w:hAnsi="宋体" w:eastAsia="宋体" w:cs="宋体"/>
                <w:color w:val="000000" w:themeColor="text1"/>
                <w:kern w:val="0"/>
                <w:sz w:val="21"/>
                <w:szCs w:val="21"/>
                <w:highlight w:val="none"/>
              </w:rPr>
              <w:t>第8.</w:t>
            </w:r>
            <w:r>
              <w:rPr>
                <w:rFonts w:hint="eastAsia" w:ascii="宋体" w:hAnsi="宋体" w:eastAsia="宋体" w:cs="宋体"/>
                <w:color w:val="000000" w:themeColor="text1"/>
                <w:kern w:val="0"/>
                <w:sz w:val="21"/>
                <w:szCs w:val="21"/>
                <w:highlight w:val="none"/>
                <w:lang w:val="en-US" w:eastAsia="zh-CN"/>
              </w:rPr>
              <w:t>2.7</w:t>
            </w:r>
            <w:r>
              <w:rPr>
                <w:rFonts w:hint="eastAsia" w:ascii="宋体" w:hAnsi="宋体" w:eastAsia="宋体" w:cs="宋体"/>
                <w:color w:val="000000" w:themeColor="text1"/>
                <w:kern w:val="0"/>
                <w:sz w:val="21"/>
                <w:szCs w:val="21"/>
                <w:highlight w:val="none"/>
              </w:rPr>
              <w:t>条</w:t>
            </w:r>
          </w:p>
        </w:tc>
        <w:tc>
          <w:tcPr>
            <w:tcW w:w="1372" w:type="pct"/>
            <w:noWrap w:val="0"/>
            <w:vAlign w:val="center"/>
          </w:tcPr>
          <w:p w14:paraId="274A79BE">
            <w:pPr>
              <w:pStyle w:val="26"/>
              <w:adjustRightInd w:val="0"/>
              <w:snapToGrid w:val="0"/>
              <w:ind w:firstLine="0" w:firstLineChars="0"/>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eastAsia="zh-CN"/>
              </w:rPr>
              <w:t>未</w:t>
            </w:r>
            <w:r>
              <w:rPr>
                <w:rFonts w:hint="eastAsia" w:ascii="宋体" w:hAnsi="宋体" w:eastAsia="宋体" w:cs="宋体"/>
                <w:color w:val="000000" w:themeColor="text1"/>
                <w:kern w:val="0"/>
                <w:sz w:val="21"/>
                <w:szCs w:val="21"/>
                <w:highlight w:val="none"/>
              </w:rPr>
              <w:t>在储存柜内进行分（换）装、拆分、开袋、开</w:t>
            </w:r>
            <w:r>
              <w:rPr>
                <w:rFonts w:hint="eastAsia" w:ascii="宋体" w:hAnsi="宋体" w:cs="宋体"/>
                <w:color w:val="000000" w:themeColor="text1"/>
                <w:kern w:val="0"/>
                <w:sz w:val="21"/>
                <w:szCs w:val="21"/>
                <w:highlight w:val="none"/>
                <w:lang w:eastAsia="zh-CN"/>
              </w:rPr>
              <w:t>袋</w:t>
            </w:r>
            <w:r>
              <w:rPr>
                <w:rFonts w:hint="eastAsia" w:ascii="宋体" w:hAnsi="宋体" w:eastAsia="宋体" w:cs="宋体"/>
                <w:color w:val="000000" w:themeColor="text1"/>
                <w:kern w:val="0"/>
                <w:sz w:val="21"/>
                <w:szCs w:val="21"/>
                <w:highlight w:val="none"/>
              </w:rPr>
              <w:t>和调配等作业。</w:t>
            </w:r>
          </w:p>
        </w:tc>
        <w:tc>
          <w:tcPr>
            <w:tcW w:w="421" w:type="pct"/>
            <w:noWrap w:val="0"/>
            <w:vAlign w:val="center"/>
          </w:tcPr>
          <w:p w14:paraId="075040D4">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eastAsia="zh-CN"/>
              </w:rPr>
              <w:t>符合</w:t>
            </w:r>
          </w:p>
        </w:tc>
      </w:tr>
      <w:tr w14:paraId="61853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1661FBCF">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28EA2FD8">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应选择符合危险化学品的特性、防火要求及化学品安全技术说明书中储存要求的仓储设施进行储存。</w:t>
            </w:r>
          </w:p>
        </w:tc>
        <w:tc>
          <w:tcPr>
            <w:tcW w:w="785" w:type="pct"/>
            <w:noWrap w:val="0"/>
            <w:vAlign w:val="center"/>
          </w:tcPr>
          <w:p w14:paraId="6CE90338">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5.2</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4076A963">
            <w:pPr>
              <w:widowControl w:val="0"/>
              <w:adjustRightInd w:val="0"/>
              <w:snapToGrid w:val="0"/>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rPr>
              <w:t>仓储设施</w:t>
            </w:r>
            <w:r>
              <w:rPr>
                <w:rFonts w:hint="eastAsia" w:cs="宋体"/>
                <w:color w:val="000000" w:themeColor="text1"/>
                <w:sz w:val="21"/>
                <w:szCs w:val="21"/>
                <w:highlight w:val="none"/>
                <w:lang w:eastAsia="zh-CN"/>
              </w:rPr>
              <w:t>符合要求</w:t>
            </w:r>
            <w:r>
              <w:rPr>
                <w:rFonts w:hint="eastAsia" w:ascii="宋体" w:hAnsi="宋体" w:eastAsia="宋体" w:cs="宋体"/>
                <w:color w:val="000000" w:themeColor="text1"/>
                <w:sz w:val="21"/>
                <w:szCs w:val="21"/>
                <w:highlight w:val="none"/>
                <w:lang w:eastAsia="zh-CN"/>
              </w:rPr>
              <w:t>。</w:t>
            </w:r>
          </w:p>
        </w:tc>
        <w:tc>
          <w:tcPr>
            <w:tcW w:w="421" w:type="pct"/>
            <w:noWrap w:val="0"/>
            <w:vAlign w:val="center"/>
          </w:tcPr>
          <w:p w14:paraId="126DE7A0">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4A4E5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10274672">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16A45CFA">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危险化学品的储存配存</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应符合附录A及其化学品安全技术说明书的要求。</w:t>
            </w:r>
          </w:p>
        </w:tc>
        <w:tc>
          <w:tcPr>
            <w:tcW w:w="785" w:type="pct"/>
            <w:noWrap w:val="0"/>
            <w:vAlign w:val="center"/>
          </w:tcPr>
          <w:p w14:paraId="67EAF1D0">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5.5</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15678C32">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危险化学品的储存配存</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符合附录A及其化学品安全技术说明书的要求。</w:t>
            </w:r>
          </w:p>
        </w:tc>
        <w:tc>
          <w:tcPr>
            <w:tcW w:w="421" w:type="pct"/>
            <w:noWrap w:val="0"/>
            <w:vAlign w:val="center"/>
          </w:tcPr>
          <w:p w14:paraId="2A5F7FB3">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5C1A0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7920B086">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3FCBCE03">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应按照化学品安全技术说明书及装卸要求进行作业。</w:t>
            </w:r>
          </w:p>
        </w:tc>
        <w:tc>
          <w:tcPr>
            <w:tcW w:w="785" w:type="pct"/>
            <w:noWrap w:val="0"/>
            <w:vAlign w:val="center"/>
          </w:tcPr>
          <w:p w14:paraId="33D81EB0">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6.l.l</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16763E4F">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按照化学品安全技术说明书及装卸要求进行作业。</w:t>
            </w:r>
          </w:p>
        </w:tc>
        <w:tc>
          <w:tcPr>
            <w:tcW w:w="421" w:type="pct"/>
            <w:noWrap w:val="0"/>
            <w:vAlign w:val="center"/>
          </w:tcPr>
          <w:p w14:paraId="1442955A">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40EE4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0342976F">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3524741E">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应做到轻拿轻放</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不应拖拉、翻滚、撞击、摩擦、摔扔、挤压等。</w:t>
            </w:r>
          </w:p>
        </w:tc>
        <w:tc>
          <w:tcPr>
            <w:tcW w:w="785" w:type="pct"/>
            <w:noWrap w:val="0"/>
            <w:vAlign w:val="center"/>
          </w:tcPr>
          <w:p w14:paraId="7B6C54B4">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6.l.2</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5C95271B">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轻拿轻放</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eastAsia="zh-CN"/>
              </w:rPr>
              <w:t>未</w:t>
            </w:r>
            <w:r>
              <w:rPr>
                <w:rFonts w:hint="eastAsia" w:ascii="宋体" w:hAnsi="宋体" w:eastAsia="宋体" w:cs="宋体"/>
                <w:color w:val="000000" w:themeColor="text1"/>
                <w:sz w:val="21"/>
                <w:szCs w:val="21"/>
                <w:highlight w:val="none"/>
              </w:rPr>
              <w:t>拖拉、翻滚、撞击、摩擦、摔扔、挤压等。</w:t>
            </w:r>
          </w:p>
        </w:tc>
        <w:tc>
          <w:tcPr>
            <w:tcW w:w="421" w:type="pct"/>
            <w:noWrap w:val="0"/>
            <w:vAlign w:val="center"/>
          </w:tcPr>
          <w:p w14:paraId="120125AE">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51058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06EF86EB">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23ED8909">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危险化学品堆码应整齐、牢固、无倒置</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不应遮挡消防设备、安全设施、安全标志和通道。</w:t>
            </w:r>
          </w:p>
        </w:tc>
        <w:tc>
          <w:tcPr>
            <w:tcW w:w="785" w:type="pct"/>
            <w:noWrap w:val="0"/>
            <w:vAlign w:val="center"/>
          </w:tcPr>
          <w:p w14:paraId="7067A092">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6.2.l</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3B45AB7C">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堆码整齐、牢固、无倒置</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eastAsia="zh-CN"/>
              </w:rPr>
              <w:t>未</w:t>
            </w:r>
            <w:r>
              <w:rPr>
                <w:rFonts w:hint="eastAsia" w:ascii="宋体" w:hAnsi="宋体" w:eastAsia="宋体" w:cs="宋体"/>
                <w:color w:val="000000" w:themeColor="text1"/>
                <w:sz w:val="21"/>
                <w:szCs w:val="21"/>
                <w:highlight w:val="none"/>
              </w:rPr>
              <w:t>遮挡消防设备、安全设施、安全标志和通道。</w:t>
            </w:r>
          </w:p>
        </w:tc>
        <w:tc>
          <w:tcPr>
            <w:tcW w:w="421" w:type="pct"/>
            <w:noWrap w:val="0"/>
            <w:vAlign w:val="center"/>
          </w:tcPr>
          <w:p w14:paraId="227CBF4E">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5E86A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11AC11C8">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3A843337">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除200L及以上的钢桶、气体钢瓶外</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其他包装的危险化学品不应直接与地面接触</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垫底高度不小于10cm。</w:t>
            </w:r>
          </w:p>
        </w:tc>
        <w:tc>
          <w:tcPr>
            <w:tcW w:w="785" w:type="pct"/>
            <w:noWrap w:val="0"/>
            <w:vAlign w:val="center"/>
          </w:tcPr>
          <w:p w14:paraId="4EE302AE">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6.2.2</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40770086">
            <w:pPr>
              <w:widowControl w:val="0"/>
              <w:adjustRightInd w:val="0"/>
              <w:snapToGrid w:val="0"/>
              <w:rPr>
                <w:rFonts w:hint="eastAsia" w:ascii="宋体" w:hAnsi="宋体" w:eastAsia="宋体" w:cs="宋体"/>
                <w:color w:val="000000" w:themeColor="text1"/>
                <w:kern w:val="0"/>
                <w:sz w:val="21"/>
                <w:szCs w:val="21"/>
                <w:highlight w:val="none"/>
              </w:rPr>
            </w:pPr>
            <w:r>
              <w:rPr>
                <w:rFonts w:hint="eastAsia" w:cs="宋体"/>
                <w:color w:val="000000" w:themeColor="text1"/>
                <w:kern w:val="0"/>
                <w:sz w:val="21"/>
                <w:szCs w:val="21"/>
                <w:highlight w:val="none"/>
                <w:lang w:eastAsia="zh-CN"/>
              </w:rPr>
              <w:t>乙酸、次氯酸钠溶液</w:t>
            </w:r>
            <w:r>
              <w:rPr>
                <w:rFonts w:hint="eastAsia" w:ascii="宋体" w:hAnsi="宋体" w:eastAsia="宋体" w:cs="宋体"/>
                <w:color w:val="000000" w:themeColor="text1"/>
                <w:sz w:val="21"/>
                <w:szCs w:val="21"/>
                <w:highlight w:val="none"/>
              </w:rPr>
              <w:t>直接</w:t>
            </w:r>
            <w:r>
              <w:rPr>
                <w:rFonts w:hint="eastAsia" w:cs="宋体"/>
                <w:color w:val="000000" w:themeColor="text1"/>
                <w:sz w:val="21"/>
                <w:szCs w:val="21"/>
                <w:highlight w:val="none"/>
                <w:lang w:eastAsia="zh-CN"/>
              </w:rPr>
              <w:t>落地存放</w:t>
            </w:r>
            <w:r>
              <w:rPr>
                <w:rFonts w:hint="eastAsia" w:ascii="宋体" w:hAnsi="宋体" w:eastAsia="宋体" w:cs="宋体"/>
                <w:color w:val="000000" w:themeColor="text1"/>
                <w:sz w:val="21"/>
                <w:szCs w:val="21"/>
                <w:highlight w:val="none"/>
                <w:lang w:eastAsia="zh-CN"/>
              </w:rPr>
              <w:t>。</w:t>
            </w:r>
          </w:p>
        </w:tc>
        <w:tc>
          <w:tcPr>
            <w:tcW w:w="421" w:type="pct"/>
            <w:noWrap w:val="0"/>
            <w:vAlign w:val="center"/>
          </w:tcPr>
          <w:p w14:paraId="12DA7E75">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cs="宋体"/>
                <w:color w:val="000000" w:themeColor="text1"/>
                <w:sz w:val="21"/>
                <w:szCs w:val="21"/>
                <w:highlight w:val="none"/>
                <w:lang w:eastAsia="zh-CN"/>
              </w:rPr>
              <w:t>不</w:t>
            </w:r>
            <w:r>
              <w:rPr>
                <w:rFonts w:hint="eastAsia" w:ascii="宋体" w:hAnsi="宋体" w:eastAsia="宋体" w:cs="宋体"/>
                <w:color w:val="000000" w:themeColor="text1"/>
                <w:sz w:val="21"/>
                <w:szCs w:val="21"/>
                <w:highlight w:val="none"/>
                <w:lang w:eastAsia="zh-CN"/>
              </w:rPr>
              <w:t>符合</w:t>
            </w:r>
          </w:p>
        </w:tc>
      </w:tr>
      <w:tr w14:paraId="7101A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08B932EB">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40D2D8AA">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堆码应符合包装标志要求</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包装无堆码标志的危险化学品堆码高度应不超过3m</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不含托盘等的高度</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w:t>
            </w:r>
          </w:p>
        </w:tc>
        <w:tc>
          <w:tcPr>
            <w:tcW w:w="785" w:type="pct"/>
            <w:noWrap w:val="0"/>
            <w:vAlign w:val="center"/>
          </w:tcPr>
          <w:p w14:paraId="20CA9E45">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6.2.3</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06A27C60">
            <w:pPr>
              <w:widowControl w:val="0"/>
              <w:adjustRightInd w:val="0"/>
              <w:snapToGrid w:val="0"/>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rPr>
              <w:t>堆码符合包装标志要求</w:t>
            </w:r>
            <w:r>
              <w:rPr>
                <w:rFonts w:hint="eastAsia" w:ascii="宋体" w:hAnsi="宋体" w:eastAsia="宋体" w:cs="宋体"/>
                <w:color w:val="000000" w:themeColor="text1"/>
                <w:sz w:val="21"/>
                <w:szCs w:val="21"/>
                <w:highlight w:val="none"/>
                <w:lang w:eastAsia="zh-CN"/>
              </w:rPr>
              <w:t>。</w:t>
            </w:r>
          </w:p>
        </w:tc>
        <w:tc>
          <w:tcPr>
            <w:tcW w:w="421" w:type="pct"/>
            <w:noWrap w:val="0"/>
            <w:vAlign w:val="center"/>
          </w:tcPr>
          <w:p w14:paraId="067B2D01">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54D8E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519E8C66">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00DA1E3A">
            <w:pPr>
              <w:widowControl w:val="0"/>
              <w:adjustRightInd w:val="0"/>
              <w:snapToGrid w:val="0"/>
              <w:rPr>
                <w:rFonts w:hint="eastAsia"/>
                <w:color w:val="000000" w:themeColor="text1"/>
                <w:sz w:val="21"/>
                <w:szCs w:val="21"/>
                <w:highlight w:val="none"/>
              </w:rPr>
            </w:pPr>
            <w:r>
              <w:rPr>
                <w:rFonts w:hint="eastAsia"/>
                <w:color w:val="000000" w:themeColor="text1"/>
                <w:sz w:val="21"/>
                <w:szCs w:val="21"/>
                <w:highlight w:val="none"/>
              </w:rPr>
              <w:t>仓库堆垛间距应满足以下要求</w:t>
            </w:r>
            <w:r>
              <w:rPr>
                <w:rFonts w:hint="eastAsia"/>
                <w:color w:val="000000" w:themeColor="text1"/>
                <w:sz w:val="21"/>
                <w:szCs w:val="21"/>
                <w:highlight w:val="none"/>
                <w:lang w:eastAsia="zh-CN"/>
              </w:rPr>
              <w:t>：</w:t>
            </w:r>
          </w:p>
          <w:p w14:paraId="5A6E07B1">
            <w:pPr>
              <w:widowControl w:val="0"/>
              <w:adjustRightInd w:val="0"/>
              <w:snapToGrid w:val="0"/>
              <w:rPr>
                <w:rFonts w:hint="default"/>
                <w:color w:val="000000" w:themeColor="text1"/>
                <w:sz w:val="21"/>
                <w:szCs w:val="21"/>
                <w:highlight w:val="none"/>
              </w:rPr>
            </w:pPr>
            <w:r>
              <w:rPr>
                <w:rFonts w:hint="eastAsia"/>
                <w:color w:val="000000" w:themeColor="text1"/>
                <w:sz w:val="21"/>
                <w:szCs w:val="21"/>
                <w:highlight w:val="none"/>
                <w:lang w:val="en-US" w:eastAsia="zh-CN"/>
              </w:rPr>
              <w:t>a）</w:t>
            </w:r>
            <w:r>
              <w:rPr>
                <w:rFonts w:hint="eastAsia"/>
                <w:color w:val="000000" w:themeColor="text1"/>
                <w:sz w:val="21"/>
                <w:szCs w:val="21"/>
                <w:highlight w:val="none"/>
              </w:rPr>
              <w:t>主通道大于或等于</w:t>
            </w:r>
            <w:r>
              <w:rPr>
                <w:rFonts w:hint="eastAsia"/>
                <w:color w:val="000000" w:themeColor="text1"/>
                <w:sz w:val="21"/>
                <w:szCs w:val="21"/>
                <w:highlight w:val="none"/>
                <w:lang w:val="en-US" w:eastAsia="zh-CN"/>
              </w:rPr>
              <w:t>200cm；</w:t>
            </w:r>
          </w:p>
          <w:p w14:paraId="77AA2F6B">
            <w:pPr>
              <w:widowControl w:val="0"/>
              <w:adjustRightInd w:val="0"/>
              <w:snapToGrid w:val="0"/>
              <w:rPr>
                <w:rFonts w:hint="default"/>
                <w:color w:val="000000" w:themeColor="text1"/>
                <w:sz w:val="21"/>
                <w:szCs w:val="21"/>
                <w:highlight w:val="none"/>
              </w:rPr>
            </w:pPr>
            <w:r>
              <w:rPr>
                <w:rFonts w:hint="eastAsia"/>
                <w:color w:val="000000" w:themeColor="text1"/>
                <w:sz w:val="21"/>
                <w:szCs w:val="21"/>
                <w:highlight w:val="none"/>
                <w:lang w:val="en-US" w:eastAsia="zh-CN"/>
              </w:rPr>
              <w:t>b）</w:t>
            </w:r>
            <w:r>
              <w:rPr>
                <w:rFonts w:hint="eastAsia"/>
                <w:color w:val="000000" w:themeColor="text1"/>
                <w:sz w:val="21"/>
                <w:szCs w:val="21"/>
                <w:highlight w:val="none"/>
              </w:rPr>
              <w:t>墙距大于或等于</w:t>
            </w:r>
            <w:r>
              <w:rPr>
                <w:rFonts w:hint="eastAsia"/>
                <w:color w:val="000000" w:themeColor="text1"/>
                <w:sz w:val="21"/>
                <w:szCs w:val="21"/>
                <w:highlight w:val="none"/>
                <w:lang w:eastAsia="zh-CN"/>
              </w:rPr>
              <w:t>5</w:t>
            </w:r>
            <w:r>
              <w:rPr>
                <w:rFonts w:hint="eastAsia"/>
                <w:color w:val="000000" w:themeColor="text1"/>
                <w:sz w:val="21"/>
                <w:szCs w:val="21"/>
                <w:highlight w:val="none"/>
                <w:lang w:val="en-US" w:eastAsia="zh-CN"/>
              </w:rPr>
              <w:t>0cm；</w:t>
            </w:r>
          </w:p>
          <w:p w14:paraId="60DA84C3">
            <w:pPr>
              <w:widowControl w:val="0"/>
              <w:adjustRightInd w:val="0"/>
              <w:snapToGrid w:val="0"/>
              <w:rPr>
                <w:rFonts w:hint="default"/>
                <w:color w:val="000000" w:themeColor="text1"/>
                <w:sz w:val="21"/>
                <w:szCs w:val="21"/>
                <w:highlight w:val="none"/>
              </w:rPr>
            </w:pPr>
            <w:r>
              <w:rPr>
                <w:rFonts w:hint="eastAsia"/>
                <w:color w:val="000000" w:themeColor="text1"/>
                <w:sz w:val="21"/>
                <w:szCs w:val="21"/>
                <w:highlight w:val="none"/>
                <w:lang w:val="en-US" w:eastAsia="zh-CN"/>
              </w:rPr>
              <w:t>c）</w:t>
            </w:r>
            <w:r>
              <w:rPr>
                <w:rFonts w:hint="eastAsia"/>
                <w:color w:val="000000" w:themeColor="text1"/>
                <w:sz w:val="21"/>
                <w:szCs w:val="21"/>
                <w:highlight w:val="none"/>
              </w:rPr>
              <w:t>柱距大于或等于</w:t>
            </w:r>
            <w:r>
              <w:rPr>
                <w:rFonts w:hint="eastAsia"/>
                <w:color w:val="000000" w:themeColor="text1"/>
                <w:sz w:val="21"/>
                <w:szCs w:val="21"/>
                <w:highlight w:val="none"/>
                <w:lang w:eastAsia="zh-CN"/>
              </w:rPr>
              <w:t>3</w:t>
            </w:r>
            <w:r>
              <w:rPr>
                <w:rFonts w:hint="eastAsia"/>
                <w:color w:val="000000" w:themeColor="text1"/>
                <w:sz w:val="21"/>
                <w:szCs w:val="21"/>
                <w:highlight w:val="none"/>
                <w:lang w:val="en-US" w:eastAsia="zh-CN"/>
              </w:rPr>
              <w:t>0cm；</w:t>
            </w:r>
          </w:p>
          <w:p w14:paraId="718FE5FE">
            <w:pPr>
              <w:widowControl w:val="0"/>
              <w:adjustRightInd w:val="0"/>
              <w:snapToGrid w:val="0"/>
              <w:rPr>
                <w:rFonts w:hint="eastAsia"/>
                <w:color w:val="000000" w:themeColor="text1"/>
                <w:sz w:val="21"/>
                <w:szCs w:val="21"/>
                <w:highlight w:val="none"/>
              </w:rPr>
            </w:pPr>
            <w:r>
              <w:rPr>
                <w:rFonts w:hint="eastAsia"/>
                <w:color w:val="000000" w:themeColor="text1"/>
                <w:sz w:val="21"/>
                <w:szCs w:val="21"/>
                <w:highlight w:val="none"/>
                <w:lang w:val="en-US" w:eastAsia="zh-CN"/>
              </w:rPr>
              <w:t>d）</w:t>
            </w:r>
            <w:r>
              <w:rPr>
                <w:rFonts w:hint="eastAsia"/>
                <w:color w:val="000000" w:themeColor="text1"/>
                <w:sz w:val="21"/>
                <w:szCs w:val="21"/>
                <w:highlight w:val="none"/>
              </w:rPr>
              <w:t>垛距大于或等于</w:t>
            </w:r>
            <w:r>
              <w:rPr>
                <w:rFonts w:hint="eastAsia"/>
                <w:color w:val="000000" w:themeColor="text1"/>
                <w:sz w:val="21"/>
                <w:szCs w:val="21"/>
                <w:highlight w:val="none"/>
                <w:lang w:eastAsia="zh-CN"/>
              </w:rPr>
              <w:t>1</w:t>
            </w:r>
            <w:r>
              <w:rPr>
                <w:rFonts w:hint="eastAsia"/>
                <w:color w:val="000000" w:themeColor="text1"/>
                <w:sz w:val="21"/>
                <w:szCs w:val="21"/>
                <w:highlight w:val="none"/>
                <w:lang w:val="en-US" w:eastAsia="zh-CN"/>
              </w:rPr>
              <w:t>00cm（</w:t>
            </w:r>
            <w:r>
              <w:rPr>
                <w:rFonts w:hint="eastAsia"/>
                <w:color w:val="000000" w:themeColor="text1"/>
                <w:sz w:val="21"/>
                <w:szCs w:val="21"/>
                <w:highlight w:val="none"/>
              </w:rPr>
              <w:t>每个堆垛的面积不应大于</w:t>
            </w:r>
            <w:r>
              <w:rPr>
                <w:rFonts w:hint="eastAsia"/>
                <w:color w:val="000000" w:themeColor="text1"/>
                <w:sz w:val="21"/>
                <w:szCs w:val="21"/>
                <w:highlight w:val="none"/>
                <w:lang w:val="en-US" w:eastAsia="zh-CN"/>
              </w:rPr>
              <w:t>150m</w:t>
            </w:r>
            <w:r>
              <w:rPr>
                <w:rFonts w:hint="eastAsia"/>
                <w:color w:val="000000" w:themeColor="text1"/>
                <w:sz w:val="21"/>
                <w:szCs w:val="21"/>
                <w:highlight w:val="none"/>
                <w:vertAlign w:val="superscript"/>
                <w:lang w:val="en-US" w:eastAsia="zh-CN"/>
              </w:rPr>
              <w:t>2</w:t>
            </w:r>
            <w:r>
              <w:rPr>
                <w:rFonts w:hint="eastAsia"/>
                <w:color w:val="000000" w:themeColor="text1"/>
                <w:sz w:val="21"/>
                <w:szCs w:val="21"/>
                <w:highlight w:val="none"/>
                <w:lang w:val="en-US" w:eastAsia="zh-CN"/>
              </w:rPr>
              <w:t>）</w:t>
            </w:r>
          </w:p>
          <w:p w14:paraId="2F66656D">
            <w:pPr>
              <w:widowControl w:val="0"/>
              <w:adjustRightInd w:val="0"/>
              <w:snapToGrid w:val="0"/>
              <w:rPr>
                <w:rFonts w:hint="default" w:ascii="宋体" w:hAnsi="宋体" w:eastAsia="宋体" w:cs="宋体"/>
                <w:color w:val="000000" w:themeColor="text1"/>
                <w:sz w:val="21"/>
                <w:szCs w:val="21"/>
                <w:highlight w:val="none"/>
                <w:lang w:val="en-US" w:eastAsia="zh-CN"/>
              </w:rPr>
            </w:pPr>
            <w:r>
              <w:rPr>
                <w:rFonts w:hint="eastAsia"/>
                <w:color w:val="000000" w:themeColor="text1"/>
                <w:sz w:val="21"/>
                <w:szCs w:val="21"/>
                <w:highlight w:val="none"/>
                <w:lang w:val="en-US" w:eastAsia="zh-CN"/>
              </w:rPr>
              <w:t>a）</w:t>
            </w:r>
            <w:r>
              <w:rPr>
                <w:rFonts w:hint="eastAsia"/>
                <w:color w:val="000000" w:themeColor="text1"/>
                <w:sz w:val="21"/>
                <w:szCs w:val="21"/>
                <w:highlight w:val="none"/>
              </w:rPr>
              <w:t>灯距大于或等于</w:t>
            </w:r>
            <w:r>
              <w:rPr>
                <w:rFonts w:hint="eastAsia"/>
                <w:color w:val="000000" w:themeColor="text1"/>
                <w:sz w:val="21"/>
                <w:szCs w:val="21"/>
                <w:highlight w:val="none"/>
                <w:lang w:eastAsia="zh-CN"/>
              </w:rPr>
              <w:t>5</w:t>
            </w:r>
            <w:r>
              <w:rPr>
                <w:rFonts w:hint="eastAsia"/>
                <w:color w:val="000000" w:themeColor="text1"/>
                <w:sz w:val="21"/>
                <w:szCs w:val="21"/>
                <w:highlight w:val="none"/>
                <w:lang w:val="en-US" w:eastAsia="zh-CN"/>
              </w:rPr>
              <w:t>0cm。</w:t>
            </w:r>
          </w:p>
        </w:tc>
        <w:tc>
          <w:tcPr>
            <w:tcW w:w="785" w:type="pct"/>
            <w:noWrap w:val="0"/>
            <w:vAlign w:val="center"/>
          </w:tcPr>
          <w:p w14:paraId="1E377ADE">
            <w:pPr>
              <w:widowControl w:val="0"/>
              <w:adjustRightInd w:val="0"/>
              <w:snapToGrid w:val="0"/>
              <w:jc w:val="center"/>
              <w:rPr>
                <w:rFonts w:hint="eastAsia" w:ascii="宋体" w:hAnsi="宋体" w:eastAsia="宋体" w:cs="宋体"/>
                <w:color w:val="000000" w:themeColor="text1"/>
                <w:kern w:val="0"/>
                <w:sz w:val="21"/>
                <w:szCs w:val="21"/>
                <w:highlight w:val="none"/>
                <w:lang w:eastAsia="zh-Hans"/>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6.2.</w:t>
            </w:r>
            <w:r>
              <w:rPr>
                <w:rFonts w:hint="eastAsia" w:ascii="宋体" w:hAnsi="宋体" w:eastAsia="宋体" w:cs="宋体"/>
                <w:color w:val="000000" w:themeColor="text1"/>
                <w:sz w:val="21"/>
                <w:szCs w:val="21"/>
                <w:highlight w:val="none"/>
                <w:lang w:val="en-US" w:eastAsia="zh-CN"/>
              </w:rPr>
              <w:t>5</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6F87F572">
            <w:pPr>
              <w:widowControl w:val="0"/>
              <w:adjustRightInd w:val="0"/>
              <w:snapToGrid w:val="0"/>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eastAsia="zh-CN"/>
              </w:rPr>
              <w:t>危险化学品备货库房</w:t>
            </w:r>
            <w:r>
              <w:rPr>
                <w:rFonts w:hint="eastAsia"/>
                <w:color w:val="000000" w:themeColor="text1"/>
                <w:sz w:val="21"/>
                <w:szCs w:val="21"/>
                <w:highlight w:val="none"/>
              </w:rPr>
              <w:t>堆垛间距</w:t>
            </w:r>
            <w:r>
              <w:rPr>
                <w:rFonts w:hint="eastAsia"/>
                <w:color w:val="000000" w:themeColor="text1"/>
                <w:sz w:val="21"/>
                <w:szCs w:val="21"/>
                <w:highlight w:val="none"/>
                <w:lang w:eastAsia="zh-CN"/>
              </w:rPr>
              <w:t>不满足</w:t>
            </w: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kern w:val="0"/>
                <w:sz w:val="21"/>
                <w:szCs w:val="21"/>
                <w:highlight w:val="none"/>
                <w:lang w:eastAsia="zh-CN"/>
              </w:rPr>
              <w:t>要求。</w:t>
            </w:r>
          </w:p>
        </w:tc>
        <w:tc>
          <w:tcPr>
            <w:tcW w:w="421" w:type="pct"/>
            <w:noWrap w:val="0"/>
            <w:vAlign w:val="center"/>
          </w:tcPr>
          <w:p w14:paraId="2C659472">
            <w:pPr>
              <w:widowControl w:val="0"/>
              <w:adjustRightInd w:val="0"/>
              <w:snapToGrid w:val="0"/>
              <w:jc w:val="center"/>
              <w:rPr>
                <w:rFonts w:hint="eastAsia" w:ascii="宋体" w:hAnsi="宋体" w:eastAsia="宋体" w:cs="宋体"/>
                <w:color w:val="000000" w:themeColor="text1"/>
                <w:sz w:val="21"/>
                <w:szCs w:val="21"/>
                <w:highlight w:val="none"/>
                <w:lang w:val="en-US" w:eastAsia="zh-CN"/>
              </w:rPr>
            </w:pPr>
            <w:r>
              <w:rPr>
                <w:rFonts w:hint="eastAsia" w:cs="宋体"/>
                <w:color w:val="000000" w:themeColor="text1"/>
                <w:sz w:val="21"/>
                <w:szCs w:val="21"/>
                <w:highlight w:val="none"/>
                <w:lang w:val="en-US" w:eastAsia="zh-CN"/>
              </w:rPr>
              <w:t>不符合</w:t>
            </w:r>
          </w:p>
        </w:tc>
      </w:tr>
      <w:tr w14:paraId="7BE10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1BF19461">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7718603F">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入库前应做好储存位置、搬运工具、加固材料、防护装备、交接清单的准备。</w:t>
            </w:r>
          </w:p>
        </w:tc>
        <w:tc>
          <w:tcPr>
            <w:tcW w:w="785" w:type="pct"/>
            <w:noWrap w:val="0"/>
            <w:vAlign w:val="center"/>
          </w:tcPr>
          <w:p w14:paraId="7999A392">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7.l</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3475C6A1">
            <w:pPr>
              <w:widowControl w:val="0"/>
              <w:adjustRightInd w:val="0"/>
              <w:snapToGrid w:val="0"/>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rPr>
              <w:t>入库前应做好准备</w:t>
            </w:r>
            <w:r>
              <w:rPr>
                <w:rFonts w:hint="eastAsia" w:ascii="宋体" w:hAnsi="宋体" w:eastAsia="宋体" w:cs="宋体"/>
                <w:color w:val="000000" w:themeColor="text1"/>
                <w:sz w:val="21"/>
                <w:szCs w:val="21"/>
                <w:highlight w:val="none"/>
                <w:lang w:eastAsia="zh-CN"/>
              </w:rPr>
              <w:t>工作。</w:t>
            </w:r>
          </w:p>
        </w:tc>
        <w:tc>
          <w:tcPr>
            <w:tcW w:w="421" w:type="pct"/>
            <w:noWrap w:val="0"/>
            <w:vAlign w:val="center"/>
          </w:tcPr>
          <w:p w14:paraId="6B421138">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311FE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7A3D2703">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5D5EF462">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应对入库危险化学品的品名、规格、数量与入库信息或单据的一致性进行查验。</w:t>
            </w:r>
          </w:p>
        </w:tc>
        <w:tc>
          <w:tcPr>
            <w:tcW w:w="785" w:type="pct"/>
            <w:noWrap w:val="0"/>
            <w:vAlign w:val="center"/>
          </w:tcPr>
          <w:p w14:paraId="1B4E9B73">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7.3</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30808047">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对入库危险化学品的品名、规格、数量与入库信息或单据的一致性进行查验。</w:t>
            </w:r>
          </w:p>
        </w:tc>
        <w:tc>
          <w:tcPr>
            <w:tcW w:w="421" w:type="pct"/>
            <w:noWrap w:val="0"/>
            <w:vAlign w:val="center"/>
          </w:tcPr>
          <w:p w14:paraId="2645853D">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1E34D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42230F73">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7ED6CFEF">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入库数量应以实际验收为准。</w:t>
            </w:r>
          </w:p>
        </w:tc>
        <w:tc>
          <w:tcPr>
            <w:tcW w:w="785" w:type="pct"/>
            <w:noWrap w:val="0"/>
            <w:vAlign w:val="center"/>
          </w:tcPr>
          <w:p w14:paraId="02E280D9">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7.6</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648E8BAE">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入库数量以实际验收为准。</w:t>
            </w:r>
          </w:p>
        </w:tc>
        <w:tc>
          <w:tcPr>
            <w:tcW w:w="421" w:type="pct"/>
            <w:noWrap w:val="0"/>
            <w:vAlign w:val="center"/>
          </w:tcPr>
          <w:p w14:paraId="4AFC7F35">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2CC0A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51012DAB">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31A33B7B">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验收完毕应</w:t>
            </w:r>
            <w:r>
              <w:rPr>
                <w:rFonts w:hint="eastAsia" w:ascii="宋体" w:hAnsi="宋体" w:cs="宋体"/>
                <w:color w:val="000000" w:themeColor="text1"/>
                <w:sz w:val="21"/>
                <w:szCs w:val="21"/>
                <w:highlight w:val="none"/>
                <w:lang w:eastAsia="zh-CN"/>
              </w:rPr>
              <w:t>做好</w:t>
            </w:r>
            <w:r>
              <w:rPr>
                <w:rFonts w:hint="eastAsia" w:ascii="宋体" w:hAnsi="宋体" w:eastAsia="宋体" w:cs="宋体"/>
                <w:color w:val="000000" w:themeColor="text1"/>
                <w:sz w:val="21"/>
                <w:szCs w:val="21"/>
                <w:highlight w:val="none"/>
              </w:rPr>
              <w:t>记录并归档</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单据保存期限不少于1年。</w:t>
            </w:r>
          </w:p>
        </w:tc>
        <w:tc>
          <w:tcPr>
            <w:tcW w:w="785" w:type="pct"/>
            <w:noWrap w:val="0"/>
            <w:vAlign w:val="center"/>
          </w:tcPr>
          <w:p w14:paraId="3EF06078">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7.7</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0EE2BB2F">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lang w:eastAsia="zh-CN"/>
              </w:rPr>
              <w:t>有</w:t>
            </w:r>
            <w:r>
              <w:rPr>
                <w:rFonts w:hint="eastAsia" w:ascii="宋体" w:hAnsi="宋体" w:eastAsia="宋体" w:cs="宋体"/>
                <w:color w:val="000000" w:themeColor="text1"/>
                <w:sz w:val="21"/>
                <w:szCs w:val="21"/>
                <w:highlight w:val="none"/>
              </w:rPr>
              <w:t>验收记录</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eastAsia="zh-CN"/>
              </w:rPr>
              <w:t>记录</w:t>
            </w:r>
            <w:r>
              <w:rPr>
                <w:rFonts w:hint="eastAsia" w:ascii="宋体" w:hAnsi="宋体" w:eastAsia="宋体" w:cs="宋体"/>
                <w:color w:val="000000" w:themeColor="text1"/>
                <w:sz w:val="21"/>
                <w:szCs w:val="21"/>
                <w:highlight w:val="none"/>
              </w:rPr>
              <w:t>保存期限不少于1年。</w:t>
            </w:r>
          </w:p>
        </w:tc>
        <w:tc>
          <w:tcPr>
            <w:tcW w:w="421" w:type="pct"/>
            <w:noWrap w:val="0"/>
            <w:vAlign w:val="center"/>
          </w:tcPr>
          <w:p w14:paraId="677AD74D">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67180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7A1DCEA7">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27721618">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应定期进行盘点</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并记录。发现账货不符</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应及时进行处理。</w:t>
            </w:r>
          </w:p>
        </w:tc>
        <w:tc>
          <w:tcPr>
            <w:tcW w:w="785" w:type="pct"/>
            <w:noWrap w:val="0"/>
            <w:vAlign w:val="center"/>
          </w:tcPr>
          <w:p w14:paraId="771CDD17">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8.l</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3141A938">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定期进行盘点</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并记录。</w:t>
            </w:r>
          </w:p>
        </w:tc>
        <w:tc>
          <w:tcPr>
            <w:tcW w:w="421" w:type="pct"/>
            <w:noWrap w:val="0"/>
            <w:vAlign w:val="center"/>
          </w:tcPr>
          <w:p w14:paraId="5D859B00">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7554E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38EECC28">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622D00FA">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应定期对物品堆码状态、包装及仓库进行检查</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并记录。应对检查发现的问题及时进行处理。</w:t>
            </w:r>
          </w:p>
        </w:tc>
        <w:tc>
          <w:tcPr>
            <w:tcW w:w="785" w:type="pct"/>
            <w:noWrap w:val="0"/>
            <w:vAlign w:val="center"/>
          </w:tcPr>
          <w:p w14:paraId="0CE0F876">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8.2</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549B906E">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定期对物品堆码状态、包装及仓库进行检查</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并记录。</w:t>
            </w:r>
          </w:p>
        </w:tc>
        <w:tc>
          <w:tcPr>
            <w:tcW w:w="421" w:type="pct"/>
            <w:noWrap w:val="0"/>
            <w:vAlign w:val="center"/>
          </w:tcPr>
          <w:p w14:paraId="0821AE3F">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42BB5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7692E70A">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53CC4C31">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应根据储存的危险化学品特性和气候条件</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确定每日观测库内温湿度次数</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并记录。</w:t>
            </w:r>
          </w:p>
        </w:tc>
        <w:tc>
          <w:tcPr>
            <w:tcW w:w="785" w:type="pct"/>
            <w:noWrap w:val="0"/>
            <w:vAlign w:val="center"/>
          </w:tcPr>
          <w:p w14:paraId="7D76A6A0">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8.3</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696DD20A">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lang w:val="en-US" w:eastAsia="zh-CN"/>
              </w:rPr>
              <w:t>设置</w:t>
            </w:r>
            <w:r>
              <w:rPr>
                <w:rFonts w:hint="eastAsia" w:cs="宋体"/>
                <w:color w:val="000000" w:themeColor="text1"/>
                <w:sz w:val="21"/>
                <w:szCs w:val="21"/>
                <w:highlight w:val="none"/>
                <w:lang w:val="en-US" w:eastAsia="zh-CN"/>
              </w:rPr>
              <w:t>了</w:t>
            </w:r>
            <w:r>
              <w:rPr>
                <w:rFonts w:hint="eastAsia" w:ascii="宋体" w:hAnsi="宋体" w:eastAsia="宋体" w:cs="宋体"/>
                <w:color w:val="000000" w:themeColor="text1"/>
                <w:kern w:val="0"/>
                <w:sz w:val="21"/>
                <w:szCs w:val="21"/>
                <w:highlight w:val="none"/>
              </w:rPr>
              <w:t>温湿度计</w:t>
            </w:r>
            <w:r>
              <w:rPr>
                <w:rFonts w:hint="eastAsia" w:ascii="宋体" w:hAnsi="宋体" w:eastAsia="宋体" w:cs="宋体"/>
                <w:color w:val="000000" w:themeColor="text1"/>
                <w:kern w:val="0"/>
                <w:sz w:val="21"/>
                <w:szCs w:val="21"/>
                <w:highlight w:val="none"/>
                <w:lang w:eastAsia="zh-CN"/>
              </w:rPr>
              <w:t>。</w:t>
            </w:r>
          </w:p>
        </w:tc>
        <w:tc>
          <w:tcPr>
            <w:tcW w:w="421" w:type="pct"/>
            <w:noWrap w:val="0"/>
            <w:vAlign w:val="center"/>
          </w:tcPr>
          <w:p w14:paraId="02D476E5">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eastAsia="zh-CN"/>
              </w:rPr>
              <w:t>符合</w:t>
            </w:r>
          </w:p>
        </w:tc>
      </w:tr>
      <w:tr w14:paraId="199D8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538AD406">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0C8490A4">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应根据储存的危险化学品特性</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正确调节控制库内温湿度。</w:t>
            </w:r>
          </w:p>
        </w:tc>
        <w:tc>
          <w:tcPr>
            <w:tcW w:w="785" w:type="pct"/>
            <w:noWrap w:val="0"/>
            <w:vAlign w:val="center"/>
          </w:tcPr>
          <w:p w14:paraId="676331E8">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8.4</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749432DB">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lang w:val="en-US" w:eastAsia="zh-CN"/>
              </w:rPr>
              <w:t>库内</w:t>
            </w:r>
            <w:r>
              <w:rPr>
                <w:rFonts w:hint="eastAsia" w:ascii="宋体" w:hAnsi="宋体" w:eastAsia="宋体" w:cs="宋体"/>
                <w:color w:val="000000" w:themeColor="text1"/>
                <w:sz w:val="21"/>
                <w:szCs w:val="21"/>
                <w:highlight w:val="none"/>
              </w:rPr>
              <w:t>温湿度</w:t>
            </w:r>
            <w:r>
              <w:rPr>
                <w:rFonts w:hint="eastAsia" w:cs="宋体"/>
                <w:color w:val="000000" w:themeColor="text1"/>
                <w:sz w:val="21"/>
                <w:szCs w:val="21"/>
                <w:highlight w:val="none"/>
                <w:lang w:val="en-US" w:eastAsia="zh-CN"/>
              </w:rPr>
              <w:t>满足要求</w:t>
            </w:r>
            <w:r>
              <w:rPr>
                <w:rFonts w:hint="eastAsia" w:ascii="宋体" w:hAnsi="宋体" w:eastAsia="宋体" w:cs="宋体"/>
                <w:color w:val="000000" w:themeColor="text1"/>
                <w:sz w:val="21"/>
                <w:szCs w:val="21"/>
                <w:highlight w:val="none"/>
                <w:lang w:val="en-US" w:eastAsia="zh-CN"/>
              </w:rPr>
              <w:t>。</w:t>
            </w:r>
          </w:p>
        </w:tc>
        <w:tc>
          <w:tcPr>
            <w:tcW w:w="421" w:type="pct"/>
            <w:noWrap w:val="0"/>
            <w:vAlign w:val="center"/>
          </w:tcPr>
          <w:p w14:paraId="2E951242">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09FB3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7EE00433">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6FE8AEDD">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盘点、检查、观测记录应保存不少于1年。</w:t>
            </w:r>
          </w:p>
        </w:tc>
        <w:tc>
          <w:tcPr>
            <w:tcW w:w="785" w:type="pct"/>
            <w:noWrap w:val="0"/>
            <w:vAlign w:val="center"/>
          </w:tcPr>
          <w:p w14:paraId="26F26D33">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8.5</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4BCD6827">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盘点、检查、观测记录保存不少于1年。</w:t>
            </w:r>
          </w:p>
        </w:tc>
        <w:tc>
          <w:tcPr>
            <w:tcW w:w="421" w:type="pct"/>
            <w:noWrap w:val="0"/>
            <w:vAlign w:val="center"/>
          </w:tcPr>
          <w:p w14:paraId="10AE724B">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62DF5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55DDE284">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3DB35A41">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应在出库作业前</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进行账货核对。</w:t>
            </w:r>
          </w:p>
        </w:tc>
        <w:tc>
          <w:tcPr>
            <w:tcW w:w="785" w:type="pct"/>
            <w:noWrap w:val="0"/>
            <w:vAlign w:val="center"/>
          </w:tcPr>
          <w:p w14:paraId="00C75995">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9.l</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4BD788E4">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在出库作业前</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进行账货核对。</w:t>
            </w:r>
          </w:p>
        </w:tc>
        <w:tc>
          <w:tcPr>
            <w:tcW w:w="421" w:type="pct"/>
            <w:noWrap w:val="0"/>
            <w:vAlign w:val="center"/>
          </w:tcPr>
          <w:p w14:paraId="1D7E6879">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7AAA2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7D0EA419">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6A3CC291">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应核对出库单据的有效性。发现问题立即与相关方协调处理。</w:t>
            </w:r>
          </w:p>
        </w:tc>
        <w:tc>
          <w:tcPr>
            <w:tcW w:w="785" w:type="pct"/>
            <w:noWrap w:val="0"/>
            <w:vAlign w:val="center"/>
          </w:tcPr>
          <w:p w14:paraId="41157174">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9.2</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67D797A9">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核对出库单据的有效性。</w:t>
            </w:r>
          </w:p>
        </w:tc>
        <w:tc>
          <w:tcPr>
            <w:tcW w:w="421" w:type="pct"/>
            <w:noWrap w:val="0"/>
            <w:vAlign w:val="center"/>
          </w:tcPr>
          <w:p w14:paraId="5232B30C">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2D178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0BC6D5E9">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2574CFAC">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应做好出库前安全检查</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确保包装及标签、标志正确完好</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货物捆扎安全牢固。</w:t>
            </w:r>
          </w:p>
        </w:tc>
        <w:tc>
          <w:tcPr>
            <w:tcW w:w="785" w:type="pct"/>
            <w:noWrap w:val="0"/>
            <w:vAlign w:val="center"/>
          </w:tcPr>
          <w:p w14:paraId="21E81C65">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9.4</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24F136EF">
            <w:pPr>
              <w:widowControl w:val="0"/>
              <w:adjustRightInd w:val="0"/>
              <w:snapToGrid w:val="0"/>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rPr>
              <w:t>出库前</w:t>
            </w:r>
            <w:r>
              <w:rPr>
                <w:rFonts w:hint="eastAsia" w:ascii="宋体" w:hAnsi="宋体" w:eastAsia="宋体" w:cs="宋体"/>
                <w:color w:val="000000" w:themeColor="text1"/>
                <w:sz w:val="21"/>
                <w:szCs w:val="21"/>
                <w:highlight w:val="none"/>
                <w:lang w:eastAsia="zh-CN"/>
              </w:rPr>
              <w:t>进行</w:t>
            </w:r>
            <w:r>
              <w:rPr>
                <w:rFonts w:hint="eastAsia" w:ascii="宋体" w:hAnsi="宋体" w:eastAsia="宋体" w:cs="宋体"/>
                <w:color w:val="000000" w:themeColor="text1"/>
                <w:sz w:val="21"/>
                <w:szCs w:val="21"/>
                <w:highlight w:val="none"/>
              </w:rPr>
              <w:t>安全检查</w:t>
            </w:r>
            <w:r>
              <w:rPr>
                <w:rFonts w:hint="eastAsia" w:ascii="宋体" w:hAnsi="宋体" w:eastAsia="宋体" w:cs="宋体"/>
                <w:color w:val="000000" w:themeColor="text1"/>
                <w:sz w:val="21"/>
                <w:szCs w:val="21"/>
                <w:highlight w:val="none"/>
                <w:lang w:eastAsia="zh-CN"/>
              </w:rPr>
              <w:t>。</w:t>
            </w:r>
          </w:p>
        </w:tc>
        <w:tc>
          <w:tcPr>
            <w:tcW w:w="421" w:type="pct"/>
            <w:noWrap w:val="0"/>
            <w:vAlign w:val="center"/>
          </w:tcPr>
          <w:p w14:paraId="538EE374">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3E9A3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69111DEB">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162A1488">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出库单据保存期应不少于1年。</w:t>
            </w:r>
          </w:p>
        </w:tc>
        <w:tc>
          <w:tcPr>
            <w:tcW w:w="785" w:type="pct"/>
            <w:noWrap w:val="0"/>
            <w:vAlign w:val="center"/>
          </w:tcPr>
          <w:p w14:paraId="03501611">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9.5</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4BEDB4E2">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出库单据保存期不少于1年。</w:t>
            </w:r>
          </w:p>
        </w:tc>
        <w:tc>
          <w:tcPr>
            <w:tcW w:w="421" w:type="pct"/>
            <w:noWrap w:val="0"/>
            <w:vAlign w:val="center"/>
          </w:tcPr>
          <w:p w14:paraId="7A5B0548">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074FA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55B69C65">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09E27E74">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应建立设施、设备、器具检查和维护制度以及仓储日常操作、控制指标等运行制度。</w:t>
            </w:r>
          </w:p>
        </w:tc>
        <w:tc>
          <w:tcPr>
            <w:tcW w:w="785" w:type="pct"/>
            <w:noWrap w:val="0"/>
            <w:vAlign w:val="center"/>
          </w:tcPr>
          <w:p w14:paraId="6162CD37">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11.1.1</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04DBAAA7">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建立</w:t>
            </w:r>
            <w:r>
              <w:rPr>
                <w:rFonts w:hint="eastAsia" w:ascii="宋体" w:hAnsi="宋体" w:eastAsia="宋体" w:cs="宋体"/>
                <w:color w:val="000000" w:themeColor="text1"/>
                <w:kern w:val="0"/>
                <w:sz w:val="21"/>
                <w:szCs w:val="21"/>
                <w:highlight w:val="none"/>
                <w:lang w:eastAsia="zh-CN"/>
              </w:rPr>
              <w:t>了</w:t>
            </w:r>
            <w:r>
              <w:rPr>
                <w:rFonts w:hint="eastAsia" w:ascii="宋体" w:hAnsi="宋体" w:eastAsia="宋体" w:cs="宋体"/>
                <w:color w:val="000000" w:themeColor="text1"/>
                <w:kern w:val="0"/>
                <w:sz w:val="21"/>
                <w:szCs w:val="21"/>
                <w:highlight w:val="none"/>
              </w:rPr>
              <w:t>设备设施安全管理制度</w:t>
            </w:r>
            <w:r>
              <w:rPr>
                <w:rFonts w:hint="eastAsia" w:ascii="宋体" w:hAnsi="宋体" w:eastAsia="宋体" w:cs="宋体"/>
                <w:color w:val="000000" w:themeColor="text1"/>
                <w:kern w:val="0"/>
                <w:sz w:val="21"/>
                <w:szCs w:val="21"/>
                <w:highlight w:val="none"/>
                <w:lang w:eastAsia="zh-CN"/>
              </w:rPr>
              <w:t>、危化品</w:t>
            </w:r>
            <w:r>
              <w:rPr>
                <w:rFonts w:hint="eastAsia" w:cs="宋体"/>
                <w:color w:val="000000" w:themeColor="text1"/>
                <w:kern w:val="0"/>
                <w:sz w:val="21"/>
                <w:szCs w:val="21"/>
                <w:highlight w:val="none"/>
                <w:lang w:eastAsia="zh-CN"/>
              </w:rPr>
              <w:t>安全</w:t>
            </w:r>
            <w:r>
              <w:rPr>
                <w:rFonts w:hint="eastAsia" w:ascii="宋体" w:hAnsi="宋体" w:eastAsia="宋体" w:cs="宋体"/>
                <w:color w:val="000000" w:themeColor="text1"/>
                <w:kern w:val="0"/>
                <w:sz w:val="21"/>
                <w:szCs w:val="21"/>
                <w:highlight w:val="none"/>
                <w:lang w:eastAsia="zh-CN"/>
              </w:rPr>
              <w:t>管理制度</w:t>
            </w:r>
            <w:r>
              <w:rPr>
                <w:rFonts w:hint="eastAsia" w:ascii="宋体" w:hAnsi="宋体" w:eastAsia="宋体" w:cs="宋体"/>
                <w:color w:val="000000" w:themeColor="text1"/>
                <w:sz w:val="21"/>
                <w:szCs w:val="21"/>
                <w:highlight w:val="none"/>
              </w:rPr>
              <w:t>。</w:t>
            </w:r>
          </w:p>
        </w:tc>
        <w:tc>
          <w:tcPr>
            <w:tcW w:w="421" w:type="pct"/>
            <w:noWrap w:val="0"/>
            <w:vAlign w:val="center"/>
          </w:tcPr>
          <w:p w14:paraId="6555B70D">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3AB98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7971230A">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3BDA8F44">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应与社区及周边企事业单位建立应急联动机制。</w:t>
            </w:r>
          </w:p>
        </w:tc>
        <w:tc>
          <w:tcPr>
            <w:tcW w:w="785" w:type="pct"/>
            <w:noWrap w:val="0"/>
            <w:vAlign w:val="center"/>
          </w:tcPr>
          <w:p w14:paraId="53397BF3">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11.1.2</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60587D96">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与社区及周边企事业单位建立应急联动机制。</w:t>
            </w:r>
          </w:p>
        </w:tc>
        <w:tc>
          <w:tcPr>
            <w:tcW w:w="421" w:type="pct"/>
            <w:noWrap w:val="0"/>
            <w:vAlign w:val="center"/>
          </w:tcPr>
          <w:p w14:paraId="37183EC6">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01C68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2E12644E">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06D7EB27">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应建立风险评估制度，并定期进行风险评估。</w:t>
            </w:r>
          </w:p>
        </w:tc>
        <w:tc>
          <w:tcPr>
            <w:tcW w:w="785" w:type="pct"/>
            <w:noWrap w:val="0"/>
            <w:vAlign w:val="center"/>
          </w:tcPr>
          <w:p w14:paraId="58624D37">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11.1.3</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2EF2333D">
            <w:pPr>
              <w:widowControl w:val="0"/>
              <w:adjustRightInd w:val="0"/>
              <w:snapToGrid w:val="0"/>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rPr>
              <w:t>建立</w:t>
            </w:r>
            <w:r>
              <w:rPr>
                <w:rFonts w:hint="eastAsia" w:ascii="宋体" w:hAnsi="宋体" w:eastAsia="宋体" w:cs="宋体"/>
                <w:color w:val="000000" w:themeColor="text1"/>
                <w:sz w:val="21"/>
                <w:szCs w:val="21"/>
                <w:highlight w:val="none"/>
                <w:lang w:eastAsia="zh-CN"/>
              </w:rPr>
              <w:t>了</w:t>
            </w:r>
            <w:r>
              <w:rPr>
                <w:rFonts w:hint="eastAsia" w:ascii="宋体" w:hAnsi="宋体" w:eastAsia="宋体" w:cs="宋体"/>
                <w:color w:val="000000" w:themeColor="text1"/>
                <w:kern w:val="0"/>
                <w:sz w:val="21"/>
                <w:szCs w:val="21"/>
                <w:highlight w:val="none"/>
                <w:lang w:eastAsia="zh-CN"/>
              </w:rPr>
              <w:t>危险源辨识与风险评价程序，定期进行风险评估。</w:t>
            </w:r>
          </w:p>
        </w:tc>
        <w:tc>
          <w:tcPr>
            <w:tcW w:w="421" w:type="pct"/>
            <w:noWrap w:val="0"/>
            <w:vAlign w:val="center"/>
          </w:tcPr>
          <w:p w14:paraId="3ECB9D6E">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62B3A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29581E1E">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0F9F3963">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应建立覆盖全员的应急响应程序，编制危险化学品事故应急预案，至少每半年进行一次演练。</w:t>
            </w:r>
          </w:p>
        </w:tc>
        <w:tc>
          <w:tcPr>
            <w:tcW w:w="785" w:type="pct"/>
            <w:noWrap w:val="0"/>
            <w:vAlign w:val="center"/>
          </w:tcPr>
          <w:p w14:paraId="19FEEF32">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11.1.4</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6A76E93D">
            <w:pPr>
              <w:widowControl w:val="0"/>
              <w:adjustRightInd w:val="0"/>
              <w:snapToGrid w:val="0"/>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bCs w:val="0"/>
                <w:color w:val="000000" w:themeColor="text1"/>
                <w:kern w:val="0"/>
                <w:sz w:val="21"/>
                <w:szCs w:val="21"/>
                <w:highlight w:val="none"/>
                <w:lang w:eastAsia="zh-CN"/>
              </w:rPr>
              <w:t>编制有</w:t>
            </w:r>
            <w:r>
              <w:rPr>
                <w:rFonts w:hint="eastAsia" w:ascii="宋体" w:hAnsi="宋体" w:eastAsia="宋体" w:cs="宋体"/>
                <w:bCs w:val="0"/>
                <w:color w:val="000000" w:themeColor="text1"/>
                <w:kern w:val="0"/>
                <w:sz w:val="21"/>
                <w:szCs w:val="21"/>
                <w:highlight w:val="none"/>
              </w:rPr>
              <w:t>“火灾应急预案</w:t>
            </w:r>
            <w:r>
              <w:rPr>
                <w:rFonts w:hint="eastAsia" w:ascii="宋体" w:hAnsi="宋体" w:cs="宋体"/>
                <w:bCs w:val="0"/>
                <w:color w:val="000000" w:themeColor="text1"/>
                <w:kern w:val="0"/>
                <w:sz w:val="21"/>
                <w:szCs w:val="21"/>
                <w:highlight w:val="none"/>
                <w:lang w:eastAsia="zh-CN"/>
              </w:rPr>
              <w:t>”“</w:t>
            </w:r>
            <w:r>
              <w:rPr>
                <w:rFonts w:hint="eastAsia" w:ascii="宋体" w:hAnsi="宋体" w:eastAsia="宋体" w:cs="宋体"/>
                <w:bCs w:val="0"/>
                <w:color w:val="000000" w:themeColor="text1"/>
                <w:kern w:val="0"/>
                <w:sz w:val="21"/>
                <w:szCs w:val="21"/>
                <w:highlight w:val="none"/>
              </w:rPr>
              <w:t>危险化学品事件应急预案”</w:t>
            </w:r>
            <w:r>
              <w:rPr>
                <w:rFonts w:hint="eastAsia" w:ascii="宋体" w:hAnsi="宋体" w:eastAsia="宋体" w:cs="宋体"/>
                <w:bCs w:val="0"/>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每半年进行一次演练。</w:t>
            </w:r>
          </w:p>
        </w:tc>
        <w:tc>
          <w:tcPr>
            <w:tcW w:w="421" w:type="pct"/>
            <w:noWrap w:val="0"/>
            <w:vAlign w:val="center"/>
          </w:tcPr>
          <w:p w14:paraId="59B65FF1">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400D6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0362898C">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4BDE7C76">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储存危险化学品的仓库和作业场所应设置明显的安全标志，并符合GB2894、AQ3047的规定。</w:t>
            </w:r>
          </w:p>
        </w:tc>
        <w:tc>
          <w:tcPr>
            <w:tcW w:w="785" w:type="pct"/>
            <w:noWrap w:val="0"/>
            <w:vAlign w:val="center"/>
          </w:tcPr>
          <w:p w14:paraId="7DE54C7B">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11.2.1</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482C12A2">
            <w:pPr>
              <w:widowControl w:val="0"/>
              <w:adjustRightInd w:val="0"/>
              <w:snapToGrid w:val="0"/>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rPr>
              <w:t>设置</w:t>
            </w:r>
            <w:r>
              <w:rPr>
                <w:rFonts w:hint="eastAsia" w:ascii="宋体" w:hAnsi="宋体" w:eastAsia="宋体" w:cs="宋体"/>
                <w:color w:val="000000" w:themeColor="text1"/>
                <w:sz w:val="21"/>
                <w:szCs w:val="21"/>
                <w:highlight w:val="none"/>
                <w:lang w:eastAsia="zh-CN"/>
              </w:rPr>
              <w:t>了</w:t>
            </w:r>
            <w:r>
              <w:rPr>
                <w:rFonts w:hint="eastAsia" w:ascii="宋体" w:hAnsi="宋体" w:eastAsia="宋体" w:cs="宋体"/>
                <w:color w:val="000000" w:themeColor="text1"/>
                <w:sz w:val="21"/>
                <w:szCs w:val="21"/>
                <w:highlight w:val="none"/>
              </w:rPr>
              <w:t>明显的安全标志</w:t>
            </w:r>
            <w:r>
              <w:rPr>
                <w:rFonts w:hint="eastAsia" w:ascii="宋体" w:hAnsi="宋体" w:eastAsia="宋体" w:cs="宋体"/>
                <w:color w:val="000000" w:themeColor="text1"/>
                <w:sz w:val="21"/>
                <w:szCs w:val="21"/>
                <w:highlight w:val="none"/>
                <w:lang w:eastAsia="zh-CN"/>
              </w:rPr>
              <w:t>。</w:t>
            </w:r>
          </w:p>
        </w:tc>
        <w:tc>
          <w:tcPr>
            <w:tcW w:w="421" w:type="pct"/>
            <w:noWrap w:val="0"/>
            <w:vAlign w:val="center"/>
          </w:tcPr>
          <w:p w14:paraId="679B1393">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6E550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2CDFB9B9">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182536CA">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库区内严禁吸烟和使用明火。</w:t>
            </w:r>
          </w:p>
        </w:tc>
        <w:tc>
          <w:tcPr>
            <w:tcW w:w="785" w:type="pct"/>
            <w:noWrap w:val="0"/>
            <w:vAlign w:val="center"/>
          </w:tcPr>
          <w:p w14:paraId="2721A8AF">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11.2.2</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49525F86">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lang w:eastAsia="zh-CN"/>
              </w:rPr>
              <w:t>危化品</w:t>
            </w:r>
            <w:r>
              <w:rPr>
                <w:rFonts w:hint="eastAsia" w:cs="宋体"/>
                <w:color w:val="000000" w:themeColor="text1"/>
                <w:sz w:val="21"/>
                <w:szCs w:val="21"/>
                <w:highlight w:val="none"/>
                <w:lang w:eastAsia="zh-CN"/>
              </w:rPr>
              <w:t>备货库房、</w:t>
            </w:r>
            <w:r>
              <w:rPr>
                <w:rFonts w:hint="eastAsia"/>
                <w:color w:val="000000" w:themeColor="text1"/>
                <w:sz w:val="21"/>
                <w:szCs w:val="21"/>
                <w:highlight w:val="none"/>
              </w:rPr>
              <w:t>废水处理站</w:t>
            </w:r>
            <w:r>
              <w:rPr>
                <w:rFonts w:hint="eastAsia" w:cs="宋体"/>
                <w:color w:val="000000" w:themeColor="text1"/>
                <w:sz w:val="21"/>
                <w:szCs w:val="21"/>
                <w:highlight w:val="none"/>
                <w:lang w:eastAsia="zh-CN"/>
              </w:rPr>
              <w:t>药剂房</w:t>
            </w:r>
            <w:r>
              <w:rPr>
                <w:rFonts w:hint="eastAsia" w:ascii="宋体" w:hAnsi="宋体" w:eastAsia="宋体" w:cs="宋体"/>
                <w:color w:val="000000" w:themeColor="text1"/>
                <w:sz w:val="21"/>
                <w:szCs w:val="21"/>
                <w:highlight w:val="none"/>
                <w:lang w:eastAsia="zh-CN"/>
              </w:rPr>
              <w:t>区域</w:t>
            </w:r>
            <w:r>
              <w:rPr>
                <w:rFonts w:hint="eastAsia" w:ascii="宋体" w:hAnsi="宋体" w:eastAsia="宋体" w:cs="宋体"/>
                <w:color w:val="000000" w:themeColor="text1"/>
                <w:sz w:val="21"/>
                <w:szCs w:val="21"/>
                <w:highlight w:val="none"/>
              </w:rPr>
              <w:t>内严禁吸烟和使用明火。</w:t>
            </w:r>
          </w:p>
        </w:tc>
        <w:tc>
          <w:tcPr>
            <w:tcW w:w="421" w:type="pct"/>
            <w:noWrap w:val="0"/>
            <w:vAlign w:val="center"/>
          </w:tcPr>
          <w:p w14:paraId="540CA180">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32F1A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341A86FC">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1B9E6D13">
            <w:pPr>
              <w:widowControl w:val="0"/>
              <w:adjustRightInd w:val="0"/>
              <w:snapToGrid w:val="0"/>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rPr>
              <w:t>应对进入库区的人员进行登记及安全告知</w:t>
            </w:r>
            <w:r>
              <w:rPr>
                <w:rFonts w:hint="eastAsia" w:ascii="宋体" w:hAnsi="宋体" w:eastAsia="宋体" w:cs="宋体"/>
                <w:color w:val="000000" w:themeColor="text1"/>
                <w:sz w:val="21"/>
                <w:szCs w:val="21"/>
                <w:highlight w:val="none"/>
                <w:lang w:eastAsia="zh-CN"/>
              </w:rPr>
              <w:t>。</w:t>
            </w:r>
          </w:p>
        </w:tc>
        <w:tc>
          <w:tcPr>
            <w:tcW w:w="785" w:type="pct"/>
            <w:noWrap w:val="0"/>
            <w:vAlign w:val="center"/>
          </w:tcPr>
          <w:p w14:paraId="6B0CAFE8">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11.2.3</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111BAA35">
            <w:pPr>
              <w:widowControl w:val="0"/>
              <w:adjustRightInd w:val="0"/>
              <w:snapToGrid w:val="0"/>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rPr>
              <w:t>对进入</w:t>
            </w:r>
            <w:r>
              <w:rPr>
                <w:rFonts w:hint="eastAsia" w:ascii="宋体" w:hAnsi="宋体" w:eastAsia="宋体" w:cs="宋体"/>
                <w:color w:val="000000" w:themeColor="text1"/>
                <w:sz w:val="21"/>
                <w:szCs w:val="21"/>
                <w:highlight w:val="none"/>
                <w:lang w:eastAsia="zh-CN"/>
              </w:rPr>
              <w:t>危化品</w:t>
            </w:r>
            <w:r>
              <w:rPr>
                <w:rFonts w:hint="eastAsia" w:cs="宋体"/>
                <w:color w:val="000000" w:themeColor="text1"/>
                <w:sz w:val="21"/>
                <w:szCs w:val="21"/>
                <w:highlight w:val="none"/>
                <w:lang w:eastAsia="zh-CN"/>
              </w:rPr>
              <w:t>备货库房、</w:t>
            </w:r>
            <w:r>
              <w:rPr>
                <w:rFonts w:hint="eastAsia"/>
                <w:color w:val="000000" w:themeColor="text1"/>
                <w:sz w:val="21"/>
                <w:szCs w:val="21"/>
                <w:highlight w:val="none"/>
              </w:rPr>
              <w:t>废水处理站</w:t>
            </w:r>
            <w:r>
              <w:rPr>
                <w:rFonts w:hint="eastAsia" w:cs="宋体"/>
                <w:color w:val="000000" w:themeColor="text1"/>
                <w:sz w:val="21"/>
                <w:szCs w:val="21"/>
                <w:highlight w:val="none"/>
                <w:lang w:eastAsia="zh-CN"/>
              </w:rPr>
              <w:t>药剂房</w:t>
            </w:r>
            <w:r>
              <w:rPr>
                <w:rFonts w:hint="eastAsia" w:ascii="宋体" w:hAnsi="宋体" w:eastAsia="宋体" w:cs="宋体"/>
                <w:color w:val="000000" w:themeColor="text1"/>
                <w:sz w:val="21"/>
                <w:szCs w:val="21"/>
                <w:highlight w:val="none"/>
              </w:rPr>
              <w:t>的人员进行登记</w:t>
            </w:r>
            <w:r>
              <w:rPr>
                <w:rFonts w:hint="eastAsia" w:ascii="宋体" w:hAnsi="宋体" w:eastAsia="宋体" w:cs="宋体"/>
                <w:color w:val="000000" w:themeColor="text1"/>
                <w:sz w:val="21"/>
                <w:szCs w:val="21"/>
                <w:highlight w:val="none"/>
                <w:lang w:eastAsia="zh-CN"/>
              </w:rPr>
              <w:t>。</w:t>
            </w:r>
          </w:p>
        </w:tc>
        <w:tc>
          <w:tcPr>
            <w:tcW w:w="421" w:type="pct"/>
            <w:noWrap w:val="0"/>
            <w:vAlign w:val="center"/>
          </w:tcPr>
          <w:p w14:paraId="7089367A">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0931E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28A03DFE">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259FB226">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危险化学品储存作业前，应先对仓库通风。</w:t>
            </w:r>
          </w:p>
        </w:tc>
        <w:tc>
          <w:tcPr>
            <w:tcW w:w="785" w:type="pct"/>
            <w:noWrap w:val="0"/>
            <w:vAlign w:val="center"/>
          </w:tcPr>
          <w:p w14:paraId="34657D9C">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11.3.1</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687E0A0A">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储存作业前，先对仓库通风。</w:t>
            </w:r>
          </w:p>
        </w:tc>
        <w:tc>
          <w:tcPr>
            <w:tcW w:w="421" w:type="pct"/>
            <w:noWrap w:val="0"/>
            <w:vAlign w:val="center"/>
          </w:tcPr>
          <w:p w14:paraId="2885014E">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10B80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38AC9572">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5A10A27C">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储存仓库内禁止进行开桶、分装、改装作业。</w:t>
            </w:r>
          </w:p>
        </w:tc>
        <w:tc>
          <w:tcPr>
            <w:tcW w:w="785" w:type="pct"/>
            <w:noWrap w:val="0"/>
            <w:vAlign w:val="center"/>
          </w:tcPr>
          <w:p w14:paraId="622B05C7">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11.3.3</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6E90C8E4">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lang w:eastAsia="zh-CN"/>
              </w:rPr>
              <w:t>危化品</w:t>
            </w:r>
            <w:r>
              <w:rPr>
                <w:rFonts w:hint="eastAsia" w:cs="宋体"/>
                <w:color w:val="000000" w:themeColor="text1"/>
                <w:sz w:val="21"/>
                <w:szCs w:val="21"/>
                <w:highlight w:val="none"/>
                <w:lang w:eastAsia="zh-CN"/>
              </w:rPr>
              <w:t>备货库房、</w:t>
            </w:r>
            <w:r>
              <w:rPr>
                <w:rFonts w:hint="eastAsia"/>
                <w:color w:val="000000" w:themeColor="text1"/>
                <w:sz w:val="21"/>
                <w:szCs w:val="21"/>
                <w:highlight w:val="none"/>
              </w:rPr>
              <w:t>废水处理站</w:t>
            </w:r>
            <w:r>
              <w:rPr>
                <w:rFonts w:hint="eastAsia" w:cs="宋体"/>
                <w:color w:val="000000" w:themeColor="text1"/>
                <w:sz w:val="21"/>
                <w:szCs w:val="21"/>
                <w:highlight w:val="none"/>
                <w:lang w:eastAsia="zh-CN"/>
              </w:rPr>
              <w:t>药剂房</w:t>
            </w:r>
            <w:r>
              <w:rPr>
                <w:rFonts w:hint="eastAsia" w:ascii="宋体" w:hAnsi="宋体" w:eastAsia="宋体" w:cs="宋体"/>
                <w:color w:val="000000" w:themeColor="text1"/>
                <w:sz w:val="21"/>
                <w:szCs w:val="21"/>
                <w:highlight w:val="none"/>
              </w:rPr>
              <w:t>内禁止进行开桶、分装、改装作业。</w:t>
            </w:r>
          </w:p>
        </w:tc>
        <w:tc>
          <w:tcPr>
            <w:tcW w:w="421" w:type="pct"/>
            <w:noWrap w:val="0"/>
            <w:vAlign w:val="center"/>
          </w:tcPr>
          <w:p w14:paraId="0A28229F">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4A2C5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6B22A174">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70CF336D">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不应在恶劣天气进行装卸作业。</w:t>
            </w:r>
          </w:p>
        </w:tc>
        <w:tc>
          <w:tcPr>
            <w:tcW w:w="785" w:type="pct"/>
            <w:noWrap w:val="0"/>
            <w:vAlign w:val="center"/>
          </w:tcPr>
          <w:p w14:paraId="3CAEFB76">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11.3.4</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45BA3DDB">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lang w:eastAsia="zh-CN"/>
              </w:rPr>
              <w:t>未</w:t>
            </w:r>
            <w:r>
              <w:rPr>
                <w:rFonts w:hint="eastAsia" w:ascii="宋体" w:hAnsi="宋体" w:eastAsia="宋体" w:cs="宋体"/>
                <w:color w:val="000000" w:themeColor="text1"/>
                <w:sz w:val="21"/>
                <w:szCs w:val="21"/>
                <w:highlight w:val="none"/>
              </w:rPr>
              <w:t>在恶劣天气进行装卸作业。</w:t>
            </w:r>
          </w:p>
        </w:tc>
        <w:tc>
          <w:tcPr>
            <w:tcW w:w="421" w:type="pct"/>
            <w:noWrap w:val="0"/>
            <w:vAlign w:val="center"/>
          </w:tcPr>
          <w:p w14:paraId="7986A066">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38D56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7EC40EDD">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3C6A412B">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应建立全员培训体系，对从业人员进行法规、标准、岗位技能、安全、个体防护、应急处置等培训，考核合格后上岗作业</w:t>
            </w:r>
            <w:r>
              <w:rPr>
                <w:rFonts w:hint="eastAsia" w:ascii="宋体" w:hAnsi="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对有资质要求的岗位，应配备依法取得相应资质的人员。</w:t>
            </w:r>
          </w:p>
        </w:tc>
        <w:tc>
          <w:tcPr>
            <w:tcW w:w="785" w:type="pct"/>
            <w:noWrap w:val="0"/>
            <w:vAlign w:val="center"/>
          </w:tcPr>
          <w:p w14:paraId="2A77E191">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12.1</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78305155">
            <w:pPr>
              <w:widowControl w:val="0"/>
              <w:adjustRightInd w:val="0"/>
              <w:snapToGrid w:val="0"/>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作业人员经</w:t>
            </w:r>
            <w:r>
              <w:rPr>
                <w:rFonts w:hint="eastAsia" w:ascii="宋体" w:hAnsi="宋体" w:eastAsia="宋体" w:cs="宋体"/>
                <w:color w:val="000000" w:themeColor="text1"/>
                <w:kern w:val="0"/>
                <w:sz w:val="21"/>
                <w:szCs w:val="21"/>
                <w:highlight w:val="none"/>
              </w:rPr>
              <w:t>安全培训合格</w:t>
            </w:r>
            <w:r>
              <w:rPr>
                <w:rFonts w:hint="eastAsia" w:ascii="宋体" w:hAnsi="宋体" w:eastAsia="宋体" w:cs="宋体"/>
                <w:color w:val="000000" w:themeColor="text1"/>
                <w:kern w:val="0"/>
                <w:sz w:val="21"/>
                <w:szCs w:val="21"/>
                <w:highlight w:val="none"/>
                <w:lang w:eastAsia="zh-CN"/>
              </w:rPr>
              <w:t>。</w:t>
            </w:r>
          </w:p>
        </w:tc>
        <w:tc>
          <w:tcPr>
            <w:tcW w:w="421" w:type="pct"/>
            <w:noWrap w:val="0"/>
            <w:vAlign w:val="center"/>
          </w:tcPr>
          <w:p w14:paraId="2A1856FF">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0661B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428A2826">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44DFF086">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危险化学品仓库管理人员应具备危险化学品储存管理范围相关的安全知识和管理能力。</w:t>
            </w:r>
          </w:p>
        </w:tc>
        <w:tc>
          <w:tcPr>
            <w:tcW w:w="785" w:type="pct"/>
            <w:noWrap w:val="0"/>
            <w:vAlign w:val="center"/>
          </w:tcPr>
          <w:p w14:paraId="6CC1DFDB">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12.2</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734D874D">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作业人员经</w:t>
            </w:r>
            <w:r>
              <w:rPr>
                <w:rFonts w:hint="eastAsia" w:ascii="宋体" w:hAnsi="宋体" w:eastAsia="宋体" w:cs="宋体"/>
                <w:color w:val="000000" w:themeColor="text1"/>
                <w:kern w:val="0"/>
                <w:sz w:val="21"/>
                <w:szCs w:val="21"/>
                <w:highlight w:val="none"/>
              </w:rPr>
              <w:t>安全培训合格</w:t>
            </w:r>
            <w:r>
              <w:rPr>
                <w:rFonts w:hint="eastAsia" w:ascii="宋体" w:hAnsi="宋体" w:eastAsia="宋体" w:cs="宋体"/>
                <w:color w:val="000000" w:themeColor="text1"/>
                <w:kern w:val="0"/>
                <w:sz w:val="21"/>
                <w:szCs w:val="21"/>
                <w:highlight w:val="none"/>
                <w:lang w:eastAsia="zh-CN"/>
              </w:rPr>
              <w:t>。</w:t>
            </w:r>
          </w:p>
        </w:tc>
        <w:tc>
          <w:tcPr>
            <w:tcW w:w="421" w:type="pct"/>
            <w:noWrap w:val="0"/>
            <w:vAlign w:val="center"/>
          </w:tcPr>
          <w:p w14:paraId="7EB0D850">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510EB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682D894D">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66B6E228">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危险化学品仓库从业人员应能理解化学品安全技术说明书的内容并掌握风险防范措施，掌握岗位操作技能。</w:t>
            </w:r>
          </w:p>
        </w:tc>
        <w:tc>
          <w:tcPr>
            <w:tcW w:w="785" w:type="pct"/>
            <w:noWrap w:val="0"/>
            <w:vAlign w:val="center"/>
          </w:tcPr>
          <w:p w14:paraId="40B434D9">
            <w:pPr>
              <w:widowControl w:val="0"/>
              <w:adjustRightInd w:val="0"/>
              <w:snapToGrid w:val="0"/>
              <w:jc w:val="center"/>
              <w:rPr>
                <w:rFonts w:hint="eastAsia" w:ascii="宋体" w:hAnsi="宋体" w:eastAsia="宋体" w:cs="宋体"/>
                <w:color w:val="000000" w:themeColor="text1"/>
                <w:sz w:val="21"/>
                <w:szCs w:val="21"/>
                <w:highlight w:val="none"/>
                <w:lang w:val="en-US" w:eastAsia="zh-Hans"/>
              </w:rPr>
            </w:pPr>
            <w:r>
              <w:rPr>
                <w:rFonts w:hint="eastAsia" w:ascii="宋体" w:hAnsi="宋体" w:eastAsia="宋体" w:cs="宋体"/>
                <w:color w:val="000000" w:themeColor="text1"/>
                <w:kern w:val="0"/>
                <w:sz w:val="21"/>
                <w:szCs w:val="21"/>
                <w:highlight w:val="none"/>
                <w:lang w:eastAsia="zh-Hans"/>
              </w:rPr>
              <w:t>GB15603-2022</w:t>
            </w:r>
            <w:r>
              <w:rPr>
                <w:rFonts w:hint="eastAsia" w:ascii="宋体" w:hAnsi="宋体" w:eastAsia="宋体" w:cs="宋体"/>
                <w:color w:val="000000" w:themeColor="text1"/>
                <w:sz w:val="21"/>
                <w:szCs w:val="21"/>
                <w:highlight w:val="none"/>
                <w:lang w:val="en-US" w:eastAsia="zh-Hans"/>
              </w:rPr>
              <w:t>第</w:t>
            </w:r>
            <w:r>
              <w:rPr>
                <w:rFonts w:hint="eastAsia" w:ascii="宋体" w:hAnsi="宋体" w:eastAsia="宋体" w:cs="宋体"/>
                <w:color w:val="000000" w:themeColor="text1"/>
                <w:sz w:val="21"/>
                <w:szCs w:val="21"/>
                <w:highlight w:val="none"/>
              </w:rPr>
              <w:t>12.3</w:t>
            </w:r>
            <w:r>
              <w:rPr>
                <w:rFonts w:hint="eastAsia" w:ascii="宋体" w:hAnsi="宋体" w:eastAsia="宋体" w:cs="宋体"/>
                <w:color w:val="000000" w:themeColor="text1"/>
                <w:sz w:val="21"/>
                <w:szCs w:val="21"/>
                <w:highlight w:val="none"/>
                <w:lang w:val="en-US" w:eastAsia="zh-Hans"/>
              </w:rPr>
              <w:t>条</w:t>
            </w:r>
          </w:p>
        </w:tc>
        <w:tc>
          <w:tcPr>
            <w:tcW w:w="1372" w:type="pct"/>
            <w:noWrap w:val="0"/>
            <w:vAlign w:val="center"/>
          </w:tcPr>
          <w:p w14:paraId="5FD0985B">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作业人员经</w:t>
            </w:r>
            <w:r>
              <w:rPr>
                <w:rFonts w:hint="eastAsia" w:ascii="宋体" w:hAnsi="宋体" w:eastAsia="宋体" w:cs="宋体"/>
                <w:color w:val="000000" w:themeColor="text1"/>
                <w:kern w:val="0"/>
                <w:sz w:val="21"/>
                <w:szCs w:val="21"/>
                <w:highlight w:val="none"/>
              </w:rPr>
              <w:t>安全培训合格</w:t>
            </w:r>
            <w:r>
              <w:rPr>
                <w:rFonts w:hint="eastAsia" w:ascii="宋体" w:hAnsi="宋体" w:eastAsia="宋体" w:cs="宋体"/>
                <w:color w:val="000000" w:themeColor="text1"/>
                <w:kern w:val="0"/>
                <w:sz w:val="21"/>
                <w:szCs w:val="21"/>
                <w:highlight w:val="none"/>
                <w:lang w:eastAsia="zh-CN"/>
              </w:rPr>
              <w:t>。</w:t>
            </w:r>
          </w:p>
        </w:tc>
        <w:tc>
          <w:tcPr>
            <w:tcW w:w="421" w:type="pct"/>
            <w:noWrap w:val="0"/>
            <w:vAlign w:val="center"/>
          </w:tcPr>
          <w:p w14:paraId="32AEE035">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eastAsia="zh-CN"/>
              </w:rPr>
              <w:t>符合</w:t>
            </w:r>
          </w:p>
        </w:tc>
      </w:tr>
      <w:tr w14:paraId="6A9A0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2E9B0BCD">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121926D2">
            <w:pPr>
              <w:widowControl w:val="0"/>
              <w:adjustRightInd w:val="0"/>
              <w:snapToGrid w:val="0"/>
              <w:jc w:val="left"/>
              <w:rPr>
                <w:rFonts w:hint="eastAsia" w:ascii="宋体" w:hAnsi="宋体" w:eastAsia="宋体" w:cs="宋体"/>
                <w:bCs/>
                <w:color w:val="000000" w:themeColor="text1"/>
                <w:kern w:val="0"/>
                <w:sz w:val="21"/>
                <w:szCs w:val="21"/>
                <w:highlight w:val="none"/>
                <w:lang w:val="en-US" w:eastAsia="zh-CN" w:bidi="ar-SA"/>
              </w:rPr>
            </w:pPr>
            <w:r>
              <w:rPr>
                <w:rFonts w:hint="eastAsia" w:ascii="宋体" w:hAnsi="宋体" w:eastAsia="宋体" w:cs="宋体"/>
                <w:bCs/>
                <w:color w:val="000000" w:themeColor="text1"/>
                <w:sz w:val="21"/>
                <w:szCs w:val="21"/>
                <w:highlight w:val="none"/>
              </w:rPr>
              <w:t>库房周围无杂草和易燃物</w:t>
            </w:r>
            <w:r>
              <w:rPr>
                <w:rFonts w:hint="eastAsia" w:ascii="宋体" w:hAnsi="宋体" w:eastAsia="宋体" w:cs="宋体"/>
                <w:bCs/>
                <w:color w:val="000000" w:themeColor="text1"/>
                <w:sz w:val="21"/>
                <w:szCs w:val="21"/>
                <w:highlight w:val="none"/>
                <w:lang w:eastAsia="zh-CN"/>
              </w:rPr>
              <w:t>。</w:t>
            </w:r>
          </w:p>
        </w:tc>
        <w:tc>
          <w:tcPr>
            <w:tcW w:w="785" w:type="pct"/>
            <w:noWrap w:val="0"/>
            <w:vAlign w:val="center"/>
          </w:tcPr>
          <w:p w14:paraId="79F35EEC">
            <w:pPr>
              <w:widowControl w:val="0"/>
              <w:adjustRightInd w:val="0"/>
              <w:snapToGrid w:val="0"/>
              <w:jc w:val="center"/>
              <w:rPr>
                <w:rFonts w:hint="eastAsia" w:ascii="宋体" w:hAnsi="宋体" w:eastAsia="宋体" w:cs="宋体"/>
                <w:bCs/>
                <w:color w:val="000000" w:themeColor="text1"/>
                <w:kern w:val="0"/>
                <w:sz w:val="21"/>
                <w:szCs w:val="21"/>
                <w:highlight w:val="none"/>
                <w:lang w:val="en-US" w:eastAsia="zh-Hans" w:bidi="ar-SA"/>
              </w:rPr>
            </w:pPr>
            <w:r>
              <w:rPr>
                <w:rFonts w:hint="eastAsia" w:ascii="宋体" w:hAnsi="宋体" w:eastAsia="宋体" w:cs="宋体"/>
                <w:color w:val="000000" w:themeColor="text1"/>
                <w:sz w:val="21"/>
                <w:szCs w:val="21"/>
                <w:highlight w:val="none"/>
                <w:lang w:val="en-US" w:eastAsia="zh-Hans"/>
              </w:rPr>
              <w:t>GB17914-2013</w:t>
            </w:r>
            <w:r>
              <w:rPr>
                <w:rFonts w:hint="eastAsia" w:ascii="宋体" w:hAnsi="宋体" w:eastAsia="宋体" w:cs="宋体"/>
                <w:color w:val="000000" w:themeColor="text1"/>
                <w:sz w:val="21"/>
                <w:szCs w:val="21"/>
                <w:highlight w:val="none"/>
                <w:lang w:val="en-US" w:eastAsia="zh-CN"/>
              </w:rPr>
              <w:t>第</w:t>
            </w:r>
            <w:r>
              <w:rPr>
                <w:rFonts w:hint="eastAsia" w:ascii="宋体" w:hAnsi="宋体" w:eastAsia="宋体" w:cs="宋体"/>
                <w:bCs/>
                <w:color w:val="000000" w:themeColor="text1"/>
                <w:sz w:val="21"/>
                <w:szCs w:val="21"/>
                <w:highlight w:val="none"/>
              </w:rPr>
              <w:t>4.4.1</w:t>
            </w:r>
            <w:r>
              <w:rPr>
                <w:rFonts w:hint="eastAsia" w:ascii="宋体" w:hAnsi="宋体" w:eastAsia="宋体" w:cs="宋体"/>
                <w:color w:val="000000" w:themeColor="text1"/>
                <w:sz w:val="21"/>
                <w:szCs w:val="21"/>
                <w:highlight w:val="none"/>
                <w:lang w:val="en-US" w:eastAsia="zh-CN"/>
              </w:rPr>
              <w:t>条</w:t>
            </w:r>
          </w:p>
        </w:tc>
        <w:tc>
          <w:tcPr>
            <w:tcW w:w="1372" w:type="pct"/>
            <w:noWrap w:val="0"/>
            <w:vAlign w:val="center"/>
          </w:tcPr>
          <w:p w14:paraId="49CB6FB5">
            <w:pPr>
              <w:widowControl w:val="0"/>
              <w:adjustRightInd w:val="0"/>
              <w:snapToGrid w:val="0"/>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lang w:eastAsia="zh-CN"/>
              </w:rPr>
              <w:t>危化品</w:t>
            </w:r>
            <w:r>
              <w:rPr>
                <w:rFonts w:hint="eastAsia" w:cs="宋体"/>
                <w:color w:val="000000" w:themeColor="text1"/>
                <w:sz w:val="21"/>
                <w:szCs w:val="21"/>
                <w:highlight w:val="none"/>
                <w:lang w:eastAsia="zh-CN"/>
              </w:rPr>
              <w:t>备货库房、</w:t>
            </w:r>
            <w:r>
              <w:rPr>
                <w:rFonts w:hint="eastAsia"/>
                <w:color w:val="000000" w:themeColor="text1"/>
                <w:sz w:val="21"/>
                <w:szCs w:val="21"/>
                <w:highlight w:val="none"/>
              </w:rPr>
              <w:t>废水处理站</w:t>
            </w:r>
            <w:r>
              <w:rPr>
                <w:rFonts w:hint="eastAsia" w:cs="宋体"/>
                <w:color w:val="000000" w:themeColor="text1"/>
                <w:sz w:val="21"/>
                <w:szCs w:val="21"/>
                <w:highlight w:val="none"/>
                <w:lang w:eastAsia="zh-CN"/>
              </w:rPr>
              <w:t>药剂房</w:t>
            </w:r>
            <w:r>
              <w:rPr>
                <w:rFonts w:hint="eastAsia" w:ascii="宋体" w:hAnsi="宋体" w:eastAsia="宋体" w:cs="宋体"/>
                <w:bCs/>
                <w:color w:val="000000" w:themeColor="text1"/>
                <w:sz w:val="21"/>
                <w:szCs w:val="21"/>
                <w:highlight w:val="none"/>
              </w:rPr>
              <w:t>周围无杂草和易燃物</w:t>
            </w:r>
            <w:r>
              <w:rPr>
                <w:rFonts w:hint="eastAsia" w:ascii="宋体" w:hAnsi="宋体" w:eastAsia="宋体" w:cs="宋体"/>
                <w:bCs/>
                <w:color w:val="000000" w:themeColor="text1"/>
                <w:sz w:val="21"/>
                <w:szCs w:val="21"/>
                <w:highlight w:val="none"/>
                <w:lang w:eastAsia="zh-CN"/>
              </w:rPr>
              <w:t>。</w:t>
            </w:r>
          </w:p>
        </w:tc>
        <w:tc>
          <w:tcPr>
            <w:tcW w:w="421" w:type="pct"/>
            <w:noWrap w:val="0"/>
            <w:vAlign w:val="center"/>
          </w:tcPr>
          <w:p w14:paraId="2EB141B2">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45A21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0625E2D1">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0A37D95F">
            <w:pPr>
              <w:widowControl w:val="0"/>
              <w:adjustRightInd w:val="0"/>
              <w:snapToGrid w:val="0"/>
              <w:jc w:val="left"/>
              <w:rPr>
                <w:rFonts w:hint="eastAsia" w:ascii="宋体" w:hAnsi="宋体" w:eastAsia="宋体" w:cs="宋体"/>
                <w:bCs/>
                <w:color w:val="000000" w:themeColor="text1"/>
                <w:kern w:val="0"/>
                <w:sz w:val="21"/>
                <w:szCs w:val="21"/>
                <w:highlight w:val="none"/>
                <w:lang w:val="en-US" w:eastAsia="zh-CN" w:bidi="ar-SA"/>
              </w:rPr>
            </w:pPr>
            <w:r>
              <w:rPr>
                <w:rFonts w:hint="eastAsia" w:ascii="宋体" w:hAnsi="宋体" w:eastAsia="宋体" w:cs="宋体"/>
                <w:bCs/>
                <w:color w:val="000000" w:themeColor="text1"/>
                <w:sz w:val="21"/>
                <w:szCs w:val="21"/>
                <w:highlight w:val="none"/>
              </w:rPr>
              <w:t>库房内地面无漏洒商品，保持地面与货垛清洁卫生。</w:t>
            </w:r>
          </w:p>
        </w:tc>
        <w:tc>
          <w:tcPr>
            <w:tcW w:w="785" w:type="pct"/>
            <w:noWrap w:val="0"/>
            <w:vAlign w:val="center"/>
          </w:tcPr>
          <w:p w14:paraId="1B84C901">
            <w:pPr>
              <w:widowControl w:val="0"/>
              <w:adjustRightInd w:val="0"/>
              <w:snapToGrid w:val="0"/>
              <w:jc w:val="center"/>
              <w:rPr>
                <w:rFonts w:hint="eastAsia" w:ascii="宋体" w:hAnsi="宋体" w:eastAsia="宋体" w:cs="宋体"/>
                <w:bCs/>
                <w:color w:val="000000" w:themeColor="text1"/>
                <w:kern w:val="0"/>
                <w:sz w:val="21"/>
                <w:szCs w:val="21"/>
                <w:highlight w:val="none"/>
                <w:lang w:val="en-US" w:eastAsia="zh-Hans" w:bidi="ar-SA"/>
              </w:rPr>
            </w:pPr>
            <w:r>
              <w:rPr>
                <w:rFonts w:hint="eastAsia" w:ascii="宋体" w:hAnsi="宋体" w:eastAsia="宋体" w:cs="宋体"/>
                <w:color w:val="000000" w:themeColor="text1"/>
                <w:sz w:val="21"/>
                <w:szCs w:val="21"/>
                <w:highlight w:val="none"/>
                <w:lang w:val="en-US" w:eastAsia="zh-Hans"/>
              </w:rPr>
              <w:t>GB17914-2013</w:t>
            </w:r>
            <w:r>
              <w:rPr>
                <w:rFonts w:hint="eastAsia" w:ascii="宋体" w:hAnsi="宋体" w:eastAsia="宋体" w:cs="宋体"/>
                <w:color w:val="000000" w:themeColor="text1"/>
                <w:sz w:val="21"/>
                <w:szCs w:val="21"/>
                <w:highlight w:val="none"/>
                <w:lang w:val="en-US" w:eastAsia="zh-CN"/>
              </w:rPr>
              <w:t>第</w:t>
            </w:r>
            <w:r>
              <w:rPr>
                <w:rFonts w:hint="eastAsia" w:ascii="宋体" w:hAnsi="宋体" w:eastAsia="宋体" w:cs="宋体"/>
                <w:bCs/>
                <w:color w:val="000000" w:themeColor="text1"/>
                <w:sz w:val="21"/>
                <w:szCs w:val="21"/>
                <w:highlight w:val="none"/>
              </w:rPr>
              <w:t>4.4.2</w:t>
            </w:r>
            <w:r>
              <w:rPr>
                <w:rFonts w:hint="eastAsia" w:ascii="宋体" w:hAnsi="宋体" w:eastAsia="宋体" w:cs="宋体"/>
                <w:color w:val="000000" w:themeColor="text1"/>
                <w:sz w:val="21"/>
                <w:szCs w:val="21"/>
                <w:highlight w:val="none"/>
                <w:lang w:val="en-US" w:eastAsia="zh-CN"/>
              </w:rPr>
              <w:t>条</w:t>
            </w:r>
          </w:p>
        </w:tc>
        <w:tc>
          <w:tcPr>
            <w:tcW w:w="1372" w:type="pct"/>
            <w:noWrap w:val="0"/>
            <w:vAlign w:val="center"/>
          </w:tcPr>
          <w:p w14:paraId="047FB38C">
            <w:pPr>
              <w:widowControl w:val="0"/>
              <w:adjustRightInd w:val="0"/>
              <w:snapToGrid w:val="0"/>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lang w:eastAsia="zh-CN"/>
              </w:rPr>
              <w:t>危化品</w:t>
            </w:r>
            <w:r>
              <w:rPr>
                <w:rFonts w:hint="eastAsia" w:cs="宋体"/>
                <w:color w:val="000000" w:themeColor="text1"/>
                <w:sz w:val="21"/>
                <w:szCs w:val="21"/>
                <w:highlight w:val="none"/>
                <w:lang w:eastAsia="zh-CN"/>
              </w:rPr>
              <w:t>备货库房、</w:t>
            </w:r>
            <w:r>
              <w:rPr>
                <w:rFonts w:hint="eastAsia"/>
                <w:color w:val="000000" w:themeColor="text1"/>
                <w:sz w:val="21"/>
                <w:szCs w:val="21"/>
                <w:highlight w:val="none"/>
              </w:rPr>
              <w:t>废水处理站</w:t>
            </w:r>
            <w:r>
              <w:rPr>
                <w:rFonts w:hint="eastAsia" w:cs="宋体"/>
                <w:color w:val="000000" w:themeColor="text1"/>
                <w:sz w:val="21"/>
                <w:szCs w:val="21"/>
                <w:highlight w:val="none"/>
                <w:lang w:eastAsia="zh-CN"/>
              </w:rPr>
              <w:t>药剂房</w:t>
            </w:r>
            <w:r>
              <w:rPr>
                <w:rFonts w:hint="eastAsia" w:ascii="宋体" w:hAnsi="宋体" w:eastAsia="宋体" w:cs="宋体"/>
                <w:bCs/>
                <w:color w:val="000000" w:themeColor="text1"/>
                <w:sz w:val="21"/>
                <w:szCs w:val="21"/>
                <w:highlight w:val="none"/>
              </w:rPr>
              <w:t>内地面无漏洒商品，保持地面与货垛清洁卫生。</w:t>
            </w:r>
          </w:p>
        </w:tc>
        <w:tc>
          <w:tcPr>
            <w:tcW w:w="421" w:type="pct"/>
            <w:noWrap w:val="0"/>
            <w:vAlign w:val="center"/>
          </w:tcPr>
          <w:p w14:paraId="51DA6D03">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52ED2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0C04AA94">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1D774F02">
            <w:pPr>
              <w:widowControl w:val="0"/>
              <w:adjustRightInd w:val="0"/>
              <w:snapToGrid w:val="0"/>
              <w:jc w:val="left"/>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温湿度要求</w:t>
            </w:r>
          </w:p>
          <w:p w14:paraId="5544EE9F">
            <w:pPr>
              <w:widowControl w:val="0"/>
              <w:adjustRightInd w:val="0"/>
              <w:snapToGrid w:val="0"/>
              <w:jc w:val="left"/>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各类商品适宜储存的温湿度见表1,</w:t>
            </w:r>
          </w:p>
        </w:tc>
        <w:tc>
          <w:tcPr>
            <w:tcW w:w="785" w:type="pct"/>
            <w:noWrap w:val="0"/>
            <w:vAlign w:val="center"/>
          </w:tcPr>
          <w:p w14:paraId="7EFA26BB">
            <w:pPr>
              <w:widowControl w:val="0"/>
              <w:adjustRightInd w:val="0"/>
              <w:snapToGrid w:val="0"/>
              <w:jc w:val="center"/>
              <w:rPr>
                <w:rFonts w:hint="eastAsia" w:ascii="宋体" w:hAnsi="宋体" w:eastAsia="宋体" w:cs="宋体"/>
                <w:color w:val="000000" w:themeColor="text1"/>
                <w:sz w:val="21"/>
                <w:szCs w:val="21"/>
                <w:highlight w:val="none"/>
                <w:lang w:val="en-US" w:eastAsia="zh-Hans"/>
              </w:rPr>
            </w:pPr>
            <w:r>
              <w:rPr>
                <w:rFonts w:hint="eastAsia" w:ascii="宋体" w:hAnsi="宋体" w:eastAsia="宋体" w:cs="宋体"/>
                <w:color w:val="000000" w:themeColor="text1"/>
                <w:sz w:val="21"/>
                <w:szCs w:val="21"/>
                <w:highlight w:val="none"/>
                <w:lang w:val="en-US" w:eastAsia="zh-Hans"/>
              </w:rPr>
              <w:t>GB17914-2013</w:t>
            </w:r>
            <w:r>
              <w:rPr>
                <w:rFonts w:hint="eastAsia" w:ascii="宋体" w:hAnsi="宋体" w:eastAsia="宋体" w:cs="宋体"/>
                <w:color w:val="000000" w:themeColor="text1"/>
                <w:sz w:val="21"/>
                <w:szCs w:val="21"/>
                <w:highlight w:val="none"/>
                <w:lang w:val="en-US" w:eastAsia="zh-CN"/>
              </w:rPr>
              <w:t>第</w:t>
            </w:r>
            <w:r>
              <w:rPr>
                <w:rFonts w:hint="eastAsia" w:ascii="宋体" w:hAnsi="宋体" w:eastAsia="宋体" w:cs="宋体"/>
                <w:bCs/>
                <w:color w:val="000000" w:themeColor="text1"/>
                <w:sz w:val="21"/>
                <w:szCs w:val="21"/>
                <w:highlight w:val="none"/>
              </w:rPr>
              <w:t>4.5</w:t>
            </w:r>
            <w:r>
              <w:rPr>
                <w:rFonts w:hint="eastAsia" w:ascii="宋体" w:hAnsi="宋体" w:eastAsia="宋体" w:cs="宋体"/>
                <w:color w:val="000000" w:themeColor="text1"/>
                <w:sz w:val="21"/>
                <w:szCs w:val="21"/>
                <w:highlight w:val="none"/>
                <w:lang w:val="en-US" w:eastAsia="zh-CN"/>
              </w:rPr>
              <w:t>条</w:t>
            </w:r>
          </w:p>
        </w:tc>
        <w:tc>
          <w:tcPr>
            <w:tcW w:w="1372" w:type="pct"/>
            <w:noWrap w:val="0"/>
            <w:vAlign w:val="center"/>
          </w:tcPr>
          <w:p w14:paraId="3738F152">
            <w:pPr>
              <w:pStyle w:val="2"/>
              <w:widowControl w:val="0"/>
              <w:adjustRightInd w:val="0"/>
              <w:snapToGrid w:val="0"/>
              <w:spacing w:after="0"/>
              <w:ind w:left="0" w:leftChars="0" w:firstLine="0" w:firstLineChars="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bidi="ar-SA"/>
              </w:rPr>
              <w:t>设置</w:t>
            </w:r>
            <w:r>
              <w:rPr>
                <w:rFonts w:hint="eastAsia" w:cs="宋体"/>
                <w:color w:val="000000" w:themeColor="text1"/>
                <w:kern w:val="0"/>
                <w:sz w:val="21"/>
                <w:szCs w:val="21"/>
                <w:highlight w:val="none"/>
                <w:lang w:val="en-US" w:eastAsia="zh-CN" w:bidi="ar-SA"/>
              </w:rPr>
              <w:t>了</w:t>
            </w:r>
            <w:r>
              <w:rPr>
                <w:rFonts w:hint="eastAsia" w:ascii="宋体" w:hAnsi="宋体" w:eastAsia="宋体" w:cs="宋体"/>
                <w:color w:val="000000" w:themeColor="text1"/>
                <w:kern w:val="0"/>
                <w:sz w:val="21"/>
                <w:szCs w:val="21"/>
                <w:highlight w:val="none"/>
                <w:lang w:val="en-US" w:eastAsia="zh-CN" w:bidi="ar-SA"/>
              </w:rPr>
              <w:t>温湿度计。</w:t>
            </w:r>
          </w:p>
        </w:tc>
        <w:tc>
          <w:tcPr>
            <w:tcW w:w="421" w:type="pct"/>
            <w:noWrap w:val="0"/>
            <w:vAlign w:val="center"/>
          </w:tcPr>
          <w:p w14:paraId="19D363A8">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0B0CC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3B29E3D6">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5BF39CCA">
            <w:pPr>
              <w:widowControl w:val="0"/>
              <w:adjustRightInd w:val="0"/>
              <w:snapToGrid w:val="0"/>
              <w:jc w:val="both"/>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应在库区设置洗眼器等应急处置设施。</w:t>
            </w:r>
          </w:p>
        </w:tc>
        <w:tc>
          <w:tcPr>
            <w:tcW w:w="785" w:type="pct"/>
            <w:noWrap w:val="0"/>
            <w:vAlign w:val="center"/>
          </w:tcPr>
          <w:p w14:paraId="01085794">
            <w:pPr>
              <w:widowControl w:val="0"/>
              <w:adjustRightInd w:val="0"/>
              <w:snapToGrid w:val="0"/>
              <w:jc w:val="center"/>
              <w:rPr>
                <w:rFonts w:hint="eastAsia" w:ascii="宋体" w:hAnsi="宋体" w:eastAsia="宋体" w:cs="宋体"/>
                <w:color w:val="000000" w:themeColor="text1"/>
                <w:sz w:val="21"/>
                <w:szCs w:val="21"/>
                <w:highlight w:val="none"/>
                <w:lang w:val="en-US" w:eastAsia="zh-Hans"/>
              </w:rPr>
            </w:pPr>
            <w:r>
              <w:rPr>
                <w:rFonts w:hint="eastAsia" w:ascii="宋体" w:hAnsi="宋体" w:eastAsia="宋体" w:cs="宋体"/>
                <w:bCs/>
                <w:color w:val="000000" w:themeColor="text1"/>
                <w:sz w:val="21"/>
                <w:szCs w:val="21"/>
                <w:highlight w:val="none"/>
              </w:rPr>
              <w:t>GB 17915-2013第4.3.3条</w:t>
            </w:r>
          </w:p>
        </w:tc>
        <w:tc>
          <w:tcPr>
            <w:tcW w:w="1372" w:type="pct"/>
            <w:noWrap w:val="0"/>
            <w:vAlign w:val="center"/>
          </w:tcPr>
          <w:p w14:paraId="462FB87A">
            <w:pPr>
              <w:widowControl w:val="0"/>
              <w:adjustRightInd w:val="0"/>
              <w:snapToGrid w:val="0"/>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bCs/>
                <w:color w:val="000000" w:themeColor="text1"/>
                <w:sz w:val="21"/>
                <w:szCs w:val="21"/>
                <w:highlight w:val="none"/>
              </w:rPr>
              <w:t>设置</w:t>
            </w:r>
            <w:r>
              <w:rPr>
                <w:rFonts w:hint="eastAsia" w:ascii="宋体" w:hAnsi="宋体" w:eastAsia="宋体" w:cs="宋体"/>
                <w:bCs/>
                <w:color w:val="000000" w:themeColor="text1"/>
                <w:sz w:val="21"/>
                <w:szCs w:val="21"/>
                <w:highlight w:val="none"/>
                <w:lang w:eastAsia="zh-CN"/>
              </w:rPr>
              <w:t>了</w:t>
            </w:r>
            <w:r>
              <w:rPr>
                <w:rFonts w:hint="eastAsia" w:ascii="宋体" w:hAnsi="宋体" w:eastAsia="宋体" w:cs="宋体"/>
                <w:bCs/>
                <w:color w:val="000000" w:themeColor="text1"/>
                <w:sz w:val="21"/>
                <w:szCs w:val="21"/>
                <w:highlight w:val="none"/>
              </w:rPr>
              <w:t>洗眼器</w:t>
            </w:r>
            <w:r>
              <w:rPr>
                <w:rFonts w:hint="eastAsia" w:ascii="宋体" w:hAnsi="宋体" w:eastAsia="宋体" w:cs="宋体"/>
                <w:bCs/>
                <w:color w:val="000000" w:themeColor="text1"/>
                <w:sz w:val="21"/>
                <w:szCs w:val="21"/>
                <w:highlight w:val="none"/>
                <w:lang w:eastAsia="zh-CN"/>
              </w:rPr>
              <w:t>。</w:t>
            </w:r>
          </w:p>
        </w:tc>
        <w:tc>
          <w:tcPr>
            <w:tcW w:w="421" w:type="pct"/>
            <w:noWrap w:val="0"/>
            <w:vAlign w:val="center"/>
          </w:tcPr>
          <w:p w14:paraId="31E7E797">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5F7EF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6EFE47B7">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4D9DA5A4">
            <w:pPr>
              <w:widowControl w:val="0"/>
              <w:adjustRightInd w:val="0"/>
              <w:snapToGrid w:val="0"/>
              <w:jc w:val="left"/>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sz w:val="21"/>
                <w:szCs w:val="21"/>
                <w:highlight w:val="none"/>
              </w:rPr>
              <w:t>库房应保持清洁。</w:t>
            </w:r>
          </w:p>
        </w:tc>
        <w:tc>
          <w:tcPr>
            <w:tcW w:w="785" w:type="pct"/>
            <w:noWrap w:val="0"/>
            <w:vAlign w:val="center"/>
          </w:tcPr>
          <w:p w14:paraId="6B774913">
            <w:pPr>
              <w:widowControl w:val="0"/>
              <w:adjustRightInd w:val="0"/>
              <w:snapToGrid w:val="0"/>
              <w:jc w:val="center"/>
              <w:rPr>
                <w:rFonts w:hint="eastAsia" w:ascii="宋体" w:hAnsi="宋体" w:eastAsia="宋体" w:cs="宋体"/>
                <w:color w:val="000000" w:themeColor="text1"/>
                <w:sz w:val="21"/>
                <w:szCs w:val="21"/>
                <w:highlight w:val="none"/>
                <w:lang w:val="en-US" w:eastAsia="zh-Hans"/>
              </w:rPr>
            </w:pPr>
            <w:r>
              <w:rPr>
                <w:rFonts w:hint="eastAsia" w:ascii="宋体" w:hAnsi="宋体" w:eastAsia="宋体" w:cs="宋体"/>
                <w:bCs/>
                <w:color w:val="000000" w:themeColor="text1"/>
                <w:sz w:val="21"/>
                <w:szCs w:val="21"/>
                <w:highlight w:val="none"/>
              </w:rPr>
              <w:t>GB 17915-2013第</w:t>
            </w:r>
            <w:r>
              <w:rPr>
                <w:rFonts w:hint="eastAsia" w:ascii="宋体" w:hAnsi="宋体" w:eastAsia="宋体" w:cs="宋体"/>
                <w:color w:val="000000" w:themeColor="text1"/>
                <w:sz w:val="21"/>
                <w:szCs w:val="21"/>
                <w:highlight w:val="none"/>
              </w:rPr>
              <w:t>4.4.1</w:t>
            </w:r>
            <w:r>
              <w:rPr>
                <w:rFonts w:hint="eastAsia" w:ascii="宋体" w:hAnsi="宋体" w:eastAsia="宋体" w:cs="宋体"/>
                <w:bCs/>
                <w:color w:val="000000" w:themeColor="text1"/>
                <w:sz w:val="21"/>
                <w:szCs w:val="21"/>
                <w:highlight w:val="none"/>
              </w:rPr>
              <w:t>条</w:t>
            </w:r>
          </w:p>
        </w:tc>
        <w:tc>
          <w:tcPr>
            <w:tcW w:w="1372" w:type="pct"/>
            <w:noWrap w:val="0"/>
            <w:vAlign w:val="center"/>
          </w:tcPr>
          <w:p w14:paraId="51AAB330">
            <w:pPr>
              <w:widowControl w:val="0"/>
              <w:adjustRightInd w:val="0"/>
              <w:snapToGrid w:val="0"/>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rPr>
              <w:t>保持清洁。</w:t>
            </w:r>
          </w:p>
        </w:tc>
        <w:tc>
          <w:tcPr>
            <w:tcW w:w="421" w:type="pct"/>
            <w:noWrap w:val="0"/>
            <w:vAlign w:val="center"/>
          </w:tcPr>
          <w:p w14:paraId="602CA6F5">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72040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2" w:type="pct"/>
            <w:noWrap w:val="0"/>
            <w:vAlign w:val="center"/>
          </w:tcPr>
          <w:p w14:paraId="4E92FD3D">
            <w:pPr>
              <w:widowControl w:val="0"/>
              <w:numPr>
                <w:ilvl w:val="0"/>
                <w:numId w:val="55"/>
              </w:numPr>
              <w:adjustRightInd w:val="0"/>
              <w:snapToGrid w:val="0"/>
              <w:ind w:left="425" w:leftChars="0" w:hanging="425" w:firstLineChars="0"/>
              <w:jc w:val="center"/>
              <w:rPr>
                <w:rFonts w:hint="eastAsia" w:ascii="宋体" w:hAnsi="宋体" w:eastAsia="宋体" w:cs="宋体"/>
                <w:color w:val="000000" w:themeColor="text1"/>
                <w:sz w:val="21"/>
                <w:szCs w:val="21"/>
                <w:highlight w:val="none"/>
              </w:rPr>
            </w:pPr>
          </w:p>
        </w:tc>
        <w:tc>
          <w:tcPr>
            <w:tcW w:w="2177" w:type="pct"/>
            <w:noWrap w:val="0"/>
            <w:vAlign w:val="center"/>
          </w:tcPr>
          <w:p w14:paraId="34BD3140">
            <w:pPr>
              <w:widowControl w:val="0"/>
              <w:adjustRightInd w:val="0"/>
              <w:snapToGrid w:val="0"/>
              <w:jc w:val="left"/>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sz w:val="21"/>
                <w:szCs w:val="21"/>
                <w:highlight w:val="none"/>
              </w:rPr>
              <w:t>库区的杂物、易燃物应及时清理，排水保持畅通。</w:t>
            </w:r>
          </w:p>
        </w:tc>
        <w:tc>
          <w:tcPr>
            <w:tcW w:w="785" w:type="pct"/>
            <w:noWrap w:val="0"/>
            <w:vAlign w:val="center"/>
          </w:tcPr>
          <w:p w14:paraId="4A70AF0A">
            <w:pPr>
              <w:widowControl w:val="0"/>
              <w:adjustRightInd w:val="0"/>
              <w:snapToGrid w:val="0"/>
              <w:jc w:val="center"/>
              <w:rPr>
                <w:rFonts w:hint="eastAsia" w:ascii="宋体" w:hAnsi="宋体" w:eastAsia="宋体" w:cs="宋体"/>
                <w:color w:val="000000" w:themeColor="text1"/>
                <w:sz w:val="21"/>
                <w:szCs w:val="21"/>
                <w:highlight w:val="none"/>
                <w:lang w:val="en-US" w:eastAsia="zh-Hans"/>
              </w:rPr>
            </w:pPr>
            <w:r>
              <w:rPr>
                <w:rFonts w:hint="eastAsia" w:ascii="宋体" w:hAnsi="宋体" w:eastAsia="宋体" w:cs="宋体"/>
                <w:bCs/>
                <w:color w:val="000000" w:themeColor="text1"/>
                <w:sz w:val="21"/>
                <w:szCs w:val="21"/>
                <w:highlight w:val="none"/>
              </w:rPr>
              <w:t>GB 17915-2013第</w:t>
            </w:r>
            <w:r>
              <w:rPr>
                <w:rFonts w:hint="eastAsia" w:ascii="宋体" w:hAnsi="宋体" w:eastAsia="宋体" w:cs="宋体"/>
                <w:color w:val="000000" w:themeColor="text1"/>
                <w:sz w:val="21"/>
                <w:szCs w:val="21"/>
                <w:highlight w:val="none"/>
              </w:rPr>
              <w:t>4.4.2</w:t>
            </w:r>
            <w:r>
              <w:rPr>
                <w:rFonts w:hint="eastAsia" w:ascii="宋体" w:hAnsi="宋体" w:eastAsia="宋体" w:cs="宋体"/>
                <w:bCs/>
                <w:color w:val="000000" w:themeColor="text1"/>
                <w:sz w:val="21"/>
                <w:szCs w:val="21"/>
                <w:highlight w:val="none"/>
              </w:rPr>
              <w:t>条</w:t>
            </w:r>
          </w:p>
        </w:tc>
        <w:tc>
          <w:tcPr>
            <w:tcW w:w="1372" w:type="pct"/>
            <w:noWrap w:val="0"/>
            <w:vAlign w:val="center"/>
          </w:tcPr>
          <w:p w14:paraId="7B590440">
            <w:pPr>
              <w:widowControl w:val="0"/>
              <w:adjustRightInd w:val="0"/>
              <w:snapToGrid w:val="0"/>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lang w:eastAsia="zh-CN"/>
              </w:rPr>
              <w:t>无</w:t>
            </w:r>
            <w:r>
              <w:rPr>
                <w:rFonts w:hint="eastAsia" w:ascii="宋体" w:hAnsi="宋体" w:eastAsia="宋体" w:cs="宋体"/>
                <w:color w:val="000000" w:themeColor="text1"/>
                <w:sz w:val="21"/>
                <w:szCs w:val="21"/>
                <w:highlight w:val="none"/>
              </w:rPr>
              <w:t>杂物、</w:t>
            </w:r>
            <w:r>
              <w:rPr>
                <w:rFonts w:hint="eastAsia" w:ascii="宋体" w:hAnsi="宋体" w:cs="宋体"/>
                <w:color w:val="000000" w:themeColor="text1"/>
                <w:sz w:val="21"/>
                <w:szCs w:val="21"/>
                <w:highlight w:val="none"/>
                <w:lang w:eastAsia="zh-CN"/>
              </w:rPr>
              <w:t>无</w:t>
            </w:r>
            <w:r>
              <w:rPr>
                <w:rFonts w:hint="eastAsia" w:ascii="宋体" w:hAnsi="宋体" w:eastAsia="宋体" w:cs="宋体"/>
                <w:color w:val="000000" w:themeColor="text1"/>
                <w:sz w:val="21"/>
                <w:szCs w:val="21"/>
                <w:highlight w:val="none"/>
                <w:lang w:eastAsia="zh-CN"/>
              </w:rPr>
              <w:t>无关</w:t>
            </w:r>
            <w:r>
              <w:rPr>
                <w:rFonts w:hint="eastAsia" w:ascii="宋体" w:hAnsi="宋体" w:eastAsia="宋体" w:cs="宋体"/>
                <w:color w:val="000000" w:themeColor="text1"/>
                <w:sz w:val="21"/>
                <w:szCs w:val="21"/>
                <w:highlight w:val="none"/>
              </w:rPr>
              <w:t>易燃物，排水保持畅通。</w:t>
            </w:r>
          </w:p>
        </w:tc>
        <w:tc>
          <w:tcPr>
            <w:tcW w:w="421" w:type="pct"/>
            <w:noWrap w:val="0"/>
            <w:vAlign w:val="center"/>
          </w:tcPr>
          <w:p w14:paraId="5242BFC4">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bl>
    <w:p w14:paraId="59FDBE0A">
      <w:pPr>
        <w:keepNext w:val="0"/>
        <w:keepLines w:val="0"/>
        <w:pageBreakBefore w:val="0"/>
        <w:widowControl w:val="0"/>
        <w:kinsoku/>
        <w:wordWrap/>
        <w:overflowPunct/>
        <w:topLinePunct w:val="0"/>
        <w:autoSpaceDE/>
        <w:autoSpaceDN/>
        <w:bidi w:val="0"/>
        <w:adjustRightInd w:val="0"/>
        <w:snapToGrid w:val="0"/>
        <w:spacing w:before="219" w:beforeLines="50" w:line="360" w:lineRule="auto"/>
        <w:ind w:left="0" w:firstLine="560" w:firstLineChars="200"/>
        <w:textAlignment w:val="auto"/>
        <w:rPr>
          <w:rFonts w:hint="eastAsia" w:ascii="宋体" w:hAnsi="宋体" w:eastAsia="宋体" w:cs="宋体"/>
          <w:color w:val="000000" w:themeColor="text1"/>
          <w:kern w:val="0"/>
          <w:sz w:val="28"/>
          <w:szCs w:val="28"/>
          <w:highlight w:val="none"/>
          <w:lang w:val="en-GB" w:eastAsia="zh-CN"/>
        </w:rPr>
      </w:pPr>
      <w:r>
        <w:rPr>
          <w:rFonts w:hint="eastAsia" w:ascii="宋体" w:hAnsi="宋体" w:eastAsia="宋体" w:cs="宋体"/>
          <w:color w:val="000000" w:themeColor="text1"/>
          <w:kern w:val="0"/>
          <w:sz w:val="28"/>
          <w:szCs w:val="28"/>
          <w:highlight w:val="none"/>
          <w:lang w:val="en-GB" w:eastAsia="zh-CN"/>
        </w:rPr>
        <w:t>经检查，</w:t>
      </w:r>
      <w:r>
        <w:rPr>
          <w:rFonts w:hint="eastAsia" w:cs="宋体"/>
          <w:color w:val="000000" w:themeColor="text1"/>
          <w:kern w:val="0"/>
          <w:sz w:val="28"/>
          <w:szCs w:val="28"/>
          <w:highlight w:val="none"/>
          <w:lang w:val="en-GB" w:eastAsia="zh-CN"/>
        </w:rPr>
        <w:t>本项目危险化学品储存</w:t>
      </w:r>
      <w:r>
        <w:rPr>
          <w:rFonts w:hint="eastAsia" w:ascii="宋体" w:hAnsi="宋体" w:eastAsia="宋体" w:cs="宋体"/>
          <w:color w:val="000000" w:themeColor="text1"/>
          <w:kern w:val="0"/>
          <w:sz w:val="28"/>
          <w:szCs w:val="28"/>
          <w:highlight w:val="none"/>
          <w:lang w:val="en-GB" w:eastAsia="zh-CN"/>
        </w:rPr>
        <w:t>存在如下问题：</w:t>
      </w:r>
    </w:p>
    <w:p w14:paraId="2A928EE0">
      <w:pPr>
        <w:keepNext w:val="0"/>
        <w:keepLines w:val="0"/>
        <w:pageBreakBefore w:val="0"/>
        <w:widowControl w:val="0"/>
        <w:numPr>
          <w:ilvl w:val="0"/>
          <w:numId w:val="5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危险化学品备货库房25米内有1间电工办公室、1间机修办公室；</w:t>
      </w:r>
    </w:p>
    <w:p w14:paraId="2DE8382E">
      <w:pPr>
        <w:keepNext w:val="0"/>
        <w:keepLines w:val="0"/>
        <w:pageBreakBefore w:val="0"/>
        <w:widowControl w:val="0"/>
        <w:numPr>
          <w:ilvl w:val="0"/>
          <w:numId w:val="5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乙酸包装桶、过碳酸钠包装袋、次氯酸</w:t>
      </w:r>
      <w:r>
        <w:rPr>
          <w:rFonts w:hint="eastAsia" w:cs="宋体"/>
          <w:color w:val="000000" w:themeColor="text1"/>
          <w:kern w:val="0"/>
          <w:sz w:val="28"/>
          <w:szCs w:val="28"/>
          <w:highlight w:val="none"/>
          <w:lang w:eastAsia="zh-CN"/>
        </w:rPr>
        <w:t>钠</w:t>
      </w:r>
      <w:r>
        <w:rPr>
          <w:rFonts w:hint="eastAsia" w:ascii="宋体" w:hAnsi="宋体" w:eastAsia="宋体" w:cs="宋体"/>
          <w:color w:val="000000" w:themeColor="text1"/>
          <w:kern w:val="0"/>
          <w:sz w:val="28"/>
          <w:szCs w:val="28"/>
          <w:highlight w:val="none"/>
        </w:rPr>
        <w:t>溶液包装桶上未粘贴或者拴挂化学品安全标签。</w:t>
      </w:r>
    </w:p>
    <w:p w14:paraId="359F1408">
      <w:pPr>
        <w:keepNext w:val="0"/>
        <w:keepLines w:val="0"/>
        <w:pageBreakBefore w:val="0"/>
        <w:widowControl w:val="0"/>
        <w:numPr>
          <w:ilvl w:val="0"/>
          <w:numId w:val="5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kern w:val="0"/>
          <w:sz w:val="28"/>
          <w:szCs w:val="28"/>
          <w:highlight w:val="none"/>
          <w:lang w:val="en-GB"/>
        </w:rPr>
      </w:pPr>
      <w:r>
        <w:rPr>
          <w:rFonts w:hint="eastAsia"/>
          <w:color w:val="000000" w:themeColor="text1"/>
          <w:sz w:val="28"/>
          <w:szCs w:val="28"/>
          <w:highlight w:val="none"/>
          <w:lang w:val="en-GB"/>
        </w:rPr>
        <w:t>乙酸使用塑料容器储存。</w:t>
      </w:r>
    </w:p>
    <w:p w14:paraId="7CE58941">
      <w:pPr>
        <w:keepNext w:val="0"/>
        <w:keepLines w:val="0"/>
        <w:pageBreakBefore w:val="0"/>
        <w:widowControl w:val="0"/>
        <w:numPr>
          <w:ilvl w:val="0"/>
          <w:numId w:val="5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000000" w:themeColor="text1"/>
          <w:kern w:val="0"/>
          <w:sz w:val="28"/>
          <w:szCs w:val="28"/>
          <w:highlight w:val="none"/>
          <w:lang w:val="en-GB"/>
        </w:rPr>
      </w:pPr>
      <w:r>
        <w:rPr>
          <w:rFonts w:hint="eastAsia" w:ascii="宋体" w:hAnsi="宋体" w:eastAsia="宋体" w:cs="宋体"/>
          <w:color w:val="000000" w:themeColor="text1"/>
          <w:kern w:val="0"/>
          <w:sz w:val="28"/>
          <w:szCs w:val="28"/>
          <w:highlight w:val="none"/>
        </w:rPr>
        <w:t>乙酸、次氯酸钠溶液直接与地面接触。</w:t>
      </w:r>
    </w:p>
    <w:p w14:paraId="69F57B63">
      <w:pPr>
        <w:widowControl w:val="0"/>
        <w:numPr>
          <w:ilvl w:val="0"/>
          <w:numId w:val="56"/>
        </w:numPr>
        <w:adjustRightInd w:val="0"/>
        <w:snapToGrid w:val="0"/>
        <w:spacing w:line="360" w:lineRule="auto"/>
        <w:ind w:left="0" w:firstLine="560" w:firstLineChars="200"/>
        <w:rPr>
          <w:rFonts w:hint="eastAsia"/>
          <w:color w:val="000000" w:themeColor="text1"/>
          <w:sz w:val="28"/>
          <w:szCs w:val="28"/>
          <w:highlight w:val="none"/>
          <w:lang w:val="en-GB"/>
        </w:rPr>
      </w:pPr>
      <w:r>
        <w:rPr>
          <w:rFonts w:hint="eastAsia"/>
          <w:color w:val="000000" w:themeColor="text1"/>
          <w:sz w:val="28"/>
          <w:szCs w:val="28"/>
          <w:highlight w:val="none"/>
          <w:lang w:val="en-GB"/>
        </w:rPr>
        <w:t>危险化学品备货库房堆垛间距不满足GB15603-2022要求。</w:t>
      </w:r>
    </w:p>
    <w:bookmarkEnd w:id="888"/>
    <w:bookmarkEnd w:id="889"/>
    <w:p w14:paraId="55F8F840">
      <w:pPr>
        <w:widowControl w:val="0"/>
        <w:adjustRightInd w:val="0"/>
        <w:snapToGrid w:val="0"/>
        <w:spacing w:beforeLines="0" w:afterLines="0" w:line="360" w:lineRule="auto"/>
        <w:outlineLvl w:val="2"/>
        <w:rPr>
          <w:rFonts w:hint="eastAsia" w:ascii="黑体" w:hAnsi="黑体" w:eastAsia="黑体" w:cs="黑体"/>
          <w:b/>
          <w:bCs w:val="0"/>
          <w:color w:val="000000" w:themeColor="text1"/>
          <w:sz w:val="28"/>
          <w:szCs w:val="28"/>
          <w:highlight w:val="none"/>
        </w:rPr>
      </w:pPr>
      <w:bookmarkStart w:id="894" w:name="_Toc32105"/>
      <w:bookmarkStart w:id="895" w:name="_Toc4073"/>
      <w:bookmarkStart w:id="896" w:name="_Toc22929"/>
      <w:bookmarkStart w:id="897" w:name="_Toc23284"/>
      <w:bookmarkStart w:id="898" w:name="_Toc8451"/>
      <w:bookmarkStart w:id="899" w:name="_Toc13392"/>
      <w:r>
        <w:rPr>
          <w:rFonts w:hint="eastAsia" w:ascii="黑体" w:hAnsi="黑体" w:eastAsia="黑体" w:cs="黑体"/>
          <w:b/>
          <w:bCs w:val="0"/>
          <w:color w:val="000000" w:themeColor="text1"/>
          <w:sz w:val="28"/>
          <w:szCs w:val="28"/>
          <w:highlight w:val="none"/>
        </w:rPr>
        <w:t>5.1.</w:t>
      </w:r>
      <w:bookmarkStart w:id="900" w:name="_Toc488157716"/>
      <w:bookmarkStart w:id="901" w:name="_Toc47954887"/>
      <w:r>
        <w:rPr>
          <w:rFonts w:hint="eastAsia" w:ascii="黑体" w:hAnsi="黑体" w:eastAsia="黑体" w:cs="黑体"/>
          <w:b/>
          <w:bCs w:val="0"/>
          <w:color w:val="000000" w:themeColor="text1"/>
          <w:sz w:val="28"/>
          <w:szCs w:val="28"/>
          <w:highlight w:val="none"/>
          <w:lang w:val="en-US" w:eastAsia="zh-CN"/>
        </w:rPr>
        <w:t>5防火</w:t>
      </w:r>
      <w:r>
        <w:rPr>
          <w:rFonts w:hint="eastAsia" w:ascii="黑体" w:hAnsi="黑体" w:eastAsia="黑体" w:cs="黑体"/>
          <w:b/>
          <w:bCs w:val="0"/>
          <w:color w:val="000000" w:themeColor="text1"/>
          <w:sz w:val="28"/>
          <w:szCs w:val="28"/>
          <w:highlight w:val="none"/>
          <w:lang w:eastAsia="zh-CN"/>
        </w:rPr>
        <w:t>防爆设施</w:t>
      </w:r>
      <w:r>
        <w:rPr>
          <w:rFonts w:hint="eastAsia" w:ascii="黑体" w:hAnsi="黑体" w:eastAsia="黑体" w:cs="黑体"/>
          <w:b/>
          <w:bCs w:val="0"/>
          <w:color w:val="000000" w:themeColor="text1"/>
          <w:sz w:val="28"/>
          <w:szCs w:val="28"/>
          <w:highlight w:val="none"/>
        </w:rPr>
        <w:t>评价</w:t>
      </w:r>
      <w:bookmarkEnd w:id="890"/>
      <w:bookmarkEnd w:id="891"/>
      <w:bookmarkEnd w:id="894"/>
      <w:bookmarkEnd w:id="895"/>
      <w:bookmarkEnd w:id="896"/>
      <w:bookmarkEnd w:id="897"/>
      <w:bookmarkEnd w:id="898"/>
      <w:bookmarkEnd w:id="899"/>
      <w:bookmarkEnd w:id="900"/>
      <w:bookmarkEnd w:id="901"/>
    </w:p>
    <w:p w14:paraId="1CB4C095">
      <w:pPr>
        <w:widowControl w:val="0"/>
        <w:numPr>
          <w:ilvl w:val="0"/>
          <w:numId w:val="57"/>
        </w:numPr>
        <w:adjustRightInd w:val="0"/>
        <w:snapToGrid w:val="0"/>
        <w:spacing w:line="360" w:lineRule="auto"/>
        <w:ind w:left="0" w:firstLine="560" w:firstLineChars="200"/>
        <w:jc w:val="left"/>
        <w:outlineLvl w:val="9"/>
        <w:rPr>
          <w:rFonts w:ascii="宋体" w:hAnsi="宋体"/>
          <w:color w:val="000000" w:themeColor="text1"/>
          <w:sz w:val="28"/>
          <w:szCs w:val="28"/>
          <w:highlight w:val="none"/>
        </w:rPr>
      </w:pPr>
      <w:r>
        <w:rPr>
          <w:rFonts w:hint="eastAsia" w:ascii="宋体" w:hAnsi="宋体"/>
          <w:color w:val="000000" w:themeColor="text1"/>
          <w:sz w:val="28"/>
          <w:szCs w:val="28"/>
          <w:highlight w:val="none"/>
        </w:rPr>
        <w:t>爆炸危险区域电气线路和防爆电气安装检查</w:t>
      </w:r>
    </w:p>
    <w:p w14:paraId="0063E3EC">
      <w:pPr>
        <w:widowControl w:val="0"/>
        <w:adjustRightInd w:val="0"/>
        <w:snapToGrid w:val="0"/>
        <w:spacing w:line="360" w:lineRule="auto"/>
        <w:ind w:firstLine="560" w:firstLineChars="200"/>
        <w:jc w:val="left"/>
        <w:rPr>
          <w:rFonts w:hint="eastAsia" w:ascii="宋体" w:hAnsi="宋体"/>
          <w:color w:val="000000" w:themeColor="text1"/>
          <w:sz w:val="28"/>
          <w:szCs w:val="28"/>
          <w:highlight w:val="none"/>
        </w:rPr>
      </w:pPr>
      <w:r>
        <w:rPr>
          <w:rFonts w:hint="eastAsia" w:ascii="宋体" w:hAnsi="宋体"/>
          <w:color w:val="000000" w:themeColor="text1"/>
          <w:sz w:val="28"/>
          <w:szCs w:val="28"/>
          <w:highlight w:val="none"/>
        </w:rPr>
        <w:t>依据《爆炸危险环境电力装置设计规范》GB50058-2014、《危险场所电气防爆安全规范》</w:t>
      </w:r>
      <w:r>
        <w:rPr>
          <w:rFonts w:ascii="宋体" w:hAnsi="宋体"/>
          <w:color w:val="000000" w:themeColor="text1"/>
          <w:sz w:val="28"/>
          <w:szCs w:val="28"/>
          <w:highlight w:val="none"/>
        </w:rPr>
        <w:t>AQ3009-2007</w:t>
      </w:r>
      <w:r>
        <w:rPr>
          <w:rFonts w:hint="eastAsia" w:ascii="宋体" w:hAnsi="宋体" w:cs="宋体"/>
          <w:color w:val="000000" w:themeColor="text1"/>
          <w:sz w:val="28"/>
          <w:szCs w:val="28"/>
          <w:highlight w:val="none"/>
          <w:lang w:val="zh-CN"/>
        </w:rPr>
        <w:t>对</w:t>
      </w:r>
      <w:r>
        <w:rPr>
          <w:rFonts w:hint="eastAsia" w:cs="宋体"/>
          <w:color w:val="000000" w:themeColor="text1"/>
          <w:sz w:val="28"/>
          <w:szCs w:val="28"/>
          <w:highlight w:val="none"/>
          <w:lang w:val="zh-CN"/>
        </w:rPr>
        <w:t>危险化学品备货库房</w:t>
      </w:r>
      <w:r>
        <w:rPr>
          <w:rFonts w:hint="eastAsia" w:cs="宋体"/>
          <w:color w:val="000000" w:themeColor="text1"/>
          <w:sz w:val="28"/>
          <w:szCs w:val="28"/>
          <w:highlight w:val="none"/>
          <w:lang w:val="en-US" w:eastAsia="zh-CN"/>
        </w:rPr>
        <w:t>1#隔间</w:t>
      </w:r>
      <w:r>
        <w:rPr>
          <w:rFonts w:hint="eastAsia" w:ascii="宋体" w:hAnsi="宋体"/>
          <w:color w:val="000000" w:themeColor="text1"/>
          <w:sz w:val="28"/>
          <w:szCs w:val="28"/>
          <w:highlight w:val="none"/>
        </w:rPr>
        <w:t>爆炸危险区域电气线路和防爆电气安装进行</w:t>
      </w:r>
      <w:r>
        <w:rPr>
          <w:rFonts w:hint="eastAsia" w:ascii="宋体" w:hAnsi="宋体"/>
          <w:color w:val="000000" w:themeColor="text1"/>
          <w:sz w:val="28"/>
          <w:szCs w:val="28"/>
          <w:highlight w:val="none"/>
          <w:lang w:eastAsia="zh-CN"/>
        </w:rPr>
        <w:t>检查</w:t>
      </w:r>
      <w:r>
        <w:rPr>
          <w:rFonts w:hint="eastAsia" w:ascii="宋体" w:hAnsi="宋体"/>
          <w:color w:val="000000" w:themeColor="text1"/>
          <w:sz w:val="28"/>
          <w:szCs w:val="28"/>
          <w:highlight w:val="none"/>
        </w:rPr>
        <w:t>，检查</w:t>
      </w:r>
      <w:r>
        <w:rPr>
          <w:rFonts w:hint="eastAsia" w:ascii="宋体" w:hAnsi="宋体"/>
          <w:color w:val="000000" w:themeColor="text1"/>
          <w:sz w:val="28"/>
          <w:szCs w:val="28"/>
          <w:highlight w:val="none"/>
          <w:lang w:eastAsia="zh-CN"/>
        </w:rPr>
        <w:t>情况见下表</w:t>
      </w:r>
      <w:r>
        <w:rPr>
          <w:rFonts w:hint="eastAsia" w:ascii="宋体" w:hAnsi="宋体"/>
          <w:color w:val="000000" w:themeColor="text1"/>
          <w:sz w:val="28"/>
          <w:szCs w:val="28"/>
          <w:highlight w:val="none"/>
        </w:rPr>
        <w:t>。</w:t>
      </w:r>
    </w:p>
    <w:p w14:paraId="1ABC46DD">
      <w:pPr>
        <w:pStyle w:val="732"/>
        <w:widowControl w:val="0"/>
        <w:adjustRightInd w:val="0"/>
        <w:snapToGrid w:val="0"/>
        <w:spacing w:line="360" w:lineRule="auto"/>
        <w:ind w:firstLine="0" w:firstLineChars="0"/>
        <w:jc w:val="center"/>
        <w:rPr>
          <w:rFonts w:ascii="黑体" w:hAnsi="黑体" w:eastAsia="黑体"/>
          <w:b/>
          <w:bCs/>
          <w:color w:val="000000" w:themeColor="text1"/>
          <w:kern w:val="0"/>
          <w:sz w:val="24"/>
          <w:szCs w:val="24"/>
          <w:highlight w:val="none"/>
        </w:rPr>
      </w:pPr>
      <w:r>
        <w:rPr>
          <w:rFonts w:ascii="黑体" w:hAnsi="黑体" w:eastAsia="黑体"/>
          <w:b/>
          <w:bCs/>
          <w:color w:val="000000" w:themeColor="text1"/>
          <w:kern w:val="0"/>
          <w:sz w:val="24"/>
          <w:szCs w:val="24"/>
          <w:highlight w:val="none"/>
        </w:rPr>
        <w:t>表5</w:t>
      </w:r>
      <w:r>
        <w:rPr>
          <w:rFonts w:hint="eastAsia" w:ascii="黑体" w:hAnsi="黑体" w:eastAsia="黑体"/>
          <w:b/>
          <w:bCs/>
          <w:color w:val="000000" w:themeColor="text1"/>
          <w:kern w:val="0"/>
          <w:sz w:val="24"/>
          <w:szCs w:val="24"/>
          <w:highlight w:val="none"/>
        </w:rPr>
        <w:t>.1</w:t>
      </w:r>
      <w:r>
        <w:rPr>
          <w:rFonts w:ascii="黑体" w:hAnsi="黑体" w:eastAsia="黑体"/>
          <w:b/>
          <w:bCs/>
          <w:color w:val="000000" w:themeColor="text1"/>
          <w:kern w:val="0"/>
          <w:sz w:val="24"/>
          <w:szCs w:val="24"/>
          <w:highlight w:val="none"/>
        </w:rPr>
        <w:t>-</w:t>
      </w:r>
      <w:r>
        <w:rPr>
          <w:rFonts w:hint="eastAsia" w:ascii="黑体" w:hAnsi="黑体" w:eastAsia="黑体"/>
          <w:b/>
          <w:bCs/>
          <w:color w:val="000000" w:themeColor="text1"/>
          <w:kern w:val="0"/>
          <w:sz w:val="24"/>
          <w:szCs w:val="24"/>
          <w:highlight w:val="none"/>
          <w:lang w:val="en-US" w:eastAsia="zh-CN"/>
        </w:rPr>
        <w:t>7</w:t>
      </w:r>
      <w:r>
        <w:rPr>
          <w:rFonts w:ascii="黑体" w:hAnsi="黑体" w:eastAsia="黑体" w:cs="Times New Roman"/>
          <w:b/>
          <w:bCs/>
          <w:color w:val="000000" w:themeColor="text1"/>
          <w:kern w:val="0"/>
          <w:sz w:val="24"/>
          <w:szCs w:val="24"/>
          <w:highlight w:val="none"/>
        </w:rPr>
        <w:t xml:space="preserve"> 爆炸危险区域电气线路和防爆电气设备检查</w:t>
      </w:r>
      <w:r>
        <w:rPr>
          <w:rFonts w:hint="default" w:ascii="黑体" w:hAnsi="黑体" w:eastAsia="黑体"/>
          <w:b/>
          <w:bCs/>
          <w:color w:val="000000" w:themeColor="text1"/>
          <w:kern w:val="0"/>
          <w:sz w:val="24"/>
          <w:szCs w:val="24"/>
          <w:highlight w:val="none"/>
        </w:rPr>
        <w:t>表</w:t>
      </w:r>
    </w:p>
    <w:tbl>
      <w:tblPr>
        <w:tblStyle w:val="6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4"/>
        <w:gridCol w:w="4253"/>
        <w:gridCol w:w="1500"/>
        <w:gridCol w:w="2464"/>
        <w:gridCol w:w="662"/>
      </w:tblGrid>
      <w:tr w14:paraId="678B4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74" w:type="pct"/>
            <w:vAlign w:val="center"/>
          </w:tcPr>
          <w:p w14:paraId="05A2F6DC">
            <w:pPr>
              <w:widowControl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序号</w:t>
            </w:r>
          </w:p>
        </w:tc>
        <w:tc>
          <w:tcPr>
            <w:tcW w:w="2263" w:type="pct"/>
            <w:vAlign w:val="center"/>
          </w:tcPr>
          <w:p w14:paraId="4609014C">
            <w:pPr>
              <w:widowControl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检查项目及内容</w:t>
            </w:r>
          </w:p>
        </w:tc>
        <w:tc>
          <w:tcPr>
            <w:tcW w:w="798" w:type="pct"/>
            <w:vAlign w:val="center"/>
          </w:tcPr>
          <w:p w14:paraId="52E286AB">
            <w:pPr>
              <w:widowControl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依据标准</w:t>
            </w:r>
          </w:p>
        </w:tc>
        <w:tc>
          <w:tcPr>
            <w:tcW w:w="1311" w:type="pct"/>
            <w:vAlign w:val="center"/>
          </w:tcPr>
          <w:p w14:paraId="0F709317">
            <w:pPr>
              <w:widowControl w:val="0"/>
              <w:adjustRightInd w:val="0"/>
              <w:snapToGrid w:val="0"/>
              <w:jc w:val="center"/>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检查情况</w:t>
            </w:r>
          </w:p>
        </w:tc>
        <w:tc>
          <w:tcPr>
            <w:tcW w:w="352" w:type="pct"/>
            <w:vAlign w:val="center"/>
          </w:tcPr>
          <w:p w14:paraId="7EEC544B">
            <w:pPr>
              <w:widowControl w:val="0"/>
              <w:adjustRightInd w:val="0"/>
              <w:snapToGrid w:val="0"/>
              <w:jc w:val="center"/>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检查结果</w:t>
            </w:r>
          </w:p>
        </w:tc>
      </w:tr>
      <w:tr w14:paraId="74FB1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4" w:type="pct"/>
            <w:vAlign w:val="center"/>
          </w:tcPr>
          <w:p w14:paraId="2355A791">
            <w:pPr>
              <w:widowControl w:val="0"/>
              <w:numPr>
                <w:ilvl w:val="0"/>
                <w:numId w:val="58"/>
              </w:numPr>
              <w:adjustRightInd w:val="0"/>
              <w:snapToGrid w:val="0"/>
              <w:ind w:left="425" w:hanging="425"/>
              <w:jc w:val="center"/>
              <w:rPr>
                <w:rFonts w:hint="eastAsia" w:ascii="宋体" w:hAnsi="宋体" w:eastAsia="宋体" w:cs="宋体"/>
                <w:color w:val="000000" w:themeColor="text1"/>
                <w:sz w:val="21"/>
                <w:szCs w:val="21"/>
                <w:highlight w:val="none"/>
              </w:rPr>
            </w:pPr>
          </w:p>
        </w:tc>
        <w:tc>
          <w:tcPr>
            <w:tcW w:w="2263" w:type="pct"/>
            <w:vAlign w:val="center"/>
          </w:tcPr>
          <w:p w14:paraId="427E8024">
            <w:pPr>
              <w:widowControl w:val="0"/>
              <w:adjustRightInd w:val="0"/>
              <w:snapToGrid w:val="0"/>
              <w:jc w:val="left"/>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在生产、加工、处理、转运或贮存过程中出现或可能出现下列爆炸性气体混合物环境之一时，应进行爆炸性气体环境的电力装置设计：</w:t>
            </w:r>
          </w:p>
          <w:p w14:paraId="7766C908">
            <w:pPr>
              <w:widowControl w:val="0"/>
              <w:adjustRightInd w:val="0"/>
              <w:snapToGrid w:val="0"/>
              <w:jc w:val="left"/>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1在大气条件下，可燃气体与空气混合形成爆炸性气体混合物；</w:t>
            </w:r>
          </w:p>
          <w:p w14:paraId="1C56D865">
            <w:pPr>
              <w:widowControl w:val="0"/>
              <w:adjustRightInd w:val="0"/>
              <w:snapToGrid w:val="0"/>
              <w:jc w:val="left"/>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2闪点低于或等于环境温度的可燃液体的蒸气或薄雾与空气混合形成爆炸性气体混合物；</w:t>
            </w:r>
          </w:p>
          <w:p w14:paraId="109DEBDD">
            <w:pPr>
              <w:widowControl w:val="0"/>
              <w:adjustRightInd w:val="0"/>
              <w:snapToGrid w:val="0"/>
              <w:jc w:val="left"/>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bCs/>
                <w:color w:val="000000" w:themeColor="text1"/>
                <w:sz w:val="21"/>
                <w:szCs w:val="21"/>
                <w:highlight w:val="none"/>
              </w:rPr>
              <w:t>3在物料操作温度高于可燃液体闪点的情况下，当可燃液体有可能泄漏时，可燃液体的蒸气或薄雾与空气混合形成爆炸性气体混合物。</w:t>
            </w:r>
          </w:p>
        </w:tc>
        <w:tc>
          <w:tcPr>
            <w:tcW w:w="798" w:type="pct"/>
            <w:vAlign w:val="center"/>
          </w:tcPr>
          <w:p w14:paraId="78665330">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bCs/>
                <w:color w:val="000000" w:themeColor="text1"/>
                <w:sz w:val="21"/>
                <w:szCs w:val="21"/>
                <w:highlight w:val="none"/>
              </w:rPr>
              <w:t>GB50058-2014第3．1．1条</w:t>
            </w:r>
          </w:p>
        </w:tc>
        <w:tc>
          <w:tcPr>
            <w:tcW w:w="1311" w:type="pct"/>
            <w:vAlign w:val="center"/>
          </w:tcPr>
          <w:p w14:paraId="56485DE6">
            <w:pPr>
              <w:widowControl w:val="0"/>
              <w:adjustRightInd w:val="0"/>
              <w:snapToGrid w:val="0"/>
              <w:jc w:val="left"/>
              <w:rPr>
                <w:rFonts w:hint="eastAsia" w:ascii="宋体" w:hAnsi="宋体" w:eastAsia="宋体" w:cs="宋体"/>
                <w:color w:val="000000" w:themeColor="text1"/>
                <w:sz w:val="21"/>
                <w:szCs w:val="21"/>
                <w:highlight w:val="none"/>
              </w:rPr>
            </w:pPr>
            <w:r>
              <w:rPr>
                <w:rFonts w:hint="eastAsia"/>
                <w:color w:val="000000" w:themeColor="text1"/>
                <w:sz w:val="21"/>
                <w:szCs w:val="21"/>
                <w:highlight w:val="none"/>
              </w:rPr>
              <w:t>危险化学品备货库房</w:t>
            </w:r>
            <w:r>
              <w:rPr>
                <w:rFonts w:hint="eastAsia"/>
                <w:color w:val="000000" w:themeColor="text1"/>
                <w:sz w:val="21"/>
                <w:szCs w:val="21"/>
                <w:highlight w:val="none"/>
                <w:lang w:eastAsia="zh-CN"/>
              </w:rPr>
              <w:t>和漂染车间</w:t>
            </w:r>
            <w:r>
              <w:rPr>
                <w:rFonts w:hint="eastAsia"/>
                <w:color w:val="000000" w:themeColor="text1"/>
                <w:sz w:val="21"/>
                <w:szCs w:val="21"/>
                <w:highlight w:val="none"/>
              </w:rPr>
              <w:t>乙酸</w:t>
            </w:r>
            <w:r>
              <w:rPr>
                <w:rFonts w:hint="eastAsia"/>
                <w:color w:val="000000" w:themeColor="text1"/>
                <w:sz w:val="21"/>
                <w:szCs w:val="21"/>
                <w:highlight w:val="none"/>
                <w:lang w:eastAsia="zh-CN"/>
              </w:rPr>
              <w:t>爆炸危险区域</w:t>
            </w:r>
            <w:r>
              <w:rPr>
                <w:rFonts w:hint="eastAsia"/>
                <w:color w:val="000000" w:themeColor="text1"/>
                <w:sz w:val="21"/>
                <w:szCs w:val="21"/>
                <w:highlight w:val="none"/>
              </w:rPr>
              <w:t>内</w:t>
            </w:r>
            <w:r>
              <w:rPr>
                <w:rFonts w:hint="eastAsia"/>
                <w:color w:val="000000" w:themeColor="text1"/>
                <w:sz w:val="21"/>
                <w:szCs w:val="21"/>
                <w:highlight w:val="none"/>
                <w:lang w:eastAsia="zh-CN"/>
              </w:rPr>
              <w:t>存在不防爆</w:t>
            </w:r>
            <w:r>
              <w:rPr>
                <w:rFonts w:hint="eastAsia"/>
                <w:color w:val="000000" w:themeColor="text1"/>
                <w:sz w:val="21"/>
                <w:szCs w:val="21"/>
                <w:highlight w:val="none"/>
              </w:rPr>
              <w:t>电气设备和输配电线路</w:t>
            </w:r>
            <w:r>
              <w:rPr>
                <w:rFonts w:hint="eastAsia"/>
                <w:color w:val="000000" w:themeColor="text1"/>
                <w:sz w:val="21"/>
                <w:szCs w:val="21"/>
                <w:highlight w:val="none"/>
                <w:lang w:eastAsia="zh-CN"/>
              </w:rPr>
              <w:t>。</w:t>
            </w:r>
          </w:p>
        </w:tc>
        <w:tc>
          <w:tcPr>
            <w:tcW w:w="352" w:type="pct"/>
            <w:vAlign w:val="center"/>
          </w:tcPr>
          <w:p w14:paraId="03A9B336">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cs="宋体"/>
                <w:color w:val="000000" w:themeColor="text1"/>
                <w:sz w:val="21"/>
                <w:szCs w:val="21"/>
                <w:highlight w:val="none"/>
                <w:lang w:eastAsia="zh-CN"/>
              </w:rPr>
              <w:t>不</w:t>
            </w:r>
            <w:r>
              <w:rPr>
                <w:rFonts w:hint="eastAsia" w:ascii="宋体" w:hAnsi="宋体" w:eastAsia="宋体" w:cs="宋体"/>
                <w:color w:val="000000" w:themeColor="text1"/>
                <w:sz w:val="21"/>
                <w:szCs w:val="21"/>
                <w:highlight w:val="none"/>
                <w:lang w:eastAsia="zh-CN"/>
              </w:rPr>
              <w:t>符合</w:t>
            </w:r>
          </w:p>
        </w:tc>
      </w:tr>
      <w:tr w14:paraId="615FD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4" w:type="pct"/>
            <w:vAlign w:val="center"/>
          </w:tcPr>
          <w:p w14:paraId="2123ED79">
            <w:pPr>
              <w:widowControl w:val="0"/>
              <w:numPr>
                <w:ilvl w:val="0"/>
                <w:numId w:val="58"/>
              </w:numPr>
              <w:adjustRightInd w:val="0"/>
              <w:snapToGrid w:val="0"/>
              <w:ind w:left="425" w:hanging="425"/>
              <w:jc w:val="center"/>
              <w:rPr>
                <w:rFonts w:hint="eastAsia" w:ascii="宋体" w:hAnsi="宋体" w:eastAsia="宋体" w:cs="宋体"/>
                <w:color w:val="000000" w:themeColor="text1"/>
                <w:sz w:val="21"/>
                <w:szCs w:val="21"/>
                <w:highlight w:val="none"/>
              </w:rPr>
            </w:pPr>
          </w:p>
        </w:tc>
        <w:tc>
          <w:tcPr>
            <w:tcW w:w="2263" w:type="pct"/>
            <w:vAlign w:val="center"/>
          </w:tcPr>
          <w:p w14:paraId="7F46BB5A">
            <w:pPr>
              <w:widowControl w:val="0"/>
              <w:adjustRightInd w:val="0"/>
              <w:snapToGrid w:val="0"/>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sz w:val="21"/>
                <w:szCs w:val="21"/>
                <w:highlight w:val="none"/>
              </w:rPr>
              <w:t>电气线路应敷设在爆炸危险性较小的区域或距离释放源较远的位置。应避开易受机械损伤、振动、腐蚀、粉尘积聚以及有危险温度的场所。当不能避开时，应采取预防措施。</w:t>
            </w:r>
          </w:p>
        </w:tc>
        <w:tc>
          <w:tcPr>
            <w:tcW w:w="798" w:type="pct"/>
            <w:vAlign w:val="center"/>
          </w:tcPr>
          <w:p w14:paraId="2C2C3EBF">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sz w:val="21"/>
                <w:szCs w:val="21"/>
                <w:highlight w:val="none"/>
              </w:rPr>
              <w:t>AQ3009-2007第6.1.1.1.1条</w:t>
            </w:r>
          </w:p>
        </w:tc>
        <w:tc>
          <w:tcPr>
            <w:tcW w:w="1311" w:type="pct"/>
            <w:vAlign w:val="center"/>
          </w:tcPr>
          <w:p w14:paraId="646CE0EF">
            <w:pPr>
              <w:widowControl w:val="0"/>
              <w:adjustRightInd w:val="0"/>
              <w:snapToGrid w:val="0"/>
              <w:jc w:val="left"/>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电气线路根据要求敷设</w:t>
            </w:r>
            <w:r>
              <w:rPr>
                <w:rFonts w:hint="eastAsia" w:ascii="宋体" w:hAnsi="宋体" w:eastAsia="宋体" w:cs="宋体"/>
                <w:color w:val="000000" w:themeColor="text1"/>
                <w:sz w:val="21"/>
                <w:szCs w:val="21"/>
                <w:highlight w:val="none"/>
              </w:rPr>
              <w:t>。</w:t>
            </w:r>
          </w:p>
        </w:tc>
        <w:tc>
          <w:tcPr>
            <w:tcW w:w="352" w:type="pct"/>
            <w:vAlign w:val="center"/>
          </w:tcPr>
          <w:p w14:paraId="3B60B665">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sz w:val="21"/>
                <w:szCs w:val="21"/>
                <w:highlight w:val="none"/>
                <w:lang w:eastAsia="zh-CN"/>
              </w:rPr>
              <w:t>符合</w:t>
            </w:r>
          </w:p>
        </w:tc>
      </w:tr>
      <w:tr w14:paraId="74924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4" w:type="pct"/>
            <w:vAlign w:val="center"/>
          </w:tcPr>
          <w:p w14:paraId="1869EA98">
            <w:pPr>
              <w:widowControl w:val="0"/>
              <w:numPr>
                <w:ilvl w:val="0"/>
                <w:numId w:val="58"/>
              </w:numPr>
              <w:adjustRightInd w:val="0"/>
              <w:snapToGrid w:val="0"/>
              <w:ind w:left="425" w:hanging="425"/>
              <w:jc w:val="center"/>
              <w:rPr>
                <w:rFonts w:hint="eastAsia" w:ascii="宋体" w:hAnsi="宋体" w:eastAsia="宋体" w:cs="宋体"/>
                <w:color w:val="000000" w:themeColor="text1"/>
                <w:sz w:val="21"/>
                <w:szCs w:val="21"/>
                <w:highlight w:val="none"/>
              </w:rPr>
            </w:pPr>
          </w:p>
        </w:tc>
        <w:tc>
          <w:tcPr>
            <w:tcW w:w="2263" w:type="pct"/>
            <w:vAlign w:val="center"/>
          </w:tcPr>
          <w:p w14:paraId="0521365C">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敷设电气线路的沟道、电缆或导管，所穿过的不同区域之间墙外或楼板处的孔洞，应采用非燃烧材料严密堵塞。</w:t>
            </w:r>
          </w:p>
        </w:tc>
        <w:tc>
          <w:tcPr>
            <w:tcW w:w="798" w:type="pct"/>
            <w:vAlign w:val="center"/>
          </w:tcPr>
          <w:p w14:paraId="5F6F7665">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GB50058-2014第5.4.3条</w:t>
            </w:r>
          </w:p>
        </w:tc>
        <w:tc>
          <w:tcPr>
            <w:tcW w:w="1311" w:type="pct"/>
            <w:vAlign w:val="center"/>
          </w:tcPr>
          <w:p w14:paraId="2878DA45">
            <w:pPr>
              <w:widowControl w:val="0"/>
              <w:adjustRightInd w:val="0"/>
              <w:snapToGrid w:val="0"/>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电气线路穿墙处有采用非燃烧材料严密堵塞。</w:t>
            </w:r>
          </w:p>
        </w:tc>
        <w:tc>
          <w:tcPr>
            <w:tcW w:w="352" w:type="pct"/>
            <w:vAlign w:val="center"/>
          </w:tcPr>
          <w:p w14:paraId="559C7453">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56400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4" w:type="pct"/>
            <w:vAlign w:val="center"/>
          </w:tcPr>
          <w:p w14:paraId="2BD08916">
            <w:pPr>
              <w:widowControl w:val="0"/>
              <w:numPr>
                <w:ilvl w:val="0"/>
                <w:numId w:val="58"/>
              </w:numPr>
              <w:adjustRightInd w:val="0"/>
              <w:snapToGrid w:val="0"/>
              <w:ind w:left="425" w:hanging="425"/>
              <w:jc w:val="center"/>
              <w:rPr>
                <w:rFonts w:hint="eastAsia" w:ascii="宋体" w:hAnsi="宋体" w:eastAsia="宋体" w:cs="宋体"/>
                <w:color w:val="000000" w:themeColor="text1"/>
                <w:sz w:val="21"/>
                <w:szCs w:val="21"/>
                <w:highlight w:val="none"/>
              </w:rPr>
            </w:pPr>
          </w:p>
        </w:tc>
        <w:tc>
          <w:tcPr>
            <w:tcW w:w="2263" w:type="pct"/>
            <w:vAlign w:val="center"/>
          </w:tcPr>
          <w:p w14:paraId="272A8F1A">
            <w:pPr>
              <w:widowControl w:val="0"/>
              <w:autoSpaceDE/>
              <w:autoSpaceDN/>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选用的低压电缆或绝缘导线，其额定电压必须高于线路工作电压，且不得低于500V，绝缘导线必须敷设于导管内。</w:t>
            </w:r>
          </w:p>
        </w:tc>
        <w:tc>
          <w:tcPr>
            <w:tcW w:w="798" w:type="pct"/>
            <w:vAlign w:val="center"/>
          </w:tcPr>
          <w:p w14:paraId="18581A17">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AQ3009-2007第6.1.1.1.2条</w:t>
            </w:r>
          </w:p>
        </w:tc>
        <w:tc>
          <w:tcPr>
            <w:tcW w:w="1311" w:type="pct"/>
            <w:vAlign w:val="center"/>
          </w:tcPr>
          <w:p w14:paraId="266E0FC8">
            <w:pPr>
              <w:widowControl w:val="0"/>
              <w:adjustRightInd w:val="0"/>
              <w:snapToGrid w:val="0"/>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电线采用防爆镀锌钢管和挠性连接管穿线。</w:t>
            </w:r>
          </w:p>
        </w:tc>
        <w:tc>
          <w:tcPr>
            <w:tcW w:w="352" w:type="pct"/>
            <w:vAlign w:val="center"/>
          </w:tcPr>
          <w:p w14:paraId="3F21F262">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37E80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4" w:type="pct"/>
            <w:vAlign w:val="center"/>
          </w:tcPr>
          <w:p w14:paraId="17985483">
            <w:pPr>
              <w:widowControl w:val="0"/>
              <w:numPr>
                <w:ilvl w:val="0"/>
                <w:numId w:val="58"/>
              </w:numPr>
              <w:adjustRightInd w:val="0"/>
              <w:snapToGrid w:val="0"/>
              <w:ind w:left="425" w:hanging="425"/>
              <w:jc w:val="center"/>
              <w:rPr>
                <w:rFonts w:hint="eastAsia" w:ascii="宋体" w:hAnsi="宋体" w:eastAsia="宋体" w:cs="宋体"/>
                <w:color w:val="000000" w:themeColor="text1"/>
                <w:sz w:val="21"/>
                <w:szCs w:val="21"/>
                <w:highlight w:val="none"/>
              </w:rPr>
            </w:pPr>
          </w:p>
        </w:tc>
        <w:tc>
          <w:tcPr>
            <w:tcW w:w="2263" w:type="pct"/>
            <w:vAlign w:val="center"/>
          </w:tcPr>
          <w:p w14:paraId="1A1E3946">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防爆电气设备的外壳和透光部分应无裂纹、损伤。</w:t>
            </w:r>
          </w:p>
        </w:tc>
        <w:tc>
          <w:tcPr>
            <w:tcW w:w="798" w:type="pct"/>
            <w:vAlign w:val="center"/>
          </w:tcPr>
          <w:p w14:paraId="64B17F30">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AQ3009-2007第6.1.2.1.3条</w:t>
            </w:r>
          </w:p>
        </w:tc>
        <w:tc>
          <w:tcPr>
            <w:tcW w:w="1311" w:type="pct"/>
            <w:vAlign w:val="center"/>
          </w:tcPr>
          <w:p w14:paraId="1BE4BCDE">
            <w:pPr>
              <w:widowControl w:val="0"/>
              <w:adjustRightInd w:val="0"/>
              <w:snapToGrid w:val="0"/>
              <w:jc w:val="left"/>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rPr>
              <w:t>现场未见裂纹、损伤部位</w:t>
            </w:r>
            <w:r>
              <w:rPr>
                <w:rFonts w:hint="eastAsia" w:ascii="宋体" w:hAnsi="宋体" w:eastAsia="宋体" w:cs="宋体"/>
                <w:color w:val="000000" w:themeColor="text1"/>
                <w:sz w:val="21"/>
                <w:szCs w:val="21"/>
                <w:highlight w:val="none"/>
                <w:lang w:eastAsia="zh-CN"/>
              </w:rPr>
              <w:t>。</w:t>
            </w:r>
          </w:p>
        </w:tc>
        <w:tc>
          <w:tcPr>
            <w:tcW w:w="352" w:type="pct"/>
            <w:vAlign w:val="center"/>
          </w:tcPr>
          <w:p w14:paraId="10E2C7F5">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36134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4" w:type="pct"/>
            <w:tcBorders>
              <w:bottom w:val="single" w:color="auto" w:sz="4" w:space="0"/>
            </w:tcBorders>
            <w:vAlign w:val="center"/>
          </w:tcPr>
          <w:p w14:paraId="78971FEC">
            <w:pPr>
              <w:widowControl w:val="0"/>
              <w:numPr>
                <w:ilvl w:val="0"/>
                <w:numId w:val="58"/>
              </w:numPr>
              <w:adjustRightInd w:val="0"/>
              <w:snapToGrid w:val="0"/>
              <w:ind w:left="425" w:hanging="425"/>
              <w:jc w:val="center"/>
              <w:rPr>
                <w:rFonts w:hint="eastAsia" w:ascii="宋体" w:hAnsi="宋体" w:eastAsia="宋体" w:cs="宋体"/>
                <w:color w:val="000000" w:themeColor="text1"/>
                <w:sz w:val="21"/>
                <w:szCs w:val="21"/>
                <w:highlight w:val="none"/>
              </w:rPr>
            </w:pPr>
          </w:p>
        </w:tc>
        <w:tc>
          <w:tcPr>
            <w:tcW w:w="2263" w:type="pct"/>
            <w:tcBorders>
              <w:bottom w:val="single" w:color="auto" w:sz="4" w:space="0"/>
            </w:tcBorders>
            <w:vAlign w:val="center"/>
          </w:tcPr>
          <w:p w14:paraId="18A29754">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防爆电气设备的紧固螺栓应有</w:t>
            </w:r>
            <w:r>
              <w:rPr>
                <w:rFonts w:hint="eastAsia" w:ascii="宋体" w:hAnsi="宋体" w:eastAsia="宋体" w:cs="宋体"/>
                <w:color w:val="000000" w:themeColor="text1"/>
                <w:sz w:val="21"/>
                <w:szCs w:val="21"/>
                <w:highlight w:val="none"/>
                <w:lang w:eastAsia="zh-CN"/>
              </w:rPr>
              <w:t>防</w:t>
            </w:r>
            <w:r>
              <w:rPr>
                <w:rFonts w:hint="eastAsia" w:ascii="宋体" w:hAnsi="宋体" w:eastAsia="宋体" w:cs="宋体"/>
                <w:color w:val="000000" w:themeColor="text1"/>
                <w:sz w:val="21"/>
                <w:szCs w:val="21"/>
                <w:highlight w:val="none"/>
              </w:rPr>
              <w:t>松措施，无松动和锈蚀。</w:t>
            </w:r>
          </w:p>
        </w:tc>
        <w:tc>
          <w:tcPr>
            <w:tcW w:w="798" w:type="pct"/>
            <w:tcBorders>
              <w:bottom w:val="single" w:color="auto" w:sz="4" w:space="0"/>
            </w:tcBorders>
            <w:vAlign w:val="center"/>
          </w:tcPr>
          <w:p w14:paraId="20DCA786">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AQ3009-2007第6.1.2.1.4条</w:t>
            </w:r>
          </w:p>
        </w:tc>
        <w:tc>
          <w:tcPr>
            <w:tcW w:w="1311" w:type="pct"/>
            <w:tcBorders>
              <w:bottom w:val="single" w:color="auto" w:sz="4" w:space="0"/>
            </w:tcBorders>
            <w:vAlign w:val="center"/>
          </w:tcPr>
          <w:p w14:paraId="12CA9FDC">
            <w:pPr>
              <w:widowControl w:val="0"/>
              <w:adjustRightInd w:val="0"/>
              <w:snapToGrid w:val="0"/>
              <w:jc w:val="left"/>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rPr>
              <w:t>未见松动及锈蚀</w:t>
            </w:r>
            <w:r>
              <w:rPr>
                <w:rFonts w:hint="eastAsia" w:ascii="宋体" w:hAnsi="宋体" w:eastAsia="宋体" w:cs="宋体"/>
                <w:color w:val="000000" w:themeColor="text1"/>
                <w:sz w:val="21"/>
                <w:szCs w:val="21"/>
                <w:highlight w:val="none"/>
                <w:lang w:eastAsia="zh-CN"/>
              </w:rPr>
              <w:t>。</w:t>
            </w:r>
          </w:p>
        </w:tc>
        <w:tc>
          <w:tcPr>
            <w:tcW w:w="352" w:type="pct"/>
            <w:tcBorders>
              <w:bottom w:val="single" w:color="auto" w:sz="4" w:space="0"/>
            </w:tcBorders>
            <w:vAlign w:val="center"/>
          </w:tcPr>
          <w:p w14:paraId="68DFCEF0">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bl>
    <w:p w14:paraId="52AA306B">
      <w:pPr>
        <w:keepNext w:val="0"/>
        <w:keepLines w:val="0"/>
        <w:pageBreakBefore w:val="0"/>
        <w:widowControl w:val="0"/>
        <w:numPr>
          <w:ilvl w:val="0"/>
          <w:numId w:val="57"/>
        </w:numPr>
        <w:kinsoku/>
        <w:wordWrap/>
        <w:overflowPunct/>
        <w:topLinePunct w:val="0"/>
        <w:autoSpaceDE/>
        <w:autoSpaceDN/>
        <w:bidi w:val="0"/>
        <w:adjustRightInd w:val="0"/>
        <w:snapToGrid w:val="0"/>
        <w:spacing w:before="219" w:beforeLines="50" w:line="360" w:lineRule="auto"/>
        <w:ind w:left="0" w:firstLine="560" w:firstLineChars="200"/>
        <w:jc w:val="left"/>
        <w:textAlignment w:val="auto"/>
        <w:outlineLvl w:val="9"/>
        <w:rPr>
          <w:rFonts w:ascii="宋体" w:hAnsi="宋体"/>
          <w:color w:val="000000" w:themeColor="text1"/>
          <w:sz w:val="28"/>
          <w:szCs w:val="28"/>
          <w:highlight w:val="none"/>
        </w:rPr>
      </w:pPr>
      <w:r>
        <w:rPr>
          <w:rFonts w:hint="eastAsia" w:ascii="宋体" w:hAnsi="宋体"/>
          <w:color w:val="000000" w:themeColor="text1"/>
          <w:sz w:val="28"/>
          <w:szCs w:val="28"/>
          <w:highlight w:val="none"/>
        </w:rPr>
        <w:t>可燃气体检测报警仪的布防安装检查</w:t>
      </w:r>
    </w:p>
    <w:p w14:paraId="1E5C60CB">
      <w:pPr>
        <w:widowControl w:val="0"/>
        <w:adjustRightInd w:val="0"/>
        <w:snapToGrid w:val="0"/>
        <w:spacing w:line="360" w:lineRule="auto"/>
        <w:ind w:firstLine="560" w:firstLineChars="200"/>
        <w:rPr>
          <w:rFonts w:hint="eastAsia" w:ascii="宋体" w:hAnsi="宋体"/>
          <w:color w:val="000000" w:themeColor="text1"/>
          <w:sz w:val="28"/>
          <w:szCs w:val="28"/>
          <w:highlight w:val="none"/>
        </w:rPr>
      </w:pPr>
      <w:r>
        <w:rPr>
          <w:rFonts w:hint="eastAsia" w:ascii="宋体" w:hAnsi="宋体"/>
          <w:color w:val="000000" w:themeColor="text1"/>
          <w:sz w:val="28"/>
          <w:szCs w:val="28"/>
          <w:highlight w:val="none"/>
          <w:lang w:eastAsia="zh-CN"/>
        </w:rPr>
        <w:t>依据</w:t>
      </w:r>
      <w:r>
        <w:rPr>
          <w:rFonts w:hint="eastAsia" w:ascii="宋体" w:hAnsi="宋体" w:eastAsia="宋体" w:cs="宋体"/>
          <w:bCs/>
          <w:color w:val="000000" w:themeColor="text1"/>
          <w:sz w:val="28"/>
          <w:szCs w:val="28"/>
          <w:highlight w:val="none"/>
        </w:rPr>
        <w:t>《建筑设计防火规范》GB50016-2014（2018年版）</w:t>
      </w:r>
      <w:r>
        <w:rPr>
          <w:rFonts w:hint="eastAsia" w:ascii="宋体" w:hAnsi="宋体" w:eastAsia="宋体" w:cs="宋体"/>
          <w:bCs/>
          <w:color w:val="000000" w:themeColor="text1"/>
          <w:sz w:val="28"/>
          <w:szCs w:val="28"/>
          <w:highlight w:val="none"/>
          <w:lang w:eastAsia="zh-CN"/>
        </w:rPr>
        <w:t>、</w:t>
      </w:r>
      <w:r>
        <w:rPr>
          <w:rFonts w:ascii="宋体" w:hAnsi="宋体" w:cs="Arial"/>
          <w:color w:val="000000" w:themeColor="text1"/>
          <w:spacing w:val="0"/>
          <w:sz w:val="28"/>
          <w:szCs w:val="28"/>
          <w:highlight w:val="none"/>
          <w:shd w:val="clear" w:color="auto" w:fill="FFFFFF"/>
        </w:rPr>
        <w:t>《石油化工可燃气体和有毒气体检测报警设计标准》GB/T50493-2019</w:t>
      </w:r>
      <w:r>
        <w:rPr>
          <w:rFonts w:hint="eastAsia" w:ascii="宋体" w:hAnsi="宋体"/>
          <w:color w:val="000000" w:themeColor="text1"/>
          <w:sz w:val="28"/>
          <w:szCs w:val="28"/>
          <w:highlight w:val="none"/>
        </w:rPr>
        <w:t>的要求，对</w:t>
      </w:r>
      <w:r>
        <w:rPr>
          <w:rFonts w:hint="eastAsia" w:cs="宋体"/>
          <w:color w:val="000000" w:themeColor="text1"/>
          <w:sz w:val="28"/>
          <w:szCs w:val="28"/>
          <w:highlight w:val="none"/>
          <w:lang w:val="zh-CN"/>
        </w:rPr>
        <w:t>危险化学品备货库房</w:t>
      </w:r>
      <w:r>
        <w:rPr>
          <w:rFonts w:hint="eastAsia" w:cs="宋体"/>
          <w:color w:val="000000" w:themeColor="text1"/>
          <w:sz w:val="28"/>
          <w:szCs w:val="28"/>
          <w:highlight w:val="none"/>
          <w:lang w:val="en-US" w:eastAsia="zh-CN"/>
        </w:rPr>
        <w:t>1#隔间</w:t>
      </w:r>
      <w:r>
        <w:rPr>
          <w:rFonts w:hint="eastAsia" w:ascii="宋体" w:hAnsi="宋体"/>
          <w:color w:val="000000" w:themeColor="text1"/>
          <w:sz w:val="28"/>
          <w:szCs w:val="28"/>
          <w:highlight w:val="none"/>
          <w:lang w:eastAsia="zh-CN"/>
        </w:rPr>
        <w:t>可燃气体检测报警装置</w:t>
      </w:r>
      <w:r>
        <w:rPr>
          <w:rFonts w:hint="eastAsia" w:ascii="宋体" w:hAnsi="宋体"/>
          <w:color w:val="000000" w:themeColor="text1"/>
          <w:sz w:val="28"/>
          <w:szCs w:val="28"/>
          <w:highlight w:val="none"/>
        </w:rPr>
        <w:t>布防安装情况进行现场检查，检查结果见</w:t>
      </w:r>
      <w:r>
        <w:rPr>
          <w:rFonts w:hint="eastAsia" w:ascii="宋体" w:hAnsi="宋体"/>
          <w:color w:val="000000" w:themeColor="text1"/>
          <w:sz w:val="28"/>
          <w:szCs w:val="28"/>
          <w:highlight w:val="none"/>
          <w:lang w:eastAsia="zh-CN"/>
        </w:rPr>
        <w:t>下表</w:t>
      </w:r>
      <w:r>
        <w:rPr>
          <w:rFonts w:hint="eastAsia" w:ascii="宋体" w:hAnsi="宋体"/>
          <w:color w:val="000000" w:themeColor="text1"/>
          <w:sz w:val="28"/>
          <w:szCs w:val="28"/>
          <w:highlight w:val="none"/>
        </w:rPr>
        <w:t>。</w:t>
      </w:r>
    </w:p>
    <w:p w14:paraId="7684CA24">
      <w:pPr>
        <w:widowControl w:val="0"/>
        <w:adjustRightInd w:val="0"/>
        <w:snapToGrid w:val="0"/>
        <w:spacing w:line="360" w:lineRule="auto"/>
        <w:ind w:firstLine="0" w:firstLineChars="0"/>
        <w:jc w:val="center"/>
        <w:rPr>
          <w:b/>
          <w:bCs w:val="0"/>
          <w:color w:val="000000" w:themeColor="text1"/>
          <w:sz w:val="24"/>
          <w:szCs w:val="24"/>
          <w:highlight w:val="none"/>
        </w:rPr>
      </w:pPr>
      <w:r>
        <w:rPr>
          <w:rFonts w:hint="eastAsia" w:ascii="黑体" w:hAnsi="黑体" w:eastAsia="黑体"/>
          <w:b/>
          <w:bCs w:val="0"/>
          <w:color w:val="000000" w:themeColor="text1"/>
          <w:sz w:val="24"/>
          <w:szCs w:val="24"/>
          <w:highlight w:val="none"/>
        </w:rPr>
        <w:t>表</w:t>
      </w:r>
      <w:r>
        <w:rPr>
          <w:rFonts w:ascii="黑体" w:hAnsi="黑体" w:eastAsia="黑体"/>
          <w:b/>
          <w:bCs w:val="0"/>
          <w:color w:val="000000" w:themeColor="text1"/>
          <w:sz w:val="24"/>
          <w:szCs w:val="24"/>
          <w:highlight w:val="none"/>
        </w:rPr>
        <w:t>5.1-</w:t>
      </w:r>
      <w:r>
        <w:rPr>
          <w:rFonts w:hint="eastAsia" w:ascii="黑体" w:hAnsi="黑体" w:eastAsia="黑体"/>
          <w:b/>
          <w:bCs w:val="0"/>
          <w:color w:val="000000" w:themeColor="text1"/>
          <w:sz w:val="24"/>
          <w:szCs w:val="24"/>
          <w:highlight w:val="none"/>
          <w:lang w:val="en-US" w:eastAsia="zh-CN"/>
        </w:rPr>
        <w:t>8</w:t>
      </w:r>
      <w:r>
        <w:rPr>
          <w:rFonts w:ascii="黑体" w:hAnsi="黑体" w:eastAsia="黑体"/>
          <w:b/>
          <w:bCs w:val="0"/>
          <w:color w:val="000000" w:themeColor="text1"/>
          <w:sz w:val="24"/>
          <w:szCs w:val="24"/>
          <w:highlight w:val="none"/>
        </w:rPr>
        <w:t xml:space="preserve"> 可燃气体检测报警仪的布防安装</w:t>
      </w:r>
      <w:r>
        <w:rPr>
          <w:rFonts w:hint="eastAsia" w:ascii="黑体" w:hAnsi="黑体" w:eastAsia="黑体" w:cs="宋体"/>
          <w:b/>
          <w:bCs w:val="0"/>
          <w:color w:val="000000" w:themeColor="text1"/>
          <w:kern w:val="0"/>
          <w:sz w:val="24"/>
          <w:szCs w:val="24"/>
          <w:highlight w:val="none"/>
        </w:rPr>
        <w:t>检查</w:t>
      </w:r>
      <w:r>
        <w:rPr>
          <w:rFonts w:hint="eastAsia" w:ascii="黑体" w:hAnsi="黑体" w:eastAsia="黑体"/>
          <w:b/>
          <w:bCs w:val="0"/>
          <w:color w:val="000000" w:themeColor="text1"/>
          <w:sz w:val="24"/>
          <w:szCs w:val="24"/>
          <w:highlight w:val="none"/>
        </w:rPr>
        <w:t>表</w:t>
      </w:r>
    </w:p>
    <w:tbl>
      <w:tblPr>
        <w:tblStyle w:val="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2"/>
        <w:gridCol w:w="3248"/>
        <w:gridCol w:w="1880"/>
        <w:gridCol w:w="3062"/>
        <w:gridCol w:w="698"/>
      </w:tblGrid>
      <w:tr w14:paraId="5734B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512" w:type="dxa"/>
            <w:vAlign w:val="center"/>
          </w:tcPr>
          <w:p w14:paraId="68510184">
            <w:pPr>
              <w:widowControl w:val="0"/>
              <w:adjustRightInd w:val="0"/>
              <w:snapToGrid w:val="0"/>
              <w:jc w:val="center"/>
              <w:rPr>
                <w:rFonts w:hint="eastAsia" w:ascii="宋体" w:hAnsi="宋体" w:eastAsia="宋体" w:cs="宋体"/>
                <w:b/>
                <w:bCs/>
                <w:color w:val="000000" w:themeColor="text1"/>
                <w:sz w:val="21"/>
                <w:szCs w:val="21"/>
                <w:highlight w:val="none"/>
                <w:vertAlign w:val="baseline"/>
              </w:rPr>
            </w:pPr>
            <w:r>
              <w:rPr>
                <w:rFonts w:hint="eastAsia" w:ascii="宋体" w:hAnsi="宋体" w:eastAsia="宋体" w:cs="宋体"/>
                <w:b/>
                <w:bCs/>
                <w:color w:val="000000" w:themeColor="text1"/>
                <w:sz w:val="21"/>
                <w:szCs w:val="21"/>
                <w:highlight w:val="none"/>
              </w:rPr>
              <w:t>序号</w:t>
            </w:r>
          </w:p>
        </w:tc>
        <w:tc>
          <w:tcPr>
            <w:tcW w:w="3248" w:type="dxa"/>
            <w:vAlign w:val="center"/>
          </w:tcPr>
          <w:p w14:paraId="1826744F">
            <w:pPr>
              <w:widowControl w:val="0"/>
              <w:adjustRightInd w:val="0"/>
              <w:snapToGrid w:val="0"/>
              <w:jc w:val="center"/>
              <w:rPr>
                <w:rFonts w:hint="eastAsia" w:ascii="宋体" w:hAnsi="宋体" w:eastAsia="宋体" w:cs="宋体"/>
                <w:b/>
                <w:bCs/>
                <w:color w:val="000000" w:themeColor="text1"/>
                <w:sz w:val="21"/>
                <w:szCs w:val="21"/>
                <w:highlight w:val="none"/>
                <w:vertAlign w:val="baseline"/>
              </w:rPr>
            </w:pPr>
            <w:r>
              <w:rPr>
                <w:rFonts w:hint="eastAsia" w:ascii="宋体" w:hAnsi="宋体" w:eastAsia="宋体" w:cs="宋体"/>
                <w:b/>
                <w:bCs/>
                <w:color w:val="000000" w:themeColor="text1"/>
                <w:sz w:val="21"/>
                <w:szCs w:val="21"/>
                <w:highlight w:val="none"/>
              </w:rPr>
              <w:t>检查项目及内容</w:t>
            </w:r>
          </w:p>
        </w:tc>
        <w:tc>
          <w:tcPr>
            <w:tcW w:w="1880" w:type="dxa"/>
            <w:vAlign w:val="center"/>
          </w:tcPr>
          <w:p w14:paraId="00520384">
            <w:pPr>
              <w:widowControl w:val="0"/>
              <w:adjustRightInd w:val="0"/>
              <w:snapToGrid w:val="0"/>
              <w:jc w:val="center"/>
              <w:rPr>
                <w:rFonts w:hint="eastAsia" w:ascii="宋体" w:hAnsi="宋体" w:eastAsia="宋体" w:cs="宋体"/>
                <w:b/>
                <w:bCs/>
                <w:color w:val="000000" w:themeColor="text1"/>
                <w:sz w:val="21"/>
                <w:szCs w:val="21"/>
                <w:highlight w:val="none"/>
                <w:vertAlign w:val="baseline"/>
              </w:rPr>
            </w:pPr>
            <w:r>
              <w:rPr>
                <w:rFonts w:hint="eastAsia" w:ascii="宋体" w:hAnsi="宋体" w:eastAsia="宋体" w:cs="宋体"/>
                <w:b/>
                <w:bCs/>
                <w:color w:val="000000" w:themeColor="text1"/>
                <w:sz w:val="21"/>
                <w:szCs w:val="21"/>
                <w:highlight w:val="none"/>
              </w:rPr>
              <w:t>评价依据</w:t>
            </w:r>
          </w:p>
        </w:tc>
        <w:tc>
          <w:tcPr>
            <w:tcW w:w="3062" w:type="dxa"/>
            <w:vAlign w:val="center"/>
          </w:tcPr>
          <w:p w14:paraId="6EEC8C79">
            <w:pPr>
              <w:widowControl w:val="0"/>
              <w:adjustRightInd w:val="0"/>
              <w:snapToGrid w:val="0"/>
              <w:jc w:val="center"/>
              <w:rPr>
                <w:rFonts w:hint="eastAsia" w:ascii="宋体" w:hAnsi="宋体" w:eastAsia="宋体" w:cs="宋体"/>
                <w:b/>
                <w:bCs/>
                <w:color w:val="000000" w:themeColor="text1"/>
                <w:sz w:val="21"/>
                <w:szCs w:val="21"/>
                <w:highlight w:val="none"/>
                <w:vertAlign w:val="baseline"/>
              </w:rPr>
            </w:pPr>
            <w:r>
              <w:rPr>
                <w:rFonts w:hint="eastAsia" w:ascii="宋体" w:hAnsi="宋体" w:eastAsia="宋体" w:cs="宋体"/>
                <w:b/>
                <w:bCs/>
                <w:color w:val="000000" w:themeColor="text1"/>
                <w:sz w:val="21"/>
                <w:szCs w:val="21"/>
                <w:highlight w:val="none"/>
              </w:rPr>
              <w:t>检查情况描述</w:t>
            </w:r>
          </w:p>
        </w:tc>
        <w:tc>
          <w:tcPr>
            <w:tcW w:w="698" w:type="dxa"/>
            <w:vAlign w:val="center"/>
          </w:tcPr>
          <w:p w14:paraId="06845E6D">
            <w:pPr>
              <w:widowControl w:val="0"/>
              <w:adjustRightInd w:val="0"/>
              <w:snapToGrid w:val="0"/>
              <w:jc w:val="center"/>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检查</w:t>
            </w:r>
          </w:p>
          <w:p w14:paraId="3C7A3DE9">
            <w:pPr>
              <w:widowControl w:val="0"/>
              <w:adjustRightInd w:val="0"/>
              <w:snapToGrid w:val="0"/>
              <w:jc w:val="center"/>
              <w:rPr>
                <w:rFonts w:hint="eastAsia" w:ascii="宋体" w:hAnsi="宋体" w:eastAsia="宋体" w:cs="宋体"/>
                <w:b/>
                <w:bCs/>
                <w:color w:val="000000" w:themeColor="text1"/>
                <w:sz w:val="21"/>
                <w:szCs w:val="21"/>
                <w:highlight w:val="none"/>
                <w:vertAlign w:val="baseline"/>
              </w:rPr>
            </w:pPr>
            <w:r>
              <w:rPr>
                <w:rFonts w:hint="eastAsia" w:ascii="宋体" w:hAnsi="宋体" w:eastAsia="宋体" w:cs="宋体"/>
                <w:b/>
                <w:bCs/>
                <w:color w:val="000000" w:themeColor="text1"/>
                <w:sz w:val="21"/>
                <w:szCs w:val="21"/>
                <w:highlight w:val="none"/>
              </w:rPr>
              <w:t>结果</w:t>
            </w:r>
          </w:p>
        </w:tc>
      </w:tr>
      <w:tr w14:paraId="4592B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2" w:type="dxa"/>
            <w:vAlign w:val="center"/>
          </w:tcPr>
          <w:p w14:paraId="44DB5033">
            <w:pPr>
              <w:pStyle w:val="26"/>
              <w:numPr>
                <w:ilvl w:val="0"/>
                <w:numId w:val="59"/>
              </w:numPr>
              <w:adjustRightInd w:val="0"/>
              <w:snapToGrid w:val="0"/>
              <w:ind w:left="425" w:hanging="425" w:firstLineChars="0"/>
              <w:jc w:val="center"/>
              <w:rPr>
                <w:rFonts w:hint="eastAsia" w:ascii="宋体" w:hAnsi="宋体" w:eastAsia="宋体" w:cs="宋体"/>
                <w:color w:val="000000" w:themeColor="text1"/>
                <w:sz w:val="21"/>
                <w:szCs w:val="21"/>
                <w:highlight w:val="none"/>
                <w:vertAlign w:val="baseline"/>
              </w:rPr>
            </w:pPr>
          </w:p>
        </w:tc>
        <w:tc>
          <w:tcPr>
            <w:tcW w:w="3248" w:type="dxa"/>
            <w:vAlign w:val="center"/>
          </w:tcPr>
          <w:p w14:paraId="488341FE">
            <w:pPr>
              <w:widowControl w:val="0"/>
              <w:adjustRightInd w:val="0"/>
              <w:snapToGrid w:val="0"/>
              <w:jc w:val="both"/>
              <w:rPr>
                <w:rFonts w:hint="eastAsia" w:ascii="宋体" w:hAnsi="宋体" w:eastAsia="宋体" w:cs="宋体"/>
                <w:color w:val="000000" w:themeColor="text1"/>
                <w:sz w:val="21"/>
                <w:szCs w:val="21"/>
                <w:highlight w:val="none"/>
                <w:vertAlign w:val="baseline"/>
              </w:rPr>
            </w:pPr>
            <w:r>
              <w:rPr>
                <w:rFonts w:hint="eastAsia" w:ascii="宋体" w:hAnsi="宋体" w:eastAsia="宋体" w:cs="宋体"/>
                <w:bCs w:val="0"/>
                <w:color w:val="000000" w:themeColor="text1"/>
                <w:sz w:val="21"/>
                <w:szCs w:val="21"/>
                <w:highlight w:val="none"/>
              </w:rPr>
              <w:t>建筑内可能散发可燃气体、可燃蒸气的场所应设置可燃气体报警装置。</w:t>
            </w:r>
          </w:p>
        </w:tc>
        <w:tc>
          <w:tcPr>
            <w:tcW w:w="1880" w:type="dxa"/>
            <w:vAlign w:val="center"/>
          </w:tcPr>
          <w:p w14:paraId="657A249D">
            <w:pPr>
              <w:widowControl w:val="0"/>
              <w:adjustRightInd w:val="0"/>
              <w:snapToGrid w:val="0"/>
              <w:jc w:val="center"/>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rPr>
              <w:t>GB50016-2014（2018版）</w:t>
            </w:r>
            <w:r>
              <w:rPr>
                <w:rFonts w:hint="eastAsia" w:ascii="宋体" w:hAnsi="宋体" w:eastAsia="宋体" w:cs="宋体"/>
                <w:color w:val="000000" w:themeColor="text1"/>
                <w:sz w:val="21"/>
                <w:szCs w:val="21"/>
                <w:highlight w:val="none"/>
                <w:lang w:eastAsia="zh-CN"/>
              </w:rPr>
              <w:t>第</w:t>
            </w:r>
            <w:r>
              <w:rPr>
                <w:rFonts w:hint="eastAsia" w:ascii="宋体" w:hAnsi="宋体" w:eastAsia="宋体" w:cs="宋体"/>
                <w:bCs w:val="0"/>
                <w:color w:val="000000" w:themeColor="text1"/>
                <w:sz w:val="21"/>
                <w:szCs w:val="21"/>
                <w:highlight w:val="none"/>
              </w:rPr>
              <w:t>8.4.3</w:t>
            </w:r>
            <w:r>
              <w:rPr>
                <w:rFonts w:hint="eastAsia" w:ascii="宋体" w:hAnsi="宋体" w:eastAsia="宋体" w:cs="宋体"/>
                <w:color w:val="000000" w:themeColor="text1"/>
                <w:sz w:val="21"/>
                <w:szCs w:val="21"/>
                <w:highlight w:val="none"/>
                <w:lang w:eastAsia="zh-CN"/>
              </w:rPr>
              <w:t>条</w:t>
            </w:r>
          </w:p>
        </w:tc>
        <w:tc>
          <w:tcPr>
            <w:tcW w:w="3062" w:type="dxa"/>
            <w:vAlign w:val="center"/>
          </w:tcPr>
          <w:p w14:paraId="5BF447A1">
            <w:pPr>
              <w:widowControl w:val="0"/>
              <w:adjustRightInd w:val="0"/>
              <w:snapToGrid w:val="0"/>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lang w:eastAsia="zh-CN"/>
              </w:rPr>
              <w:t>危化品</w:t>
            </w:r>
            <w:r>
              <w:rPr>
                <w:rFonts w:hint="eastAsia" w:cs="宋体"/>
                <w:color w:val="000000" w:themeColor="text1"/>
                <w:sz w:val="21"/>
                <w:szCs w:val="21"/>
                <w:highlight w:val="none"/>
                <w:lang w:eastAsia="zh-CN"/>
              </w:rPr>
              <w:t>备货库房</w:t>
            </w:r>
            <w:r>
              <w:rPr>
                <w:rFonts w:hint="eastAsia" w:cs="宋体"/>
                <w:color w:val="000000" w:themeColor="text1"/>
                <w:sz w:val="21"/>
                <w:szCs w:val="21"/>
                <w:highlight w:val="none"/>
                <w:lang w:val="en-US" w:eastAsia="zh-CN"/>
              </w:rPr>
              <w:t>1#隔间</w:t>
            </w:r>
            <w:r>
              <w:rPr>
                <w:rFonts w:hint="eastAsia" w:ascii="宋体" w:hAnsi="宋体" w:eastAsia="宋体" w:cs="宋体"/>
                <w:color w:val="000000" w:themeColor="text1"/>
                <w:spacing w:val="0"/>
                <w:sz w:val="21"/>
                <w:szCs w:val="21"/>
                <w:highlight w:val="none"/>
                <w:shd w:val="clear"/>
                <w:lang w:eastAsia="zh-CN"/>
              </w:rPr>
              <w:t>内设置了</w:t>
            </w:r>
            <w:r>
              <w:rPr>
                <w:rFonts w:hint="eastAsia" w:ascii="宋体" w:hAnsi="宋体" w:eastAsia="宋体" w:cs="宋体"/>
                <w:bCs w:val="0"/>
                <w:color w:val="000000" w:themeColor="text1"/>
                <w:sz w:val="21"/>
                <w:szCs w:val="21"/>
                <w:highlight w:val="none"/>
              </w:rPr>
              <w:t>可燃气体报警装置。</w:t>
            </w:r>
          </w:p>
        </w:tc>
        <w:tc>
          <w:tcPr>
            <w:tcW w:w="698" w:type="dxa"/>
            <w:vAlign w:val="center"/>
          </w:tcPr>
          <w:p w14:paraId="7CE4F394">
            <w:pPr>
              <w:widowControl w:val="0"/>
              <w:adjustRightInd w:val="0"/>
              <w:snapToGrid w:val="0"/>
              <w:jc w:val="center"/>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lang w:eastAsia="zh-CN"/>
              </w:rPr>
              <w:t>符合</w:t>
            </w:r>
          </w:p>
        </w:tc>
      </w:tr>
      <w:tr w14:paraId="42718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2" w:type="dxa"/>
            <w:vAlign w:val="center"/>
          </w:tcPr>
          <w:p w14:paraId="0EFE985D">
            <w:pPr>
              <w:pStyle w:val="26"/>
              <w:numPr>
                <w:ilvl w:val="0"/>
                <w:numId w:val="59"/>
              </w:numPr>
              <w:adjustRightInd w:val="0"/>
              <w:snapToGrid w:val="0"/>
              <w:ind w:left="425" w:hanging="425" w:firstLineChars="0"/>
              <w:jc w:val="center"/>
              <w:rPr>
                <w:rFonts w:hint="eastAsia" w:ascii="宋体" w:hAnsi="宋体" w:eastAsia="宋体" w:cs="宋体"/>
                <w:color w:val="000000" w:themeColor="text1"/>
                <w:sz w:val="21"/>
                <w:szCs w:val="21"/>
                <w:highlight w:val="none"/>
                <w:vertAlign w:val="baseline"/>
              </w:rPr>
            </w:pPr>
          </w:p>
        </w:tc>
        <w:tc>
          <w:tcPr>
            <w:tcW w:w="3248" w:type="dxa"/>
            <w:vAlign w:val="center"/>
          </w:tcPr>
          <w:p w14:paraId="2E6E0034">
            <w:pPr>
              <w:widowControl w:val="0"/>
              <w:adjustRightInd w:val="0"/>
              <w:snapToGrid w:val="0"/>
              <w:jc w:val="both"/>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rPr>
              <w:t>可燃气体和有毒气体检测报警信号应送至有人值守的现场控制室、中心控制室等进行显示报警；可燃气体二级报警信号、可燃气体和有毒气体检测报警系统报警控制单元的故障信号应送至消防控制室。</w:t>
            </w:r>
          </w:p>
        </w:tc>
        <w:tc>
          <w:tcPr>
            <w:tcW w:w="1880" w:type="dxa"/>
            <w:vAlign w:val="center"/>
          </w:tcPr>
          <w:p w14:paraId="3E6BE239">
            <w:pPr>
              <w:widowControl w:val="0"/>
              <w:adjustRightInd w:val="0"/>
              <w:snapToGrid w:val="0"/>
              <w:jc w:val="center"/>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rPr>
              <w:t>GB/T50493-2019第3.0.3条</w:t>
            </w:r>
          </w:p>
        </w:tc>
        <w:tc>
          <w:tcPr>
            <w:tcW w:w="3062" w:type="dxa"/>
            <w:vAlign w:val="center"/>
          </w:tcPr>
          <w:p w14:paraId="5901A7DC">
            <w:pPr>
              <w:widowControl w:val="0"/>
              <w:adjustRightInd w:val="0"/>
              <w:snapToGrid w:val="0"/>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rPr>
              <w:t>可燃气体检测报警信号送至</w:t>
            </w:r>
            <w:r>
              <w:rPr>
                <w:rFonts w:hint="eastAsia" w:ascii="宋体" w:hAnsi="宋体" w:eastAsia="宋体" w:cs="宋体"/>
                <w:b w:val="0"/>
                <w:bCs w:val="0"/>
                <w:color w:val="000000" w:themeColor="text1"/>
                <w:sz w:val="21"/>
                <w:szCs w:val="21"/>
                <w:highlight w:val="none"/>
                <w:lang w:eastAsia="zh-CN"/>
              </w:rPr>
              <w:t>漂染车间内的试样室内，该试样室在生产期间</w:t>
            </w:r>
            <w:r>
              <w:rPr>
                <w:rFonts w:hint="eastAsia" w:ascii="宋体" w:hAnsi="宋体" w:eastAsia="宋体" w:cs="宋体"/>
                <w:b w:val="0"/>
                <w:bCs w:val="0"/>
                <w:color w:val="000000" w:themeColor="text1"/>
                <w:sz w:val="21"/>
                <w:szCs w:val="21"/>
                <w:highlight w:val="none"/>
                <w:lang w:val="en-US" w:eastAsia="zh-CN"/>
              </w:rPr>
              <w:t>24小时有人值班</w:t>
            </w:r>
            <w:r>
              <w:rPr>
                <w:rFonts w:hint="eastAsia" w:ascii="宋体" w:hAnsi="宋体" w:eastAsia="宋体" w:cs="宋体"/>
                <w:color w:val="000000" w:themeColor="text1"/>
                <w:sz w:val="21"/>
                <w:szCs w:val="21"/>
                <w:highlight w:val="none"/>
              </w:rPr>
              <w:t>。</w:t>
            </w:r>
          </w:p>
        </w:tc>
        <w:tc>
          <w:tcPr>
            <w:tcW w:w="698" w:type="dxa"/>
            <w:vAlign w:val="center"/>
          </w:tcPr>
          <w:p w14:paraId="140F94C7">
            <w:pPr>
              <w:widowControl w:val="0"/>
              <w:adjustRightInd w:val="0"/>
              <w:snapToGrid w:val="0"/>
              <w:jc w:val="center"/>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rPr>
              <w:t>符合</w:t>
            </w:r>
          </w:p>
        </w:tc>
      </w:tr>
      <w:tr w14:paraId="5EB6A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2" w:type="dxa"/>
            <w:vAlign w:val="center"/>
          </w:tcPr>
          <w:p w14:paraId="50671373">
            <w:pPr>
              <w:pStyle w:val="26"/>
              <w:numPr>
                <w:ilvl w:val="0"/>
                <w:numId w:val="59"/>
              </w:numPr>
              <w:adjustRightInd w:val="0"/>
              <w:snapToGrid w:val="0"/>
              <w:ind w:left="425" w:hanging="425" w:firstLineChars="0"/>
              <w:jc w:val="center"/>
              <w:rPr>
                <w:rFonts w:hint="eastAsia" w:ascii="宋体" w:hAnsi="宋体" w:eastAsia="宋体" w:cs="宋体"/>
                <w:color w:val="000000" w:themeColor="text1"/>
                <w:sz w:val="21"/>
                <w:szCs w:val="21"/>
                <w:highlight w:val="none"/>
                <w:vertAlign w:val="baseline"/>
              </w:rPr>
            </w:pPr>
          </w:p>
        </w:tc>
        <w:tc>
          <w:tcPr>
            <w:tcW w:w="3248" w:type="dxa"/>
            <w:vAlign w:val="center"/>
          </w:tcPr>
          <w:p w14:paraId="7A5F165B">
            <w:pPr>
              <w:widowControl w:val="0"/>
              <w:adjustRightInd w:val="0"/>
              <w:snapToGrid w:val="0"/>
              <w:jc w:val="both"/>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rPr>
              <w:t>需要设置可燃气体、有毒气体探测器的场所，宜采用固定式探测器；需要临时检测可燃气体、有毒气体的场所，宜配备移动式气体探测器。</w:t>
            </w:r>
          </w:p>
        </w:tc>
        <w:tc>
          <w:tcPr>
            <w:tcW w:w="1880" w:type="dxa"/>
            <w:vAlign w:val="center"/>
          </w:tcPr>
          <w:p w14:paraId="062D79D9">
            <w:pPr>
              <w:widowControl w:val="0"/>
              <w:adjustRightInd w:val="0"/>
              <w:snapToGrid w:val="0"/>
              <w:jc w:val="center"/>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rPr>
              <w:t>GB/T50493-2019第3.0.6条</w:t>
            </w:r>
          </w:p>
        </w:tc>
        <w:tc>
          <w:tcPr>
            <w:tcW w:w="3062" w:type="dxa"/>
            <w:vAlign w:val="center"/>
          </w:tcPr>
          <w:p w14:paraId="19DDD938">
            <w:pPr>
              <w:widowControl w:val="0"/>
              <w:adjustRightInd w:val="0"/>
              <w:snapToGrid w:val="0"/>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rPr>
              <w:t>现场</w:t>
            </w:r>
            <w:r>
              <w:rPr>
                <w:rFonts w:hint="eastAsia" w:ascii="宋体" w:hAnsi="宋体" w:eastAsia="宋体" w:cs="宋体"/>
                <w:color w:val="000000" w:themeColor="text1"/>
                <w:spacing w:val="0"/>
                <w:sz w:val="21"/>
                <w:szCs w:val="21"/>
                <w:highlight w:val="none"/>
                <w:shd w:val="clear"/>
              </w:rPr>
              <w:t>可燃气体探测器采用固定式探测器。</w:t>
            </w:r>
          </w:p>
        </w:tc>
        <w:tc>
          <w:tcPr>
            <w:tcW w:w="698" w:type="dxa"/>
            <w:vAlign w:val="center"/>
          </w:tcPr>
          <w:p w14:paraId="3186823E">
            <w:pPr>
              <w:widowControl w:val="0"/>
              <w:adjustRightInd w:val="0"/>
              <w:snapToGrid w:val="0"/>
              <w:jc w:val="center"/>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rPr>
              <w:t>符合</w:t>
            </w:r>
          </w:p>
        </w:tc>
      </w:tr>
      <w:tr w14:paraId="5C828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2" w:type="dxa"/>
            <w:vAlign w:val="center"/>
          </w:tcPr>
          <w:p w14:paraId="3876AF42">
            <w:pPr>
              <w:pStyle w:val="26"/>
              <w:numPr>
                <w:ilvl w:val="0"/>
                <w:numId w:val="59"/>
              </w:numPr>
              <w:adjustRightInd w:val="0"/>
              <w:snapToGrid w:val="0"/>
              <w:ind w:left="425" w:hanging="425" w:firstLineChars="0"/>
              <w:jc w:val="center"/>
              <w:rPr>
                <w:rFonts w:hint="eastAsia" w:ascii="宋体" w:hAnsi="宋体" w:eastAsia="宋体" w:cs="宋体"/>
                <w:color w:val="000000" w:themeColor="text1"/>
                <w:sz w:val="21"/>
                <w:szCs w:val="21"/>
                <w:highlight w:val="none"/>
                <w:vertAlign w:val="baseline"/>
              </w:rPr>
            </w:pPr>
          </w:p>
        </w:tc>
        <w:tc>
          <w:tcPr>
            <w:tcW w:w="3248" w:type="dxa"/>
            <w:vAlign w:val="center"/>
          </w:tcPr>
          <w:p w14:paraId="085E9FEB">
            <w:pPr>
              <w:widowControl w:val="0"/>
              <w:adjustRightInd w:val="0"/>
              <w:snapToGrid w:val="0"/>
              <w:jc w:val="both"/>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rPr>
              <w:t>可燃气体和有毒气体检测报警系统应独立于其他系统单独设置。</w:t>
            </w:r>
          </w:p>
        </w:tc>
        <w:tc>
          <w:tcPr>
            <w:tcW w:w="1880" w:type="dxa"/>
            <w:vAlign w:val="center"/>
          </w:tcPr>
          <w:p w14:paraId="4054036A">
            <w:pPr>
              <w:widowControl w:val="0"/>
              <w:adjustRightInd w:val="0"/>
              <w:snapToGrid w:val="0"/>
              <w:jc w:val="center"/>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rPr>
              <w:t>GB/T50493-2019第3.0.8条</w:t>
            </w:r>
          </w:p>
        </w:tc>
        <w:tc>
          <w:tcPr>
            <w:tcW w:w="3062" w:type="dxa"/>
            <w:vAlign w:val="center"/>
          </w:tcPr>
          <w:p w14:paraId="6780320F">
            <w:pPr>
              <w:widowControl w:val="0"/>
              <w:adjustRightInd w:val="0"/>
              <w:snapToGrid w:val="0"/>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rPr>
              <w:t>报警系统独立设置。</w:t>
            </w:r>
          </w:p>
        </w:tc>
        <w:tc>
          <w:tcPr>
            <w:tcW w:w="698" w:type="dxa"/>
            <w:vAlign w:val="center"/>
          </w:tcPr>
          <w:p w14:paraId="02D4D067">
            <w:pPr>
              <w:widowControl w:val="0"/>
              <w:adjustRightInd w:val="0"/>
              <w:snapToGrid w:val="0"/>
              <w:jc w:val="center"/>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rPr>
              <w:t>符合</w:t>
            </w:r>
          </w:p>
        </w:tc>
      </w:tr>
      <w:tr w14:paraId="7AC7B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2" w:type="dxa"/>
            <w:vAlign w:val="center"/>
          </w:tcPr>
          <w:p w14:paraId="61F85EE4">
            <w:pPr>
              <w:pStyle w:val="26"/>
              <w:numPr>
                <w:ilvl w:val="0"/>
                <w:numId w:val="59"/>
              </w:numPr>
              <w:adjustRightInd w:val="0"/>
              <w:snapToGrid w:val="0"/>
              <w:ind w:left="425" w:hanging="425" w:firstLineChars="0"/>
              <w:jc w:val="center"/>
              <w:rPr>
                <w:rFonts w:hint="eastAsia" w:ascii="宋体" w:hAnsi="宋体" w:eastAsia="宋体" w:cs="宋体"/>
                <w:color w:val="000000" w:themeColor="text1"/>
                <w:sz w:val="21"/>
                <w:szCs w:val="21"/>
                <w:highlight w:val="none"/>
                <w:vertAlign w:val="baseline"/>
              </w:rPr>
            </w:pPr>
          </w:p>
        </w:tc>
        <w:tc>
          <w:tcPr>
            <w:tcW w:w="3248" w:type="dxa"/>
            <w:vAlign w:val="center"/>
          </w:tcPr>
          <w:p w14:paraId="5C2C79FD">
            <w:pPr>
              <w:widowControl w:val="0"/>
              <w:adjustRightInd w:val="0"/>
              <w:snapToGrid w:val="0"/>
              <w:jc w:val="both"/>
              <w:rPr>
                <w:rFonts w:hint="eastAsia" w:ascii="宋体" w:hAnsi="宋体" w:eastAsia="宋体" w:cs="宋体"/>
                <w:color w:val="000000" w:themeColor="text1"/>
                <w:spacing w:val="0"/>
                <w:sz w:val="21"/>
                <w:szCs w:val="21"/>
                <w:highlight w:val="none"/>
                <w:shd w:val="clear"/>
              </w:rPr>
            </w:pPr>
            <w:r>
              <w:rPr>
                <w:rFonts w:hint="eastAsia" w:ascii="宋体" w:hAnsi="宋体" w:eastAsia="宋体" w:cs="宋体"/>
                <w:color w:val="000000" w:themeColor="text1"/>
                <w:spacing w:val="0"/>
                <w:sz w:val="21"/>
                <w:szCs w:val="21"/>
                <w:highlight w:val="none"/>
                <w:shd w:val="clear"/>
              </w:rPr>
              <w:t>其他储存、运输可燃气体、有毒气体的储运设施，可燃气体探测器和（或）有毒气体探测器应按本标准第4.2节的规定设置。</w:t>
            </w:r>
          </w:p>
          <w:p w14:paraId="6040204C">
            <w:pPr>
              <w:widowControl w:val="0"/>
              <w:adjustRightInd w:val="0"/>
              <w:snapToGrid w:val="0"/>
              <w:jc w:val="both"/>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rPr>
              <w:t>释放源处于封闭式厂房或局部通风不良的半敞开厂房内。可燃气体探测器距其所覆盖范围内的任一释放源的水平距离不宜大于5m；有毒气体探测器距其所覆盖范围内的任一释放源的水平距离不宜大于2m。</w:t>
            </w:r>
          </w:p>
        </w:tc>
        <w:tc>
          <w:tcPr>
            <w:tcW w:w="1880" w:type="dxa"/>
            <w:vAlign w:val="center"/>
          </w:tcPr>
          <w:p w14:paraId="46F59F16">
            <w:pPr>
              <w:widowControl w:val="0"/>
              <w:adjustRightInd w:val="0"/>
              <w:snapToGrid w:val="0"/>
              <w:jc w:val="center"/>
              <w:rPr>
                <w:rFonts w:hint="eastAsia" w:ascii="宋体" w:hAnsi="宋体" w:eastAsia="宋体" w:cs="宋体"/>
                <w:color w:val="000000" w:themeColor="text1"/>
                <w:spacing w:val="0"/>
                <w:sz w:val="21"/>
                <w:szCs w:val="21"/>
                <w:highlight w:val="none"/>
                <w:shd w:val="clear"/>
              </w:rPr>
            </w:pPr>
            <w:r>
              <w:rPr>
                <w:rFonts w:hint="eastAsia" w:ascii="宋体" w:hAnsi="宋体" w:eastAsia="宋体" w:cs="宋体"/>
                <w:color w:val="000000" w:themeColor="text1"/>
                <w:spacing w:val="0"/>
                <w:sz w:val="21"/>
                <w:szCs w:val="21"/>
                <w:highlight w:val="none"/>
                <w:shd w:val="clear"/>
              </w:rPr>
              <w:t>GB/T50493-2019第4.3.7条</w:t>
            </w:r>
          </w:p>
          <w:p w14:paraId="5B2D93CC">
            <w:pPr>
              <w:widowControl w:val="0"/>
              <w:adjustRightInd w:val="0"/>
              <w:snapToGrid w:val="0"/>
              <w:ind w:firstLine="0" w:firstLineChars="0"/>
              <w:jc w:val="center"/>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rPr>
              <w:t>GB/T50493-2019第4.2.2条</w:t>
            </w:r>
          </w:p>
        </w:tc>
        <w:tc>
          <w:tcPr>
            <w:tcW w:w="3062" w:type="dxa"/>
            <w:vAlign w:val="center"/>
          </w:tcPr>
          <w:p w14:paraId="7663C8E5">
            <w:pPr>
              <w:widowControl w:val="0"/>
              <w:adjustRightInd w:val="0"/>
              <w:snapToGrid w:val="0"/>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rPr>
              <w:t>可燃气体探测器距其所覆盖范围内的任一释放源的水平距离不大于5m</w:t>
            </w:r>
            <w:r>
              <w:rPr>
                <w:rFonts w:hint="eastAsia" w:ascii="宋体" w:hAnsi="宋体" w:eastAsia="宋体" w:cs="宋体"/>
                <w:color w:val="000000" w:themeColor="text1"/>
                <w:spacing w:val="0"/>
                <w:sz w:val="21"/>
                <w:szCs w:val="21"/>
                <w:highlight w:val="none"/>
                <w:shd w:val="clear"/>
                <w:lang w:eastAsia="zh-CN"/>
              </w:rPr>
              <w:t>。</w:t>
            </w:r>
          </w:p>
        </w:tc>
        <w:tc>
          <w:tcPr>
            <w:tcW w:w="698" w:type="dxa"/>
            <w:vAlign w:val="center"/>
          </w:tcPr>
          <w:p w14:paraId="71505FBE">
            <w:pPr>
              <w:widowControl w:val="0"/>
              <w:adjustRightInd w:val="0"/>
              <w:snapToGrid w:val="0"/>
              <w:jc w:val="center"/>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lang w:eastAsia="zh-CN"/>
              </w:rPr>
              <w:t>符合</w:t>
            </w:r>
          </w:p>
        </w:tc>
      </w:tr>
      <w:tr w14:paraId="6FCB7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2" w:type="dxa"/>
            <w:vAlign w:val="center"/>
          </w:tcPr>
          <w:p w14:paraId="790C3113">
            <w:pPr>
              <w:pStyle w:val="26"/>
              <w:numPr>
                <w:ilvl w:val="0"/>
                <w:numId w:val="59"/>
              </w:numPr>
              <w:adjustRightInd w:val="0"/>
              <w:snapToGrid w:val="0"/>
              <w:ind w:left="425" w:hanging="425" w:firstLineChars="0"/>
              <w:jc w:val="center"/>
              <w:rPr>
                <w:rFonts w:hint="eastAsia" w:ascii="宋体" w:hAnsi="宋体" w:eastAsia="宋体" w:cs="宋体"/>
                <w:color w:val="000000" w:themeColor="text1"/>
                <w:sz w:val="21"/>
                <w:szCs w:val="21"/>
                <w:highlight w:val="none"/>
                <w:vertAlign w:val="baseline"/>
              </w:rPr>
            </w:pPr>
          </w:p>
        </w:tc>
        <w:tc>
          <w:tcPr>
            <w:tcW w:w="3248" w:type="dxa"/>
            <w:vAlign w:val="center"/>
          </w:tcPr>
          <w:p w14:paraId="74422342">
            <w:pPr>
              <w:widowControl w:val="0"/>
              <w:adjustRightInd w:val="0"/>
              <w:snapToGrid w:val="0"/>
              <w:jc w:val="both"/>
              <w:rPr>
                <w:rFonts w:hint="eastAsia" w:ascii="宋体" w:hAnsi="宋体" w:eastAsia="宋体" w:cs="宋体"/>
                <w:color w:val="000000" w:themeColor="text1"/>
                <w:kern w:val="0"/>
                <w:sz w:val="21"/>
                <w:szCs w:val="21"/>
                <w:highlight w:val="none"/>
                <w:shd w:val="clear"/>
              </w:rPr>
            </w:pPr>
            <w:r>
              <w:rPr>
                <w:rFonts w:hint="eastAsia" w:ascii="宋体" w:hAnsi="宋体" w:eastAsia="宋体" w:cs="宋体"/>
                <w:color w:val="000000" w:themeColor="text1"/>
                <w:kern w:val="0"/>
                <w:sz w:val="21"/>
                <w:szCs w:val="21"/>
                <w:highlight w:val="none"/>
                <w:shd w:val="clear"/>
              </w:rPr>
              <w:t>报警值设定应符合下列规定：</w:t>
            </w:r>
          </w:p>
          <w:p w14:paraId="2ADDDD2B">
            <w:pPr>
              <w:widowControl w:val="0"/>
              <w:adjustRightInd w:val="0"/>
              <w:snapToGrid w:val="0"/>
              <w:jc w:val="both"/>
              <w:rPr>
                <w:rFonts w:hint="eastAsia" w:ascii="宋体" w:hAnsi="宋体" w:eastAsia="宋体" w:cs="宋体"/>
                <w:color w:val="000000" w:themeColor="text1"/>
                <w:kern w:val="0"/>
                <w:sz w:val="21"/>
                <w:szCs w:val="21"/>
                <w:highlight w:val="none"/>
                <w:shd w:val="clear"/>
              </w:rPr>
            </w:pPr>
            <w:r>
              <w:rPr>
                <w:rFonts w:hint="eastAsia" w:ascii="宋体" w:hAnsi="宋体" w:eastAsia="宋体" w:cs="宋体"/>
                <w:color w:val="000000" w:themeColor="text1"/>
                <w:kern w:val="0"/>
                <w:sz w:val="21"/>
                <w:szCs w:val="21"/>
                <w:highlight w:val="none"/>
                <w:shd w:val="clear"/>
              </w:rPr>
              <w:t>1可燃气体的一级报警设定值应小于或等于25%LEL。</w:t>
            </w:r>
          </w:p>
          <w:p w14:paraId="15EE9FB2">
            <w:pPr>
              <w:widowControl w:val="0"/>
              <w:adjustRightInd w:val="0"/>
              <w:snapToGrid w:val="0"/>
              <w:jc w:val="both"/>
              <w:rPr>
                <w:rFonts w:hint="eastAsia" w:ascii="宋体" w:hAnsi="宋体" w:eastAsia="宋体" w:cs="宋体"/>
                <w:color w:val="000000" w:themeColor="text1"/>
                <w:kern w:val="0"/>
                <w:sz w:val="21"/>
                <w:szCs w:val="21"/>
                <w:highlight w:val="none"/>
                <w:shd w:val="clear"/>
              </w:rPr>
            </w:pPr>
            <w:r>
              <w:rPr>
                <w:rFonts w:hint="eastAsia" w:ascii="宋体" w:hAnsi="宋体" w:eastAsia="宋体" w:cs="宋体"/>
                <w:color w:val="000000" w:themeColor="text1"/>
                <w:kern w:val="0"/>
                <w:sz w:val="21"/>
                <w:szCs w:val="21"/>
                <w:highlight w:val="none"/>
                <w:shd w:val="clear"/>
              </w:rPr>
              <w:t>2可燃气体的二级报警设定值应小于或等于50%LEL。</w:t>
            </w:r>
          </w:p>
          <w:p w14:paraId="68E2C511">
            <w:pPr>
              <w:widowControl w:val="0"/>
              <w:adjustRightInd w:val="0"/>
              <w:snapToGrid w:val="0"/>
              <w:jc w:val="both"/>
              <w:rPr>
                <w:rFonts w:hint="eastAsia" w:ascii="宋体" w:hAnsi="宋体" w:eastAsia="宋体" w:cs="宋体"/>
                <w:color w:val="000000" w:themeColor="text1"/>
                <w:kern w:val="0"/>
                <w:sz w:val="21"/>
                <w:szCs w:val="21"/>
                <w:highlight w:val="none"/>
                <w:shd w:val="clear"/>
              </w:rPr>
            </w:pPr>
            <w:r>
              <w:rPr>
                <w:rFonts w:hint="eastAsia" w:ascii="宋体" w:hAnsi="宋体" w:eastAsia="宋体" w:cs="宋体"/>
                <w:color w:val="000000" w:themeColor="text1"/>
                <w:kern w:val="0"/>
                <w:sz w:val="21"/>
                <w:szCs w:val="21"/>
                <w:highlight w:val="none"/>
                <w:shd w:val="clear"/>
              </w:rPr>
              <w:t>3有毒气体的一级报警设定值应小于或等于100%OEL，有毒气体的二级报警设定值应小于或等于200%OEL。当现有探测器的测量范围不能满足测量要求时，有毒气体的一级报警设定值不得超过5%IDLH，有毒气体的二级报警设定值不得超过10%IDLH。</w:t>
            </w:r>
          </w:p>
          <w:p w14:paraId="6C194B33">
            <w:pPr>
              <w:widowControl w:val="0"/>
              <w:adjustRightInd w:val="0"/>
              <w:snapToGrid w:val="0"/>
              <w:jc w:val="both"/>
              <w:rPr>
                <w:rFonts w:hint="eastAsia" w:ascii="宋体" w:hAnsi="宋体" w:eastAsia="宋体" w:cs="宋体"/>
                <w:color w:val="000000" w:themeColor="text1"/>
                <w:kern w:val="0"/>
                <w:sz w:val="21"/>
                <w:szCs w:val="21"/>
                <w:highlight w:val="none"/>
                <w:shd w:val="clear"/>
              </w:rPr>
            </w:pPr>
            <w:r>
              <w:rPr>
                <w:rFonts w:hint="eastAsia" w:ascii="宋体" w:hAnsi="宋体" w:eastAsia="宋体" w:cs="宋体"/>
                <w:color w:val="000000" w:themeColor="text1"/>
                <w:kern w:val="0"/>
                <w:sz w:val="21"/>
                <w:szCs w:val="21"/>
                <w:highlight w:val="none"/>
                <w:shd w:val="clear"/>
              </w:rPr>
              <w:t>4环境氧气的过氧报警设定值宜为23.5%VOL，环境欠氧报警设定值宜为19.5%VOL。</w:t>
            </w:r>
          </w:p>
          <w:p w14:paraId="2AE9402F">
            <w:pPr>
              <w:widowControl w:val="0"/>
              <w:adjustRightInd w:val="0"/>
              <w:snapToGrid w:val="0"/>
              <w:jc w:val="both"/>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kern w:val="0"/>
                <w:sz w:val="21"/>
                <w:szCs w:val="21"/>
                <w:highlight w:val="none"/>
                <w:shd w:val="clear"/>
              </w:rPr>
              <w:t>5线型可燃气体测量一级报警设定值应为1LEL·m；二级报警设定值应为2LEL·m。</w:t>
            </w:r>
          </w:p>
        </w:tc>
        <w:tc>
          <w:tcPr>
            <w:tcW w:w="1880" w:type="dxa"/>
            <w:vAlign w:val="center"/>
          </w:tcPr>
          <w:p w14:paraId="7716F903">
            <w:pPr>
              <w:widowControl w:val="0"/>
              <w:adjustRightInd w:val="0"/>
              <w:snapToGrid w:val="0"/>
              <w:jc w:val="center"/>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kern w:val="0"/>
                <w:sz w:val="21"/>
                <w:szCs w:val="21"/>
                <w:highlight w:val="none"/>
                <w:shd w:val="clear"/>
              </w:rPr>
              <w:t>GB/T50493</w:t>
            </w:r>
            <w:r>
              <w:rPr>
                <w:rFonts w:hint="eastAsia" w:ascii="宋体" w:hAnsi="宋体" w:eastAsia="宋体" w:cs="宋体"/>
                <w:color w:val="000000" w:themeColor="text1"/>
                <w:spacing w:val="0"/>
                <w:sz w:val="21"/>
                <w:szCs w:val="21"/>
                <w:highlight w:val="none"/>
                <w:shd w:val="clear"/>
              </w:rPr>
              <w:t>-</w:t>
            </w:r>
            <w:r>
              <w:rPr>
                <w:rFonts w:hint="eastAsia" w:ascii="宋体" w:hAnsi="宋体" w:eastAsia="宋体" w:cs="宋体"/>
                <w:color w:val="000000" w:themeColor="text1"/>
                <w:kern w:val="0"/>
                <w:sz w:val="21"/>
                <w:szCs w:val="21"/>
                <w:highlight w:val="none"/>
                <w:shd w:val="clear"/>
              </w:rPr>
              <w:t>2019第5.5.2</w:t>
            </w:r>
            <w:r>
              <w:rPr>
                <w:rFonts w:hint="eastAsia" w:ascii="宋体" w:hAnsi="宋体" w:eastAsia="宋体" w:cs="宋体"/>
                <w:color w:val="000000" w:themeColor="text1"/>
                <w:kern w:val="0"/>
                <w:sz w:val="21"/>
                <w:szCs w:val="21"/>
                <w:highlight w:val="none"/>
              </w:rPr>
              <w:t>条</w:t>
            </w:r>
          </w:p>
        </w:tc>
        <w:tc>
          <w:tcPr>
            <w:tcW w:w="3062" w:type="dxa"/>
            <w:vAlign w:val="center"/>
          </w:tcPr>
          <w:p w14:paraId="7C277EF7">
            <w:pPr>
              <w:widowControl w:val="0"/>
              <w:adjustRightInd w:val="0"/>
              <w:snapToGrid w:val="0"/>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kern w:val="0"/>
                <w:sz w:val="21"/>
                <w:szCs w:val="21"/>
                <w:highlight w:val="none"/>
                <w:shd w:val="clear"/>
              </w:rPr>
              <w:t>可燃气体的一级报警设定值等于25%LEL。二级报警设定值等于50%LEL。</w:t>
            </w:r>
          </w:p>
        </w:tc>
        <w:tc>
          <w:tcPr>
            <w:tcW w:w="698" w:type="dxa"/>
            <w:vAlign w:val="center"/>
          </w:tcPr>
          <w:p w14:paraId="7B943268">
            <w:pPr>
              <w:widowControl w:val="0"/>
              <w:adjustRightInd w:val="0"/>
              <w:snapToGrid w:val="0"/>
              <w:jc w:val="center"/>
              <w:rPr>
                <w:rFonts w:hint="eastAsia" w:ascii="宋体" w:hAnsi="宋体" w:eastAsia="宋体" w:cs="宋体"/>
                <w:color w:val="000000" w:themeColor="text1"/>
                <w:sz w:val="21"/>
                <w:szCs w:val="21"/>
                <w:highlight w:val="none"/>
                <w:vertAlign w:val="baseline"/>
                <w:lang w:eastAsia="zh-CN"/>
              </w:rPr>
            </w:pPr>
            <w:r>
              <w:rPr>
                <w:rFonts w:hint="eastAsia" w:ascii="宋体" w:hAnsi="宋体" w:eastAsia="宋体" w:cs="宋体"/>
                <w:color w:val="000000" w:themeColor="text1"/>
                <w:sz w:val="21"/>
                <w:szCs w:val="21"/>
                <w:highlight w:val="none"/>
                <w:vertAlign w:val="baseline"/>
                <w:lang w:eastAsia="zh-CN"/>
              </w:rPr>
              <w:t>符合</w:t>
            </w:r>
          </w:p>
        </w:tc>
      </w:tr>
      <w:tr w14:paraId="363E5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2" w:type="dxa"/>
            <w:vAlign w:val="center"/>
          </w:tcPr>
          <w:p w14:paraId="21753045">
            <w:pPr>
              <w:pStyle w:val="26"/>
              <w:numPr>
                <w:ilvl w:val="0"/>
                <w:numId w:val="59"/>
              </w:numPr>
              <w:adjustRightInd w:val="0"/>
              <w:snapToGrid w:val="0"/>
              <w:ind w:left="425" w:hanging="425" w:firstLineChars="0"/>
              <w:jc w:val="center"/>
              <w:rPr>
                <w:rFonts w:hint="eastAsia" w:ascii="宋体" w:hAnsi="宋体" w:eastAsia="宋体" w:cs="宋体"/>
                <w:color w:val="000000" w:themeColor="text1"/>
                <w:sz w:val="21"/>
                <w:szCs w:val="21"/>
                <w:highlight w:val="none"/>
                <w:vertAlign w:val="baseline"/>
              </w:rPr>
            </w:pPr>
          </w:p>
        </w:tc>
        <w:tc>
          <w:tcPr>
            <w:tcW w:w="3248" w:type="dxa"/>
            <w:vAlign w:val="center"/>
          </w:tcPr>
          <w:p w14:paraId="09FCCD58">
            <w:pPr>
              <w:widowControl w:val="0"/>
              <w:adjustRightInd w:val="0"/>
              <w:snapToGrid w:val="0"/>
              <w:jc w:val="both"/>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rPr>
              <w:t>检测比空气重的可燃气体或有毒气体时，探测器的安装高度宜距地坪（或楼地板）0.3m～0.6m；检测比空气轻的可燃气体或有毒气体时，探测器的安装高度宜在释放源上方2m内。检测比空气略重的可燃气体或有毒气体时，探测器的安装高度宜在释放源下方0.5 m～1m；检测比空气略轻的可燃气体或有毒气体时，探测器的安装高度宜高出释放源0.5 m～1m（新增）。</w:t>
            </w:r>
          </w:p>
        </w:tc>
        <w:tc>
          <w:tcPr>
            <w:tcW w:w="1880" w:type="dxa"/>
            <w:vAlign w:val="center"/>
          </w:tcPr>
          <w:p w14:paraId="55B17439">
            <w:pPr>
              <w:widowControl w:val="0"/>
              <w:adjustRightInd w:val="0"/>
              <w:snapToGrid w:val="0"/>
              <w:jc w:val="center"/>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pacing w:val="0"/>
                <w:sz w:val="21"/>
                <w:szCs w:val="21"/>
                <w:highlight w:val="none"/>
                <w:shd w:val="clear"/>
              </w:rPr>
              <w:t>GB/T50493-2019第6.1.2条</w:t>
            </w:r>
          </w:p>
        </w:tc>
        <w:tc>
          <w:tcPr>
            <w:tcW w:w="3062" w:type="dxa"/>
            <w:vAlign w:val="center"/>
          </w:tcPr>
          <w:p w14:paraId="02F0413D">
            <w:pPr>
              <w:widowControl w:val="0"/>
              <w:adjustRightInd w:val="0"/>
              <w:snapToGrid w:val="0"/>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rPr>
              <w:t>现场</w:t>
            </w:r>
            <w:r>
              <w:rPr>
                <w:rFonts w:hint="eastAsia" w:ascii="宋体" w:hAnsi="宋体" w:eastAsia="宋体" w:cs="宋体"/>
                <w:color w:val="000000" w:themeColor="text1"/>
                <w:spacing w:val="0"/>
                <w:sz w:val="21"/>
                <w:szCs w:val="21"/>
                <w:highlight w:val="none"/>
                <w:shd w:val="clear"/>
              </w:rPr>
              <w:t>可燃气体探测器安装高度距地坪0.3m。</w:t>
            </w:r>
          </w:p>
        </w:tc>
        <w:tc>
          <w:tcPr>
            <w:tcW w:w="698" w:type="dxa"/>
            <w:vAlign w:val="center"/>
          </w:tcPr>
          <w:p w14:paraId="74E3AFB7">
            <w:pPr>
              <w:widowControl w:val="0"/>
              <w:adjustRightInd w:val="0"/>
              <w:snapToGrid w:val="0"/>
              <w:jc w:val="center"/>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rPr>
              <w:t>符合</w:t>
            </w:r>
          </w:p>
        </w:tc>
      </w:tr>
    </w:tbl>
    <w:p w14:paraId="2A87145A">
      <w:pPr>
        <w:widowControl w:val="0"/>
        <w:numPr>
          <w:ilvl w:val="0"/>
          <w:numId w:val="57"/>
        </w:numPr>
        <w:adjustRightInd w:val="0"/>
        <w:snapToGrid w:val="0"/>
        <w:spacing w:before="157" w:beforeLines="50" w:afterLines="0" w:line="360" w:lineRule="auto"/>
        <w:ind w:left="0" w:firstLine="560" w:firstLineChars="200"/>
        <w:jc w:val="left"/>
        <w:outlineLvl w:val="9"/>
        <w:rPr>
          <w:rFonts w:hint="eastAsia" w:ascii="宋体" w:hAnsi="宋体" w:cs="宋体"/>
          <w:b w:val="0"/>
          <w:color w:val="000000" w:themeColor="text1"/>
          <w:sz w:val="28"/>
          <w:szCs w:val="28"/>
          <w:highlight w:val="none"/>
        </w:rPr>
      </w:pPr>
      <w:bookmarkStart w:id="902" w:name="_Toc60846644"/>
      <w:r>
        <w:rPr>
          <w:rFonts w:hint="eastAsia" w:ascii="宋体" w:hAnsi="宋体" w:cs="宋体"/>
          <w:b w:val="0"/>
          <w:color w:val="000000" w:themeColor="text1"/>
          <w:sz w:val="28"/>
          <w:szCs w:val="28"/>
          <w:highlight w:val="none"/>
        </w:rPr>
        <w:t>防雷、防静电系统</w:t>
      </w:r>
      <w:bookmarkEnd w:id="902"/>
    </w:p>
    <w:p w14:paraId="05396F8F">
      <w:pPr>
        <w:pStyle w:val="93"/>
        <w:widowControl w:val="0"/>
        <w:snapToGrid w:val="0"/>
        <w:spacing w:beforeLines="0" w:line="360" w:lineRule="auto"/>
        <w:rPr>
          <w:rFonts w:hint="eastAsia" w:ascii="宋体" w:hAnsi="宋体" w:eastAsia="宋体" w:cs="宋体"/>
          <w:color w:val="000000" w:themeColor="text1"/>
          <w:kern w:val="0"/>
          <w:sz w:val="28"/>
          <w:szCs w:val="28"/>
          <w:highlight w:val="none"/>
          <w:lang w:eastAsia="zh-CN"/>
        </w:rPr>
      </w:pPr>
      <w:r>
        <w:rPr>
          <w:rFonts w:hint="eastAsia" w:ascii="宋体" w:hAnsi="宋体" w:eastAsia="宋体" w:cs="宋体"/>
          <w:color w:val="000000" w:themeColor="text1"/>
          <w:kern w:val="0"/>
          <w:sz w:val="28"/>
          <w:szCs w:val="28"/>
          <w:highlight w:val="none"/>
        </w:rPr>
        <w:t>根据《建筑设计防火规范》GB50016-2014（2018年版）</w:t>
      </w:r>
      <w:r>
        <w:rPr>
          <w:rFonts w:hint="eastAsia" w:ascii="宋体" w:hAnsi="宋体" w:eastAsia="宋体" w:cs="宋体"/>
          <w:color w:val="000000" w:themeColor="text1"/>
          <w:kern w:val="0"/>
          <w:sz w:val="28"/>
          <w:szCs w:val="28"/>
          <w:highlight w:val="none"/>
          <w:lang w:eastAsia="zh-CN"/>
        </w:rPr>
        <w:t>和</w:t>
      </w:r>
      <w:r>
        <w:rPr>
          <w:rFonts w:hint="eastAsia" w:ascii="宋体" w:hAnsi="宋体" w:eastAsia="宋体" w:cs="宋体"/>
          <w:color w:val="000000" w:themeColor="text1"/>
          <w:kern w:val="0"/>
          <w:sz w:val="28"/>
          <w:szCs w:val="28"/>
          <w:highlight w:val="none"/>
        </w:rPr>
        <w:t>《建筑物防雷设计规范》GB50057-2010对</w:t>
      </w:r>
      <w:r>
        <w:rPr>
          <w:rFonts w:hint="eastAsia" w:ascii="宋体" w:hAnsi="宋体" w:eastAsia="宋体" w:cs="宋体"/>
          <w:color w:val="000000" w:themeColor="text1"/>
          <w:kern w:val="0"/>
          <w:sz w:val="28"/>
          <w:szCs w:val="28"/>
          <w:highlight w:val="none"/>
          <w:lang w:eastAsia="zh-CN"/>
        </w:rPr>
        <w:t>本项目</w:t>
      </w:r>
      <w:r>
        <w:rPr>
          <w:rFonts w:hint="eastAsia" w:ascii="宋体" w:hAnsi="宋体" w:eastAsia="宋体" w:cs="宋体"/>
          <w:color w:val="000000" w:themeColor="text1"/>
          <w:kern w:val="0"/>
          <w:sz w:val="28"/>
          <w:szCs w:val="28"/>
          <w:highlight w:val="none"/>
        </w:rPr>
        <w:t>防雷</w:t>
      </w:r>
      <w:r>
        <w:rPr>
          <w:rFonts w:hint="eastAsia" w:ascii="宋体" w:hAnsi="宋体" w:eastAsia="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防静电设施进行检查，防雷、防静电设施安全检查</w:t>
      </w:r>
      <w:r>
        <w:rPr>
          <w:rFonts w:hint="eastAsia" w:ascii="宋体" w:hAnsi="宋体" w:eastAsia="宋体" w:cs="宋体"/>
          <w:color w:val="000000" w:themeColor="text1"/>
          <w:kern w:val="0"/>
          <w:sz w:val="28"/>
          <w:szCs w:val="28"/>
          <w:highlight w:val="none"/>
          <w:lang w:eastAsia="zh-CN"/>
        </w:rPr>
        <w:t>见下表。</w:t>
      </w:r>
    </w:p>
    <w:p w14:paraId="583828CB">
      <w:pPr>
        <w:widowControl w:val="0"/>
        <w:adjustRightInd w:val="0"/>
        <w:snapToGrid w:val="0"/>
        <w:spacing w:line="360" w:lineRule="auto"/>
        <w:ind w:firstLine="0" w:firstLineChars="0"/>
        <w:jc w:val="center"/>
        <w:rPr>
          <w:rFonts w:ascii="黑体" w:hAnsi="黑体" w:eastAsia="黑体"/>
          <w:b/>
          <w:bCs/>
          <w:color w:val="000000" w:themeColor="text1"/>
          <w:kern w:val="0"/>
          <w:sz w:val="24"/>
          <w:szCs w:val="24"/>
          <w:highlight w:val="none"/>
        </w:rPr>
      </w:pPr>
    </w:p>
    <w:p w14:paraId="05DB3000">
      <w:pPr>
        <w:widowControl w:val="0"/>
        <w:adjustRightInd w:val="0"/>
        <w:snapToGrid w:val="0"/>
        <w:spacing w:line="360" w:lineRule="auto"/>
        <w:ind w:firstLine="0" w:firstLineChars="0"/>
        <w:jc w:val="center"/>
        <w:rPr>
          <w:rFonts w:ascii="黑体" w:hAnsi="黑体" w:eastAsia="黑体"/>
          <w:b/>
          <w:bCs/>
          <w:color w:val="000000" w:themeColor="text1"/>
          <w:kern w:val="0"/>
          <w:sz w:val="24"/>
          <w:szCs w:val="24"/>
          <w:highlight w:val="none"/>
        </w:rPr>
      </w:pPr>
    </w:p>
    <w:p w14:paraId="7888606F">
      <w:pPr>
        <w:widowControl w:val="0"/>
        <w:adjustRightInd w:val="0"/>
        <w:snapToGrid w:val="0"/>
        <w:spacing w:line="360" w:lineRule="auto"/>
        <w:ind w:firstLine="0" w:firstLineChars="0"/>
        <w:jc w:val="center"/>
        <w:rPr>
          <w:rFonts w:ascii="黑体" w:hAnsi="黑体" w:eastAsia="黑体"/>
          <w:b/>
          <w:bCs/>
          <w:color w:val="000000" w:themeColor="text1"/>
          <w:kern w:val="0"/>
          <w:sz w:val="24"/>
          <w:szCs w:val="24"/>
          <w:highlight w:val="none"/>
        </w:rPr>
      </w:pPr>
    </w:p>
    <w:p w14:paraId="3CDB2134">
      <w:pPr>
        <w:widowControl w:val="0"/>
        <w:adjustRightInd w:val="0"/>
        <w:snapToGrid w:val="0"/>
        <w:spacing w:line="360" w:lineRule="auto"/>
        <w:ind w:firstLine="0" w:firstLineChars="0"/>
        <w:jc w:val="center"/>
        <w:rPr>
          <w:rFonts w:ascii="黑体" w:hAnsi="黑体" w:eastAsia="黑体"/>
          <w:b/>
          <w:bCs/>
          <w:color w:val="000000" w:themeColor="text1"/>
          <w:kern w:val="0"/>
          <w:sz w:val="24"/>
          <w:szCs w:val="24"/>
          <w:highlight w:val="none"/>
        </w:rPr>
      </w:pPr>
    </w:p>
    <w:p w14:paraId="26F4F1B5">
      <w:pPr>
        <w:widowControl w:val="0"/>
        <w:adjustRightInd w:val="0"/>
        <w:snapToGrid w:val="0"/>
        <w:spacing w:line="360" w:lineRule="auto"/>
        <w:ind w:firstLine="0" w:firstLineChars="0"/>
        <w:jc w:val="center"/>
        <w:rPr>
          <w:rFonts w:ascii="黑体" w:hAnsi="黑体" w:eastAsia="黑体"/>
          <w:b/>
          <w:bCs/>
          <w:color w:val="000000" w:themeColor="text1"/>
          <w:kern w:val="0"/>
          <w:sz w:val="24"/>
          <w:szCs w:val="24"/>
          <w:highlight w:val="none"/>
        </w:rPr>
      </w:pPr>
    </w:p>
    <w:p w14:paraId="464D44B8">
      <w:pPr>
        <w:widowControl w:val="0"/>
        <w:adjustRightInd w:val="0"/>
        <w:snapToGrid w:val="0"/>
        <w:spacing w:line="360" w:lineRule="auto"/>
        <w:ind w:firstLine="0" w:firstLineChars="0"/>
        <w:jc w:val="center"/>
        <w:rPr>
          <w:rFonts w:ascii="黑体" w:hAnsi="黑体" w:eastAsia="黑体"/>
          <w:b/>
          <w:bCs/>
          <w:color w:val="000000" w:themeColor="text1"/>
          <w:kern w:val="0"/>
          <w:sz w:val="24"/>
          <w:szCs w:val="24"/>
          <w:highlight w:val="none"/>
        </w:rPr>
      </w:pPr>
    </w:p>
    <w:p w14:paraId="12118BC7">
      <w:pPr>
        <w:widowControl w:val="0"/>
        <w:adjustRightInd w:val="0"/>
        <w:snapToGrid w:val="0"/>
        <w:spacing w:line="360" w:lineRule="auto"/>
        <w:ind w:firstLine="0" w:firstLineChars="0"/>
        <w:jc w:val="center"/>
        <w:rPr>
          <w:rFonts w:ascii="黑体" w:hAnsi="黑体" w:eastAsia="黑体"/>
          <w:b/>
          <w:bCs/>
          <w:color w:val="000000" w:themeColor="text1"/>
          <w:kern w:val="0"/>
          <w:sz w:val="24"/>
          <w:szCs w:val="24"/>
          <w:highlight w:val="none"/>
        </w:rPr>
      </w:pPr>
    </w:p>
    <w:p w14:paraId="796DB131">
      <w:pPr>
        <w:widowControl w:val="0"/>
        <w:adjustRightInd w:val="0"/>
        <w:snapToGrid w:val="0"/>
        <w:spacing w:line="360" w:lineRule="auto"/>
        <w:ind w:firstLine="0" w:firstLineChars="0"/>
        <w:jc w:val="center"/>
        <w:rPr>
          <w:rFonts w:ascii="黑体" w:hAnsi="黑体" w:eastAsia="黑体"/>
          <w:b/>
          <w:bCs/>
          <w:color w:val="000000" w:themeColor="text1"/>
          <w:sz w:val="24"/>
          <w:szCs w:val="24"/>
          <w:highlight w:val="none"/>
        </w:rPr>
      </w:pPr>
      <w:r>
        <w:rPr>
          <w:rFonts w:ascii="黑体" w:hAnsi="黑体" w:eastAsia="黑体"/>
          <w:b/>
          <w:bCs/>
          <w:color w:val="000000" w:themeColor="text1"/>
          <w:kern w:val="0"/>
          <w:sz w:val="24"/>
          <w:szCs w:val="24"/>
          <w:highlight w:val="none"/>
        </w:rPr>
        <w:t>表5</w:t>
      </w:r>
      <w:r>
        <w:rPr>
          <w:rFonts w:hint="eastAsia" w:ascii="黑体" w:hAnsi="黑体" w:eastAsia="黑体"/>
          <w:b/>
          <w:bCs/>
          <w:color w:val="000000" w:themeColor="text1"/>
          <w:kern w:val="0"/>
          <w:sz w:val="24"/>
          <w:szCs w:val="24"/>
          <w:highlight w:val="none"/>
        </w:rPr>
        <w:t>.1</w:t>
      </w:r>
      <w:r>
        <w:rPr>
          <w:rFonts w:ascii="黑体" w:hAnsi="黑体" w:eastAsia="黑体"/>
          <w:b/>
          <w:bCs/>
          <w:color w:val="000000" w:themeColor="text1"/>
          <w:kern w:val="0"/>
          <w:sz w:val="24"/>
          <w:szCs w:val="24"/>
          <w:highlight w:val="none"/>
        </w:rPr>
        <w:t>-</w:t>
      </w:r>
      <w:r>
        <w:rPr>
          <w:rFonts w:hint="eastAsia" w:ascii="黑体" w:hAnsi="黑体" w:eastAsia="黑体"/>
          <w:b/>
          <w:bCs/>
          <w:color w:val="000000" w:themeColor="text1"/>
          <w:kern w:val="0"/>
          <w:sz w:val="24"/>
          <w:szCs w:val="24"/>
          <w:highlight w:val="none"/>
          <w:lang w:val="en-US" w:eastAsia="zh-CN"/>
        </w:rPr>
        <w:t xml:space="preserve">9 </w:t>
      </w:r>
      <w:r>
        <w:rPr>
          <w:rFonts w:ascii="黑体" w:hAnsi="黑体" w:eastAsia="黑体"/>
          <w:b/>
          <w:bCs/>
          <w:color w:val="000000" w:themeColor="text1"/>
          <w:sz w:val="24"/>
          <w:szCs w:val="24"/>
          <w:highlight w:val="none"/>
        </w:rPr>
        <w:t>防雷、防静电装置安全性评价检查表</w:t>
      </w:r>
    </w:p>
    <w:tbl>
      <w:tblPr>
        <w:tblStyle w:val="6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
        <w:gridCol w:w="4576"/>
        <w:gridCol w:w="1373"/>
        <w:gridCol w:w="2240"/>
        <w:gridCol w:w="730"/>
      </w:tblGrid>
      <w:tr w14:paraId="1195F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254" w:type="pct"/>
            <w:shd w:val="clear" w:color="auto" w:fill="auto"/>
            <w:vAlign w:val="center"/>
          </w:tcPr>
          <w:p w14:paraId="7BC92C49">
            <w:pPr>
              <w:pStyle w:val="441"/>
              <w:widowControl w:val="0"/>
              <w:adjustRightInd w:val="0"/>
              <w:snapToGrid w:val="0"/>
              <w:rPr>
                <w:rFonts w:ascii="Times New Roman" w:hAnsi="Times New Roman"/>
                <w:b/>
                <w:bCs w:val="0"/>
                <w:color w:val="000000" w:themeColor="text1"/>
                <w:kern w:val="0"/>
                <w:sz w:val="21"/>
                <w:szCs w:val="21"/>
                <w:highlight w:val="none"/>
              </w:rPr>
            </w:pPr>
            <w:r>
              <w:rPr>
                <w:rFonts w:hint="eastAsia" w:ascii="Times New Roman" w:hAnsi="Times New Roman"/>
                <w:b/>
                <w:bCs w:val="0"/>
                <w:color w:val="000000" w:themeColor="text1"/>
                <w:kern w:val="0"/>
                <w:sz w:val="21"/>
                <w:szCs w:val="21"/>
                <w:highlight w:val="none"/>
              </w:rPr>
              <w:t>序号</w:t>
            </w:r>
          </w:p>
        </w:tc>
        <w:tc>
          <w:tcPr>
            <w:tcW w:w="2434" w:type="pct"/>
            <w:shd w:val="clear" w:color="auto" w:fill="auto"/>
            <w:vAlign w:val="center"/>
          </w:tcPr>
          <w:p w14:paraId="198F2A86">
            <w:pPr>
              <w:pStyle w:val="441"/>
              <w:widowControl w:val="0"/>
              <w:adjustRightInd w:val="0"/>
              <w:snapToGrid w:val="0"/>
              <w:rPr>
                <w:rFonts w:ascii="Times New Roman" w:hAnsi="Times New Roman"/>
                <w:b/>
                <w:bCs w:val="0"/>
                <w:color w:val="000000" w:themeColor="text1"/>
                <w:kern w:val="0"/>
                <w:sz w:val="21"/>
                <w:szCs w:val="21"/>
                <w:highlight w:val="none"/>
              </w:rPr>
            </w:pPr>
            <w:r>
              <w:rPr>
                <w:rFonts w:hint="eastAsia" w:ascii="Times New Roman" w:hAnsi="Times New Roman"/>
                <w:b/>
                <w:bCs w:val="0"/>
                <w:color w:val="000000" w:themeColor="text1"/>
                <w:kern w:val="0"/>
                <w:sz w:val="21"/>
                <w:szCs w:val="21"/>
                <w:highlight w:val="none"/>
              </w:rPr>
              <w:t>检查项目</w:t>
            </w:r>
          </w:p>
        </w:tc>
        <w:tc>
          <w:tcPr>
            <w:tcW w:w="730" w:type="pct"/>
            <w:shd w:val="clear" w:color="auto" w:fill="auto"/>
            <w:vAlign w:val="center"/>
          </w:tcPr>
          <w:p w14:paraId="07F916E6">
            <w:pPr>
              <w:pStyle w:val="441"/>
              <w:widowControl w:val="0"/>
              <w:adjustRightInd w:val="0"/>
              <w:snapToGrid w:val="0"/>
              <w:rPr>
                <w:rFonts w:ascii="Times New Roman" w:hAnsi="Times New Roman"/>
                <w:b/>
                <w:bCs w:val="0"/>
                <w:color w:val="000000" w:themeColor="text1"/>
                <w:kern w:val="0"/>
                <w:sz w:val="21"/>
                <w:szCs w:val="21"/>
                <w:highlight w:val="none"/>
              </w:rPr>
            </w:pPr>
            <w:r>
              <w:rPr>
                <w:rFonts w:hint="eastAsia" w:ascii="Times New Roman" w:hAnsi="Times New Roman"/>
                <w:b/>
                <w:bCs w:val="0"/>
                <w:color w:val="000000" w:themeColor="text1"/>
                <w:kern w:val="0"/>
                <w:sz w:val="21"/>
                <w:szCs w:val="21"/>
                <w:highlight w:val="none"/>
              </w:rPr>
              <w:t>检查依据</w:t>
            </w:r>
          </w:p>
        </w:tc>
        <w:tc>
          <w:tcPr>
            <w:tcW w:w="1191" w:type="pct"/>
            <w:shd w:val="clear" w:color="auto" w:fill="auto"/>
            <w:vAlign w:val="center"/>
          </w:tcPr>
          <w:p w14:paraId="305996AF">
            <w:pPr>
              <w:pStyle w:val="441"/>
              <w:widowControl w:val="0"/>
              <w:adjustRightInd w:val="0"/>
              <w:snapToGrid w:val="0"/>
              <w:rPr>
                <w:rFonts w:ascii="Times New Roman" w:hAnsi="Times New Roman"/>
                <w:b/>
                <w:bCs w:val="0"/>
                <w:color w:val="000000" w:themeColor="text1"/>
                <w:kern w:val="0"/>
                <w:sz w:val="21"/>
                <w:szCs w:val="21"/>
                <w:highlight w:val="none"/>
              </w:rPr>
            </w:pPr>
            <w:r>
              <w:rPr>
                <w:rFonts w:hint="eastAsia" w:ascii="Times New Roman" w:hAnsi="Times New Roman"/>
                <w:b/>
                <w:bCs w:val="0"/>
                <w:color w:val="000000" w:themeColor="text1"/>
                <w:kern w:val="0"/>
                <w:sz w:val="21"/>
                <w:szCs w:val="21"/>
                <w:highlight w:val="none"/>
              </w:rPr>
              <w:t>实际情况</w:t>
            </w:r>
          </w:p>
        </w:tc>
        <w:tc>
          <w:tcPr>
            <w:tcW w:w="388" w:type="pct"/>
            <w:shd w:val="clear" w:color="auto" w:fill="auto"/>
            <w:vAlign w:val="center"/>
          </w:tcPr>
          <w:p w14:paraId="411A5277">
            <w:pPr>
              <w:pStyle w:val="441"/>
              <w:widowControl w:val="0"/>
              <w:adjustRightInd w:val="0"/>
              <w:snapToGrid w:val="0"/>
              <w:rPr>
                <w:rFonts w:ascii="Times New Roman" w:hAnsi="Times New Roman"/>
                <w:b/>
                <w:bCs w:val="0"/>
                <w:color w:val="000000" w:themeColor="text1"/>
                <w:kern w:val="0"/>
                <w:sz w:val="21"/>
                <w:szCs w:val="21"/>
                <w:highlight w:val="none"/>
              </w:rPr>
            </w:pPr>
            <w:r>
              <w:rPr>
                <w:rFonts w:hint="eastAsia" w:ascii="Times New Roman" w:hAnsi="Times New Roman"/>
                <w:b/>
                <w:bCs w:val="0"/>
                <w:color w:val="000000" w:themeColor="text1"/>
                <w:kern w:val="0"/>
                <w:sz w:val="21"/>
                <w:szCs w:val="21"/>
                <w:highlight w:val="none"/>
              </w:rPr>
              <w:t>检查结果</w:t>
            </w:r>
          </w:p>
        </w:tc>
      </w:tr>
      <w:tr w14:paraId="3AE1A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54" w:type="pct"/>
            <w:shd w:val="clear" w:color="auto" w:fill="auto"/>
            <w:vAlign w:val="center"/>
          </w:tcPr>
          <w:p w14:paraId="467E9F2C">
            <w:pPr>
              <w:widowControl w:val="0"/>
              <w:numPr>
                <w:ilvl w:val="0"/>
                <w:numId w:val="60"/>
              </w:numPr>
              <w:adjustRightInd w:val="0"/>
              <w:snapToGrid w:val="0"/>
              <w:ind w:left="425" w:hanging="425"/>
              <w:jc w:val="center"/>
              <w:rPr>
                <w:rFonts w:hint="eastAsia" w:ascii="宋体" w:hAnsi="宋体" w:eastAsia="宋体" w:cs="宋体"/>
                <w:color w:val="000000" w:themeColor="text1"/>
                <w:sz w:val="21"/>
                <w:szCs w:val="21"/>
                <w:highlight w:val="none"/>
              </w:rPr>
            </w:pPr>
          </w:p>
        </w:tc>
        <w:tc>
          <w:tcPr>
            <w:tcW w:w="2434" w:type="pct"/>
            <w:shd w:val="clear" w:color="auto" w:fill="auto"/>
            <w:vAlign w:val="center"/>
          </w:tcPr>
          <w:p w14:paraId="7F7B0E09">
            <w:pPr>
              <w:widowControl w:val="0"/>
              <w:adjustRightInd w:val="0"/>
              <w:snapToGrid w:val="0"/>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各类防雷建筑物应设防直击雷的外部防雷装置，并应采取防闪电电涌侵入的措施。</w:t>
            </w:r>
          </w:p>
          <w:p w14:paraId="3BF15CE8">
            <w:pPr>
              <w:widowControl w:val="0"/>
              <w:adjustRightInd w:val="0"/>
              <w:snapToGrid w:val="0"/>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第一类防雷建筑物和本规范第3.0.3条第5～7款所规定的第二类防雷建筑物，尚应采取防闪电感应的措施。</w:t>
            </w:r>
          </w:p>
        </w:tc>
        <w:tc>
          <w:tcPr>
            <w:tcW w:w="730" w:type="pct"/>
            <w:shd w:val="clear" w:color="auto" w:fill="auto"/>
            <w:vAlign w:val="center"/>
          </w:tcPr>
          <w:p w14:paraId="11E0DF23">
            <w:pPr>
              <w:pStyle w:val="441"/>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highlight w:val="none"/>
              </w:rPr>
              <w:t>GB50057-2010</w:t>
            </w:r>
            <w:r>
              <w:rPr>
                <w:rFonts w:hint="eastAsia" w:ascii="宋体" w:hAnsi="宋体" w:eastAsia="宋体" w:cs="宋体"/>
                <w:color w:val="000000" w:themeColor="text1"/>
                <w:kern w:val="0"/>
                <w:sz w:val="21"/>
                <w:highlight w:val="none"/>
                <w:lang w:eastAsia="zh-CN"/>
              </w:rPr>
              <w:t>第</w:t>
            </w:r>
            <w:r>
              <w:rPr>
                <w:rFonts w:hint="eastAsia" w:ascii="宋体" w:hAnsi="宋体" w:eastAsia="宋体" w:cs="宋体"/>
                <w:color w:val="000000" w:themeColor="text1"/>
                <w:kern w:val="0"/>
                <w:sz w:val="21"/>
                <w:szCs w:val="21"/>
                <w:highlight w:val="none"/>
              </w:rPr>
              <w:t>4.1.1</w:t>
            </w:r>
            <w:r>
              <w:rPr>
                <w:rFonts w:hint="eastAsia" w:ascii="宋体" w:hAnsi="宋体" w:eastAsia="宋体" w:cs="宋体"/>
                <w:color w:val="000000" w:themeColor="text1"/>
                <w:kern w:val="0"/>
                <w:sz w:val="21"/>
                <w:highlight w:val="none"/>
                <w:lang w:eastAsia="zh-CN"/>
              </w:rPr>
              <w:t>条</w:t>
            </w:r>
          </w:p>
        </w:tc>
        <w:tc>
          <w:tcPr>
            <w:tcW w:w="1191" w:type="pct"/>
            <w:shd w:val="clear" w:color="auto" w:fill="auto"/>
            <w:vAlign w:val="center"/>
          </w:tcPr>
          <w:p w14:paraId="0FC95332">
            <w:pPr>
              <w:pStyle w:val="441"/>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漂染车间、漂染车间附房、药剂房未设置防雷装置。</w:t>
            </w:r>
          </w:p>
        </w:tc>
        <w:tc>
          <w:tcPr>
            <w:tcW w:w="388" w:type="pct"/>
            <w:shd w:val="clear" w:color="auto" w:fill="auto"/>
            <w:vAlign w:val="center"/>
          </w:tcPr>
          <w:p w14:paraId="0AFAD618">
            <w:pPr>
              <w:pStyle w:val="441"/>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不符合</w:t>
            </w:r>
          </w:p>
        </w:tc>
      </w:tr>
      <w:tr w14:paraId="2BC4A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54" w:type="pct"/>
            <w:shd w:val="clear" w:color="auto" w:fill="auto"/>
            <w:vAlign w:val="center"/>
          </w:tcPr>
          <w:p w14:paraId="1380867B">
            <w:pPr>
              <w:widowControl w:val="0"/>
              <w:numPr>
                <w:ilvl w:val="0"/>
                <w:numId w:val="60"/>
              </w:numPr>
              <w:adjustRightInd w:val="0"/>
              <w:snapToGrid w:val="0"/>
              <w:ind w:left="425" w:hanging="425"/>
              <w:jc w:val="center"/>
              <w:rPr>
                <w:rFonts w:hint="eastAsia" w:ascii="宋体" w:hAnsi="宋体" w:eastAsia="宋体" w:cs="宋体"/>
                <w:color w:val="000000" w:themeColor="text1"/>
                <w:sz w:val="21"/>
                <w:szCs w:val="21"/>
                <w:highlight w:val="none"/>
              </w:rPr>
            </w:pPr>
          </w:p>
        </w:tc>
        <w:tc>
          <w:tcPr>
            <w:tcW w:w="2434" w:type="pct"/>
            <w:shd w:val="clear" w:color="auto" w:fill="auto"/>
            <w:vAlign w:val="center"/>
          </w:tcPr>
          <w:p w14:paraId="61AB5457">
            <w:pPr>
              <w:widowControl w:val="0"/>
              <w:adjustRightInd w:val="0"/>
              <w:snapToGrid w:val="0"/>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各类防雷建筑物应设内部防雷装置，并应符合下列规定：</w:t>
            </w:r>
          </w:p>
          <w:p w14:paraId="0F82D602">
            <w:pPr>
              <w:widowControl w:val="0"/>
              <w:adjustRightInd w:val="0"/>
              <w:snapToGrid w:val="0"/>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1  在建筑物的地下室或地面层处，下列物体应与防雷装置做防雷等电位连接：</w:t>
            </w:r>
          </w:p>
          <w:p w14:paraId="388D40AB">
            <w:pPr>
              <w:widowControl w:val="0"/>
              <w:adjustRightInd w:val="0"/>
              <w:snapToGrid w:val="0"/>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1）建筑物金属体。</w:t>
            </w:r>
          </w:p>
          <w:p w14:paraId="2A1B237E">
            <w:pPr>
              <w:widowControl w:val="0"/>
              <w:adjustRightInd w:val="0"/>
              <w:snapToGrid w:val="0"/>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2）金属装置。</w:t>
            </w:r>
          </w:p>
          <w:p w14:paraId="69C5B289">
            <w:pPr>
              <w:widowControl w:val="0"/>
              <w:adjustRightInd w:val="0"/>
              <w:snapToGrid w:val="0"/>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3）建筑物内系统。</w:t>
            </w:r>
          </w:p>
          <w:p w14:paraId="69174BE9">
            <w:pPr>
              <w:widowControl w:val="0"/>
              <w:adjustRightInd w:val="0"/>
              <w:snapToGrid w:val="0"/>
              <w:jc w:val="lef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4）进出建筑物的金属管线。</w:t>
            </w:r>
          </w:p>
          <w:p w14:paraId="0EA97DAD">
            <w:pPr>
              <w:widowControl w:val="0"/>
              <w:adjustRightInd w:val="0"/>
              <w:snapToGrid w:val="0"/>
              <w:jc w:val="left"/>
              <w:rPr>
                <w:rFonts w:hint="eastAsia" w:ascii="宋体" w:hAnsi="宋体" w:eastAsia="宋体" w:cs="宋体"/>
                <w:bCs/>
                <w:snapToGrid w:val="0"/>
                <w:color w:val="000000" w:themeColor="text1"/>
                <w:kern w:val="0"/>
                <w:sz w:val="21"/>
                <w:szCs w:val="21"/>
                <w:highlight w:val="none"/>
                <w:u w:color="FF0000"/>
              </w:rPr>
            </w:pPr>
            <w:r>
              <w:rPr>
                <w:rFonts w:hint="eastAsia" w:ascii="宋体" w:hAnsi="宋体" w:eastAsia="宋体" w:cs="宋体"/>
                <w:color w:val="000000" w:themeColor="text1"/>
                <w:sz w:val="21"/>
                <w:szCs w:val="21"/>
                <w:highlight w:val="none"/>
              </w:rPr>
              <w:t>2  除本条第1款的措施外，外部防雷装置与建筑物金属体、金属装置、建筑物内系统之间，尚应满足间隔距离的要求。</w:t>
            </w:r>
          </w:p>
        </w:tc>
        <w:tc>
          <w:tcPr>
            <w:tcW w:w="730" w:type="pct"/>
            <w:shd w:val="clear" w:color="auto" w:fill="auto"/>
            <w:vAlign w:val="center"/>
          </w:tcPr>
          <w:p w14:paraId="5C5B256E">
            <w:pPr>
              <w:pStyle w:val="441"/>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highlight w:val="none"/>
              </w:rPr>
              <w:t>GB50057-2010</w:t>
            </w:r>
            <w:r>
              <w:rPr>
                <w:rFonts w:hint="eastAsia" w:ascii="宋体" w:hAnsi="宋体" w:eastAsia="宋体" w:cs="宋体"/>
                <w:color w:val="000000" w:themeColor="text1"/>
                <w:kern w:val="0"/>
                <w:sz w:val="21"/>
                <w:highlight w:val="none"/>
                <w:lang w:eastAsia="zh-CN"/>
              </w:rPr>
              <w:t>第</w:t>
            </w:r>
            <w:r>
              <w:rPr>
                <w:rFonts w:hint="eastAsia" w:ascii="宋体" w:hAnsi="宋体" w:eastAsia="宋体" w:cs="宋体"/>
                <w:color w:val="000000" w:themeColor="text1"/>
                <w:kern w:val="0"/>
                <w:sz w:val="21"/>
                <w:szCs w:val="21"/>
                <w:highlight w:val="none"/>
              </w:rPr>
              <w:t>4.1.2</w:t>
            </w:r>
            <w:r>
              <w:rPr>
                <w:rFonts w:hint="eastAsia" w:ascii="宋体" w:hAnsi="宋体" w:eastAsia="宋体" w:cs="宋体"/>
                <w:color w:val="000000" w:themeColor="text1"/>
                <w:kern w:val="0"/>
                <w:sz w:val="21"/>
                <w:highlight w:val="none"/>
                <w:lang w:eastAsia="zh-CN"/>
              </w:rPr>
              <w:t>条</w:t>
            </w:r>
          </w:p>
        </w:tc>
        <w:tc>
          <w:tcPr>
            <w:tcW w:w="2240" w:type="dxa"/>
            <w:shd w:val="clear" w:color="auto" w:fill="auto"/>
            <w:vAlign w:val="center"/>
          </w:tcPr>
          <w:p w14:paraId="7B96B357">
            <w:pPr>
              <w:pStyle w:val="441"/>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漂染车间、漂染车间附房、药剂房未设置防雷装置。</w:t>
            </w:r>
          </w:p>
        </w:tc>
        <w:tc>
          <w:tcPr>
            <w:tcW w:w="730" w:type="dxa"/>
            <w:shd w:val="clear" w:color="auto" w:fill="auto"/>
            <w:vAlign w:val="center"/>
          </w:tcPr>
          <w:p w14:paraId="0E3603CD">
            <w:pPr>
              <w:pStyle w:val="441"/>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eastAsia="zh-CN"/>
              </w:rPr>
              <w:t>不符合</w:t>
            </w:r>
          </w:p>
        </w:tc>
      </w:tr>
      <w:tr w14:paraId="67045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54" w:type="pct"/>
            <w:shd w:val="clear" w:color="auto" w:fill="auto"/>
            <w:vAlign w:val="center"/>
          </w:tcPr>
          <w:p w14:paraId="35D4A794">
            <w:pPr>
              <w:widowControl w:val="0"/>
              <w:numPr>
                <w:ilvl w:val="0"/>
                <w:numId w:val="60"/>
              </w:numPr>
              <w:adjustRightInd w:val="0"/>
              <w:snapToGrid w:val="0"/>
              <w:ind w:left="425" w:hanging="425"/>
              <w:jc w:val="center"/>
              <w:rPr>
                <w:color w:val="000000" w:themeColor="text1"/>
                <w:sz w:val="21"/>
                <w:szCs w:val="21"/>
                <w:highlight w:val="none"/>
              </w:rPr>
            </w:pPr>
          </w:p>
        </w:tc>
        <w:tc>
          <w:tcPr>
            <w:tcW w:w="2434" w:type="pct"/>
            <w:shd w:val="clear" w:color="auto" w:fill="auto"/>
            <w:vAlign w:val="center"/>
          </w:tcPr>
          <w:p w14:paraId="252087B9">
            <w:pPr>
              <w:pStyle w:val="5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Times New Roman" w:hAnsi="Times New Roman"/>
                <w:color w:val="000000" w:themeColor="text1"/>
                <w:kern w:val="0"/>
                <w:sz w:val="21"/>
                <w:szCs w:val="21"/>
                <w:highlight w:val="none"/>
              </w:rPr>
            </w:pPr>
            <w:r>
              <w:rPr>
                <w:rFonts w:hint="eastAsia" w:ascii="宋体" w:hAnsi="宋体" w:eastAsia="宋体" w:cs="宋体"/>
                <w:b w:val="0"/>
                <w:bCs w:val="0"/>
                <w:i w:val="0"/>
                <w:iCs w:val="0"/>
                <w:caps w:val="0"/>
                <w:color w:val="000000" w:themeColor="text1"/>
                <w:spacing w:val="0"/>
                <w:sz w:val="21"/>
                <w:szCs w:val="21"/>
                <w:highlight w:val="none"/>
                <w:shd w:val="clear" w:fill="FFFFFF"/>
              </w:rPr>
              <w:t>在有可燃气体、蒸气、粉尘、纤维爆炸危险性的环境内，可能产生静电的设备和管道均应具有防止发生静电或静电积累的性能。</w:t>
            </w:r>
          </w:p>
        </w:tc>
        <w:tc>
          <w:tcPr>
            <w:tcW w:w="730" w:type="pct"/>
            <w:shd w:val="clear" w:color="auto" w:fill="auto"/>
            <w:vAlign w:val="center"/>
          </w:tcPr>
          <w:p w14:paraId="677FD69C">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olor w:val="000000" w:themeColor="text1"/>
                <w:sz w:val="21"/>
                <w:szCs w:val="21"/>
                <w:highlight w:val="none"/>
              </w:rPr>
            </w:pPr>
            <w:r>
              <w:rPr>
                <w:rFonts w:hint="eastAsia" w:ascii="宋体" w:hAnsi="宋体" w:cs="宋体"/>
                <w:color w:val="000000" w:themeColor="text1"/>
                <w:kern w:val="0"/>
                <w:sz w:val="21"/>
                <w:szCs w:val="21"/>
                <w:highlight w:val="none"/>
              </w:rPr>
              <w:t>GB50016-2014（2018年版）</w:t>
            </w:r>
            <w:r>
              <w:rPr>
                <w:rFonts w:hint="eastAsia" w:ascii="宋体" w:hAnsi="宋体" w:eastAsia="宋体" w:cs="宋体"/>
                <w:b w:val="0"/>
                <w:bCs w:val="0"/>
                <w:color w:val="000000" w:themeColor="text1"/>
                <w:kern w:val="0"/>
                <w:sz w:val="21"/>
                <w:szCs w:val="21"/>
                <w:highlight w:val="none"/>
                <w:lang w:eastAsia="zh-CN"/>
              </w:rPr>
              <w:t>第</w:t>
            </w:r>
            <w:r>
              <w:rPr>
                <w:rFonts w:hint="eastAsia" w:ascii="宋体" w:hAnsi="宋体" w:eastAsia="宋体" w:cs="宋体"/>
                <w:b w:val="0"/>
                <w:bCs w:val="0"/>
                <w:i w:val="0"/>
                <w:iCs w:val="0"/>
                <w:caps w:val="0"/>
                <w:color w:val="000000" w:themeColor="text1"/>
                <w:spacing w:val="0"/>
                <w:sz w:val="21"/>
                <w:szCs w:val="21"/>
                <w:highlight w:val="none"/>
                <w:shd w:val="clear" w:fill="FFFFFF"/>
              </w:rPr>
              <w:t>2.1.8</w:t>
            </w:r>
            <w:r>
              <w:rPr>
                <w:rFonts w:hint="eastAsia" w:ascii="宋体" w:hAnsi="宋体" w:eastAsia="宋体" w:cs="宋体"/>
                <w:b w:val="0"/>
                <w:bCs w:val="0"/>
                <w:color w:val="000000" w:themeColor="text1"/>
                <w:kern w:val="0"/>
                <w:sz w:val="21"/>
                <w:szCs w:val="21"/>
                <w:highlight w:val="none"/>
                <w:lang w:eastAsia="zh-CN"/>
              </w:rPr>
              <w:t>条</w:t>
            </w:r>
          </w:p>
        </w:tc>
        <w:tc>
          <w:tcPr>
            <w:tcW w:w="1191" w:type="pct"/>
            <w:shd w:val="clear" w:color="auto" w:fill="auto"/>
            <w:vAlign w:val="center"/>
          </w:tcPr>
          <w:p w14:paraId="653874EE">
            <w:pPr>
              <w:pStyle w:val="441"/>
              <w:widowControl w:val="0"/>
              <w:adjustRightInd w:val="0"/>
              <w:snapToGrid w:val="0"/>
              <w:jc w:val="left"/>
              <w:rPr>
                <w:rFonts w:hint="eastAsia" w:ascii="Times New Roman" w:hAnsi="Times New Roman"/>
                <w:color w:val="000000" w:themeColor="text1"/>
                <w:kern w:val="0"/>
                <w:sz w:val="21"/>
                <w:szCs w:val="21"/>
                <w:highlight w:val="none"/>
              </w:rPr>
            </w:pPr>
            <w:r>
              <w:rPr>
                <w:rFonts w:hint="eastAsia" w:ascii="Times New Roman" w:hAnsi="Times New Roman"/>
                <w:color w:val="000000" w:themeColor="text1"/>
                <w:kern w:val="0"/>
                <w:sz w:val="21"/>
                <w:szCs w:val="21"/>
                <w:highlight w:val="none"/>
                <w:lang w:eastAsia="zh-CN"/>
              </w:rPr>
              <w:t>轴流排风机设置了防静电接地。</w:t>
            </w:r>
          </w:p>
        </w:tc>
        <w:tc>
          <w:tcPr>
            <w:tcW w:w="388" w:type="pct"/>
            <w:shd w:val="clear" w:color="auto" w:fill="auto"/>
            <w:vAlign w:val="center"/>
          </w:tcPr>
          <w:p w14:paraId="74ECD310">
            <w:pPr>
              <w:pStyle w:val="441"/>
              <w:widowControl w:val="0"/>
              <w:adjustRightInd w:val="0"/>
              <w:snapToGrid w:val="0"/>
              <w:rPr>
                <w:rFonts w:hint="eastAsia" w:eastAsia="宋体"/>
                <w:bCs w:val="0"/>
                <w:color w:val="000000" w:themeColor="text1"/>
                <w:kern w:val="0"/>
                <w:sz w:val="21"/>
                <w:szCs w:val="21"/>
                <w:highlight w:val="none"/>
                <w:lang w:eastAsia="zh-CN"/>
              </w:rPr>
            </w:pPr>
            <w:r>
              <w:rPr>
                <w:rFonts w:hint="eastAsia"/>
                <w:bCs w:val="0"/>
                <w:color w:val="000000" w:themeColor="text1"/>
                <w:kern w:val="0"/>
                <w:sz w:val="21"/>
                <w:szCs w:val="21"/>
                <w:highlight w:val="none"/>
                <w:lang w:eastAsia="zh-CN"/>
              </w:rPr>
              <w:t>符合</w:t>
            </w:r>
          </w:p>
        </w:tc>
      </w:tr>
    </w:tbl>
    <w:p w14:paraId="079D25F0">
      <w:pPr>
        <w:pStyle w:val="93"/>
        <w:widowControl w:val="0"/>
        <w:snapToGrid w:val="0"/>
        <w:spacing w:before="219" w:beforeLines="50" w:line="360" w:lineRule="auto"/>
        <w:rPr>
          <w:rFonts w:hint="eastAsia"/>
          <w:color w:val="000000" w:themeColor="text1"/>
          <w:kern w:val="0"/>
          <w:sz w:val="28"/>
          <w:szCs w:val="28"/>
          <w:highlight w:val="none"/>
          <w:lang w:val="en-US" w:eastAsia="zh-CN"/>
        </w:rPr>
      </w:pPr>
      <w:r>
        <w:rPr>
          <w:rFonts w:hint="eastAsia"/>
          <w:color w:val="000000" w:themeColor="text1"/>
          <w:kern w:val="0"/>
          <w:sz w:val="28"/>
          <w:szCs w:val="28"/>
          <w:highlight w:val="none"/>
          <w:lang w:eastAsia="zh-CN"/>
        </w:rPr>
        <w:t>经检查，</w:t>
      </w:r>
      <w:r>
        <w:rPr>
          <w:rFonts w:hint="eastAsia"/>
          <w:color w:val="000000" w:themeColor="text1"/>
          <w:kern w:val="0"/>
          <w:sz w:val="28"/>
          <w:szCs w:val="28"/>
          <w:highlight w:val="none"/>
          <w:lang w:val="en-US" w:eastAsia="zh-CN"/>
        </w:rPr>
        <w:t>本项目防火防爆设施存在以下问题：</w:t>
      </w:r>
    </w:p>
    <w:p w14:paraId="0B17DB95">
      <w:pPr>
        <w:pStyle w:val="93"/>
        <w:widowControl w:val="0"/>
        <w:numPr>
          <w:ilvl w:val="0"/>
          <w:numId w:val="61"/>
        </w:numPr>
        <w:snapToGrid w:val="0"/>
        <w:spacing w:before="0" w:beforeLines="0" w:line="360" w:lineRule="auto"/>
        <w:ind w:left="0" w:firstLine="560" w:firstLineChars="200"/>
        <w:rPr>
          <w:rFonts w:hint="eastAsia"/>
          <w:color w:val="000000" w:themeColor="text1"/>
          <w:kern w:val="0"/>
          <w:sz w:val="28"/>
          <w:szCs w:val="28"/>
          <w:highlight w:val="none"/>
        </w:rPr>
      </w:pPr>
      <w:r>
        <w:rPr>
          <w:rFonts w:hint="eastAsia"/>
          <w:color w:val="000000" w:themeColor="text1"/>
          <w:kern w:val="0"/>
          <w:sz w:val="28"/>
          <w:szCs w:val="28"/>
          <w:highlight w:val="none"/>
        </w:rPr>
        <w:t>危险化学品备货库房和漂染车间乙酸爆炸危险区域内存在不防爆电气设备和输配电线路。</w:t>
      </w:r>
    </w:p>
    <w:p w14:paraId="4ED65054">
      <w:pPr>
        <w:pStyle w:val="93"/>
        <w:widowControl w:val="0"/>
        <w:numPr>
          <w:ilvl w:val="0"/>
          <w:numId w:val="61"/>
        </w:numPr>
        <w:snapToGrid w:val="0"/>
        <w:spacing w:before="0" w:beforeLines="0" w:line="360" w:lineRule="auto"/>
        <w:ind w:left="0" w:firstLine="560" w:firstLineChars="200"/>
        <w:rPr>
          <w:rFonts w:hint="eastAsia"/>
          <w:color w:val="000000" w:themeColor="text1"/>
          <w:kern w:val="0"/>
          <w:sz w:val="28"/>
          <w:szCs w:val="28"/>
          <w:highlight w:val="none"/>
          <w:lang w:val="en-US" w:eastAsia="zh-CN"/>
        </w:rPr>
      </w:pPr>
      <w:r>
        <w:rPr>
          <w:rFonts w:hint="eastAsia"/>
          <w:color w:val="000000" w:themeColor="text1"/>
          <w:kern w:val="0"/>
          <w:sz w:val="28"/>
          <w:szCs w:val="28"/>
          <w:highlight w:val="none"/>
        </w:rPr>
        <w:t>漂染车间、漂染车间附房、药剂房未设置防雷装置。</w:t>
      </w:r>
    </w:p>
    <w:p w14:paraId="2BB10EAD">
      <w:pPr>
        <w:pStyle w:val="7"/>
        <w:keepNext w:val="0"/>
        <w:keepLines w:val="0"/>
        <w:pageBreakBefore w:val="0"/>
        <w:widowControl w:val="0"/>
        <w:kinsoku/>
        <w:wordWrap/>
        <w:overflowPunct/>
        <w:topLinePunct w:val="0"/>
        <w:autoSpaceDE/>
        <w:autoSpaceDN/>
        <w:bidi w:val="0"/>
        <w:adjustRightInd w:val="0"/>
        <w:snapToGrid w:val="0"/>
        <w:textAlignment w:val="auto"/>
        <w:rPr>
          <w:color w:val="000000" w:themeColor="text1"/>
          <w:szCs w:val="28"/>
          <w:highlight w:val="none"/>
        </w:rPr>
      </w:pPr>
      <w:bookmarkStart w:id="903" w:name="_Toc32496"/>
      <w:bookmarkStart w:id="904" w:name="_Toc17336"/>
      <w:bookmarkStart w:id="905" w:name="_Toc15988"/>
      <w:bookmarkStart w:id="906" w:name="_Toc7161"/>
      <w:bookmarkStart w:id="907" w:name="_Toc8091"/>
      <w:bookmarkStart w:id="908" w:name="_Toc14314"/>
      <w:r>
        <w:rPr>
          <w:color w:val="000000" w:themeColor="text1"/>
          <w:szCs w:val="28"/>
          <w:highlight w:val="none"/>
        </w:rPr>
        <w:t>5.1.</w:t>
      </w:r>
      <w:r>
        <w:rPr>
          <w:rFonts w:hint="eastAsia"/>
          <w:color w:val="000000" w:themeColor="text1"/>
          <w:szCs w:val="28"/>
          <w:highlight w:val="none"/>
          <w:lang w:val="en-US" w:eastAsia="zh-CN"/>
        </w:rPr>
        <w:t>6</w:t>
      </w:r>
      <w:r>
        <w:rPr>
          <w:rFonts w:hint="eastAsia"/>
          <w:color w:val="000000" w:themeColor="text1"/>
          <w:szCs w:val="28"/>
          <w:highlight w:val="none"/>
        </w:rPr>
        <w:t>消防设施评价</w:t>
      </w:r>
      <w:bookmarkEnd w:id="903"/>
      <w:bookmarkEnd w:id="904"/>
      <w:bookmarkEnd w:id="905"/>
      <w:bookmarkEnd w:id="906"/>
      <w:bookmarkEnd w:id="907"/>
      <w:bookmarkEnd w:id="908"/>
    </w:p>
    <w:p w14:paraId="279F18F0">
      <w:pPr>
        <w:widowControl w:val="0"/>
        <w:adjustRightInd w:val="0"/>
        <w:snapToGrid w:val="0"/>
        <w:spacing w:line="360" w:lineRule="auto"/>
        <w:ind w:firstLine="560" w:firstLineChars="200"/>
        <w:jc w:val="left"/>
        <w:rPr>
          <w:rFonts w:hint="eastAsia" w:ascii="宋体" w:hAnsi="宋体" w:cs="宋体"/>
          <w:bCs/>
          <w:color w:val="000000" w:themeColor="text1"/>
          <w:sz w:val="28"/>
          <w:szCs w:val="28"/>
          <w:highlight w:val="none"/>
        </w:rPr>
      </w:pPr>
      <w:r>
        <w:rPr>
          <w:rFonts w:hint="eastAsia" w:ascii="宋体" w:hAnsi="宋体" w:cs="宋体"/>
          <w:bCs/>
          <w:color w:val="000000" w:themeColor="text1"/>
          <w:sz w:val="28"/>
          <w:szCs w:val="28"/>
          <w:highlight w:val="none"/>
        </w:rPr>
        <w:t>依据</w:t>
      </w:r>
      <w:r>
        <w:rPr>
          <w:rFonts w:hint="eastAsia" w:cs="宋体"/>
          <w:bCs/>
          <w:color w:val="000000" w:themeColor="text1"/>
          <w:sz w:val="28"/>
          <w:szCs w:val="28"/>
          <w:highlight w:val="none"/>
          <w:lang w:eastAsia="zh-CN"/>
        </w:rPr>
        <w:t>现行</w:t>
      </w:r>
      <w:r>
        <w:rPr>
          <w:rFonts w:hint="eastAsia" w:ascii="宋体" w:hAnsi="宋体" w:cs="宋体"/>
          <w:bCs/>
          <w:color w:val="000000" w:themeColor="text1"/>
          <w:sz w:val="28"/>
          <w:szCs w:val="28"/>
          <w:highlight w:val="none"/>
        </w:rPr>
        <w:t>《中华人民共和国消防法</w:t>
      </w:r>
      <w:r>
        <w:rPr>
          <w:rFonts w:hint="eastAsia" w:cs="宋体"/>
          <w:bCs/>
          <w:color w:val="000000" w:themeColor="text1"/>
          <w:sz w:val="28"/>
          <w:szCs w:val="28"/>
          <w:highlight w:val="none"/>
          <w:lang w:eastAsia="zh-CN"/>
        </w:rPr>
        <w:t>》、《</w:t>
      </w:r>
      <w:r>
        <w:rPr>
          <w:rFonts w:hint="eastAsia" w:ascii="宋体" w:hAnsi="宋体" w:eastAsia="宋体" w:cs="宋体"/>
          <w:color w:val="000000" w:themeColor="text1"/>
          <w:kern w:val="0"/>
          <w:sz w:val="28"/>
          <w:szCs w:val="28"/>
          <w:highlight w:val="none"/>
        </w:rPr>
        <w:t>建筑设计防火规范》GB50016-2014（2018版）、</w:t>
      </w:r>
      <w:r>
        <w:rPr>
          <w:rFonts w:ascii="宋体" w:hAnsi="宋体" w:cs="宋体"/>
          <w:bCs/>
          <w:color w:val="000000" w:themeColor="text1"/>
          <w:sz w:val="28"/>
          <w:szCs w:val="28"/>
          <w:highlight w:val="none"/>
        </w:rPr>
        <w:t>《建筑灭火器配置设计规范》GB50140-2005</w:t>
      </w:r>
      <w:r>
        <w:rPr>
          <w:rFonts w:hint="eastAsia" w:ascii="宋体" w:hAnsi="宋体" w:cs="宋体"/>
          <w:bCs/>
          <w:color w:val="000000" w:themeColor="text1"/>
          <w:sz w:val="28"/>
          <w:szCs w:val="28"/>
          <w:highlight w:val="none"/>
          <w:lang w:eastAsia="zh-CN"/>
        </w:rPr>
        <w:t>、《消防给水及消火栓系统技术规范》GB50974-2014、《消防设施通用规范》GB55036-2022</w:t>
      </w:r>
      <w:r>
        <w:rPr>
          <w:rFonts w:hint="eastAsia" w:ascii="宋体" w:hAnsi="宋体" w:cs="宋体"/>
          <w:bCs/>
          <w:color w:val="000000" w:themeColor="text1"/>
          <w:sz w:val="28"/>
          <w:szCs w:val="28"/>
          <w:highlight w:val="none"/>
        </w:rPr>
        <w:t>对</w:t>
      </w:r>
      <w:r>
        <w:rPr>
          <w:rFonts w:hint="eastAsia" w:cs="宋体"/>
          <w:bCs/>
          <w:color w:val="000000" w:themeColor="text1"/>
          <w:sz w:val="28"/>
          <w:szCs w:val="28"/>
          <w:highlight w:val="none"/>
          <w:lang w:val="en-US" w:eastAsia="zh-CN"/>
        </w:rPr>
        <w:t>本项目的</w:t>
      </w:r>
      <w:r>
        <w:rPr>
          <w:rFonts w:hint="eastAsia" w:ascii="宋体" w:hAnsi="宋体" w:cs="宋体"/>
          <w:bCs/>
          <w:color w:val="000000" w:themeColor="text1"/>
          <w:sz w:val="28"/>
          <w:szCs w:val="28"/>
          <w:highlight w:val="none"/>
          <w:lang w:val="en-US" w:eastAsia="zh-CN"/>
        </w:rPr>
        <w:t>消防设施</w:t>
      </w:r>
      <w:r>
        <w:rPr>
          <w:rFonts w:hint="eastAsia" w:ascii="宋体" w:hAnsi="宋体" w:cs="宋体"/>
          <w:bCs/>
          <w:color w:val="000000" w:themeColor="text1"/>
          <w:sz w:val="28"/>
          <w:szCs w:val="28"/>
          <w:highlight w:val="none"/>
        </w:rPr>
        <w:t>进行检查，检查情况见</w:t>
      </w:r>
      <w:r>
        <w:rPr>
          <w:rFonts w:hint="eastAsia" w:ascii="宋体" w:hAnsi="宋体" w:cs="宋体"/>
          <w:bCs/>
          <w:color w:val="000000" w:themeColor="text1"/>
          <w:sz w:val="28"/>
          <w:szCs w:val="28"/>
          <w:highlight w:val="none"/>
          <w:lang w:eastAsia="zh-CN"/>
        </w:rPr>
        <w:t>下表</w:t>
      </w:r>
      <w:r>
        <w:rPr>
          <w:rFonts w:hint="eastAsia" w:ascii="宋体" w:hAnsi="宋体" w:cs="宋体"/>
          <w:bCs/>
          <w:color w:val="000000" w:themeColor="text1"/>
          <w:sz w:val="28"/>
          <w:szCs w:val="28"/>
          <w:highlight w:val="none"/>
        </w:rPr>
        <w:t>。</w:t>
      </w:r>
    </w:p>
    <w:p w14:paraId="6473C4C7">
      <w:pPr>
        <w:pStyle w:val="230"/>
        <w:widowControl w:val="0"/>
        <w:adjustRightInd w:val="0"/>
        <w:snapToGrid w:val="0"/>
        <w:spacing w:line="360" w:lineRule="auto"/>
        <w:jc w:val="center"/>
        <w:rPr>
          <w:rFonts w:hint="eastAsia" w:ascii="黑体" w:hAnsi="黑体" w:eastAsia="黑体" w:cs="黑体"/>
          <w:b/>
          <w:bCs w:val="0"/>
          <w:color w:val="000000" w:themeColor="text1"/>
          <w:sz w:val="24"/>
          <w:szCs w:val="24"/>
          <w:highlight w:val="none"/>
        </w:rPr>
      </w:pPr>
    </w:p>
    <w:p w14:paraId="05491252">
      <w:pPr>
        <w:pStyle w:val="230"/>
        <w:widowControl w:val="0"/>
        <w:adjustRightInd w:val="0"/>
        <w:snapToGrid w:val="0"/>
        <w:spacing w:line="360" w:lineRule="auto"/>
        <w:jc w:val="center"/>
        <w:rPr>
          <w:rFonts w:hint="eastAsia" w:ascii="黑体" w:hAnsi="黑体" w:eastAsia="黑体" w:cs="黑体"/>
          <w:b/>
          <w:bCs w:val="0"/>
          <w:color w:val="000000" w:themeColor="text1"/>
          <w:sz w:val="24"/>
          <w:szCs w:val="24"/>
          <w:highlight w:val="none"/>
        </w:rPr>
      </w:pPr>
    </w:p>
    <w:p w14:paraId="158BFD28">
      <w:pPr>
        <w:pStyle w:val="230"/>
        <w:widowControl w:val="0"/>
        <w:adjustRightInd w:val="0"/>
        <w:snapToGrid w:val="0"/>
        <w:spacing w:line="360" w:lineRule="auto"/>
        <w:jc w:val="center"/>
        <w:rPr>
          <w:rFonts w:hint="eastAsia" w:ascii="黑体" w:hAnsi="黑体" w:eastAsia="黑体" w:cs="黑体"/>
          <w:b/>
          <w:bCs w:val="0"/>
          <w:color w:val="000000" w:themeColor="text1"/>
          <w:sz w:val="24"/>
          <w:szCs w:val="24"/>
          <w:highlight w:val="none"/>
        </w:rPr>
      </w:pPr>
    </w:p>
    <w:p w14:paraId="3349FB7A">
      <w:pPr>
        <w:pStyle w:val="230"/>
        <w:widowControl w:val="0"/>
        <w:adjustRightInd w:val="0"/>
        <w:snapToGrid w:val="0"/>
        <w:spacing w:line="360" w:lineRule="auto"/>
        <w:jc w:val="center"/>
        <w:rPr>
          <w:rFonts w:hint="eastAsia" w:ascii="黑体" w:hAnsi="黑体" w:eastAsia="黑体" w:cs="黑体"/>
          <w:b/>
          <w:bCs w:val="0"/>
          <w:color w:val="000000" w:themeColor="text1"/>
          <w:sz w:val="24"/>
          <w:szCs w:val="24"/>
          <w:highlight w:val="none"/>
        </w:rPr>
      </w:pPr>
    </w:p>
    <w:p w14:paraId="7D7493B1">
      <w:pPr>
        <w:pStyle w:val="230"/>
        <w:widowControl w:val="0"/>
        <w:adjustRightInd w:val="0"/>
        <w:snapToGrid w:val="0"/>
        <w:spacing w:line="360" w:lineRule="auto"/>
        <w:jc w:val="center"/>
        <w:rPr>
          <w:rFonts w:hint="eastAsia" w:ascii="黑体" w:hAnsi="黑体" w:eastAsia="黑体" w:cs="黑体"/>
          <w:b/>
          <w:bCs w:val="0"/>
          <w:color w:val="000000" w:themeColor="text1"/>
          <w:sz w:val="24"/>
          <w:szCs w:val="24"/>
          <w:highlight w:val="none"/>
        </w:rPr>
      </w:pPr>
    </w:p>
    <w:p w14:paraId="1B9318D8">
      <w:pPr>
        <w:pStyle w:val="230"/>
        <w:widowControl w:val="0"/>
        <w:adjustRightInd w:val="0"/>
        <w:snapToGrid w:val="0"/>
        <w:spacing w:line="360" w:lineRule="auto"/>
        <w:jc w:val="center"/>
        <w:rPr>
          <w:rFonts w:hint="eastAsia" w:ascii="黑体" w:hAnsi="黑体" w:eastAsia="黑体" w:cs="黑体"/>
          <w:b/>
          <w:bCs w:val="0"/>
          <w:color w:val="000000" w:themeColor="text1"/>
          <w:sz w:val="24"/>
          <w:szCs w:val="24"/>
          <w:highlight w:val="none"/>
        </w:rPr>
      </w:pPr>
    </w:p>
    <w:p w14:paraId="6938A516">
      <w:pPr>
        <w:pStyle w:val="230"/>
        <w:widowControl w:val="0"/>
        <w:adjustRightInd w:val="0"/>
        <w:snapToGrid w:val="0"/>
        <w:spacing w:line="360" w:lineRule="auto"/>
        <w:jc w:val="center"/>
        <w:rPr>
          <w:rFonts w:hint="eastAsia" w:ascii="黑体" w:hAnsi="黑体" w:eastAsia="黑体" w:cs="黑体"/>
          <w:b/>
          <w:bCs w:val="0"/>
          <w:color w:val="000000" w:themeColor="text1"/>
          <w:sz w:val="24"/>
          <w:szCs w:val="24"/>
          <w:highlight w:val="none"/>
        </w:rPr>
      </w:pPr>
      <w:r>
        <w:rPr>
          <w:rFonts w:hint="eastAsia" w:ascii="黑体" w:hAnsi="黑体" w:eastAsia="黑体" w:cs="黑体"/>
          <w:b/>
          <w:bCs w:val="0"/>
          <w:color w:val="000000" w:themeColor="text1"/>
          <w:sz w:val="24"/>
          <w:szCs w:val="24"/>
          <w:highlight w:val="none"/>
        </w:rPr>
        <w:t>表5.1-</w:t>
      </w:r>
      <w:r>
        <w:rPr>
          <w:rFonts w:hint="eastAsia" w:ascii="黑体" w:hAnsi="黑体" w:eastAsia="黑体" w:cs="黑体"/>
          <w:b/>
          <w:bCs w:val="0"/>
          <w:color w:val="000000" w:themeColor="text1"/>
          <w:sz w:val="24"/>
          <w:szCs w:val="24"/>
          <w:highlight w:val="none"/>
          <w:lang w:val="en-US" w:eastAsia="zh-CN"/>
        </w:rPr>
        <w:t>10</w:t>
      </w:r>
      <w:r>
        <w:rPr>
          <w:rFonts w:hint="eastAsia" w:ascii="黑体" w:hAnsi="黑体" w:eastAsia="黑体" w:cs="黑体"/>
          <w:b/>
          <w:bCs w:val="0"/>
          <w:color w:val="000000" w:themeColor="text1"/>
          <w:sz w:val="24"/>
          <w:szCs w:val="24"/>
          <w:highlight w:val="none"/>
        </w:rPr>
        <w:t xml:space="preserve"> 消防设施安全检查表</w:t>
      </w:r>
    </w:p>
    <w:tbl>
      <w:tblPr>
        <w:tblStyle w:val="6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20"/>
        <w:gridCol w:w="3890"/>
        <w:gridCol w:w="1443"/>
        <w:gridCol w:w="2794"/>
        <w:gridCol w:w="588"/>
      </w:tblGrid>
      <w:tr w14:paraId="20415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blHeader/>
          <w:jc w:val="center"/>
        </w:trPr>
        <w:tc>
          <w:tcPr>
            <w:tcW w:w="282" w:type="pct"/>
            <w:noWrap w:val="0"/>
            <w:vAlign w:val="center"/>
          </w:tcPr>
          <w:p w14:paraId="6E451BAF">
            <w:pPr>
              <w:widowControl w:val="0"/>
              <w:adjustRightInd w:val="0"/>
              <w:snapToGrid w:val="0"/>
              <w:jc w:val="center"/>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序号</w:t>
            </w:r>
          </w:p>
        </w:tc>
        <w:tc>
          <w:tcPr>
            <w:tcW w:w="2105" w:type="pct"/>
            <w:noWrap w:val="0"/>
            <w:vAlign w:val="center"/>
          </w:tcPr>
          <w:p w14:paraId="42A21ED8">
            <w:pPr>
              <w:widowControl w:val="0"/>
              <w:adjustRightInd w:val="0"/>
              <w:snapToGrid w:val="0"/>
              <w:jc w:val="center"/>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检查项目及内容</w:t>
            </w:r>
          </w:p>
        </w:tc>
        <w:tc>
          <w:tcPr>
            <w:tcW w:w="781" w:type="pct"/>
            <w:noWrap w:val="0"/>
            <w:vAlign w:val="center"/>
          </w:tcPr>
          <w:p w14:paraId="702423A7">
            <w:pPr>
              <w:widowControl w:val="0"/>
              <w:adjustRightInd w:val="0"/>
              <w:snapToGrid w:val="0"/>
              <w:jc w:val="center"/>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依据法规</w:t>
            </w:r>
          </w:p>
        </w:tc>
        <w:tc>
          <w:tcPr>
            <w:tcW w:w="1512" w:type="pct"/>
            <w:noWrap w:val="0"/>
            <w:vAlign w:val="center"/>
          </w:tcPr>
          <w:p w14:paraId="13F3B43A">
            <w:pPr>
              <w:widowControl w:val="0"/>
              <w:adjustRightInd w:val="0"/>
              <w:snapToGrid w:val="0"/>
              <w:jc w:val="center"/>
              <w:rPr>
                <w:rFonts w:hint="eastAsia" w:ascii="宋体" w:hAnsi="宋体" w:eastAsia="宋体" w:cs="宋体"/>
                <w:b/>
                <w:color w:val="000000" w:themeColor="text1"/>
                <w:sz w:val="21"/>
                <w:szCs w:val="21"/>
                <w:highlight w:val="none"/>
                <w:lang w:eastAsia="zh-CN"/>
              </w:rPr>
            </w:pPr>
            <w:r>
              <w:rPr>
                <w:rFonts w:hint="eastAsia" w:ascii="宋体" w:hAnsi="宋体" w:eastAsia="宋体" w:cs="宋体"/>
                <w:b/>
                <w:color w:val="000000" w:themeColor="text1"/>
                <w:sz w:val="21"/>
                <w:szCs w:val="21"/>
                <w:highlight w:val="none"/>
                <w:lang w:eastAsia="zh-CN"/>
              </w:rPr>
              <w:t>备注</w:t>
            </w:r>
          </w:p>
        </w:tc>
        <w:tc>
          <w:tcPr>
            <w:tcW w:w="318" w:type="pct"/>
            <w:noWrap w:val="0"/>
            <w:vAlign w:val="center"/>
          </w:tcPr>
          <w:p w14:paraId="606DC81E">
            <w:pPr>
              <w:widowControl w:val="0"/>
              <w:adjustRightInd w:val="0"/>
              <w:snapToGrid w:val="0"/>
              <w:jc w:val="center"/>
              <w:rPr>
                <w:rFonts w:hint="eastAsia" w:ascii="宋体" w:hAnsi="宋体" w:eastAsia="宋体" w:cs="宋体"/>
                <w:b/>
                <w:color w:val="000000" w:themeColor="text1"/>
                <w:sz w:val="21"/>
                <w:szCs w:val="21"/>
                <w:highlight w:val="none"/>
                <w:lang w:eastAsia="zh-CN"/>
              </w:rPr>
            </w:pPr>
            <w:r>
              <w:rPr>
                <w:rFonts w:hint="eastAsia" w:ascii="宋体" w:hAnsi="宋体" w:eastAsia="宋体" w:cs="宋体"/>
                <w:b/>
                <w:color w:val="000000" w:themeColor="text1"/>
                <w:sz w:val="21"/>
                <w:szCs w:val="21"/>
                <w:highlight w:val="none"/>
                <w:lang w:eastAsia="zh-CN"/>
              </w:rPr>
              <w:t>检查结果</w:t>
            </w:r>
          </w:p>
        </w:tc>
      </w:tr>
      <w:tr w14:paraId="3013D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0A18D85F">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229D91F7">
            <w:pPr>
              <w:widowControl w:val="0"/>
              <w:adjustRightInd w:val="0"/>
              <w:snapToGrid w:val="0"/>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bCs/>
                <w:color w:val="000000" w:themeColor="text1"/>
                <w:sz w:val="21"/>
                <w:szCs w:val="21"/>
                <w:highlight w:val="none"/>
              </w:rPr>
              <w:t>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tc>
        <w:tc>
          <w:tcPr>
            <w:tcW w:w="781" w:type="pct"/>
            <w:noWrap w:val="0"/>
            <w:vAlign w:val="center"/>
          </w:tcPr>
          <w:p w14:paraId="1C324D04">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《中华人民共和国消防法》</w:t>
            </w:r>
          </w:p>
          <w:p w14:paraId="71D55F9A">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sz w:val="21"/>
                <w:szCs w:val="21"/>
                <w:highlight w:val="none"/>
              </w:rPr>
              <w:t>第</w:t>
            </w:r>
            <w:r>
              <w:rPr>
                <w:rFonts w:hint="default" w:cs="宋体"/>
                <w:color w:val="000000" w:themeColor="text1"/>
                <w:sz w:val="21"/>
                <w:szCs w:val="21"/>
                <w:highlight w:val="none"/>
                <w:lang w:val="en-US"/>
              </w:rPr>
              <w:t>28</w:t>
            </w:r>
            <w:r>
              <w:rPr>
                <w:rFonts w:hint="eastAsia" w:ascii="宋体" w:hAnsi="宋体" w:eastAsia="宋体" w:cs="宋体"/>
                <w:color w:val="000000" w:themeColor="text1"/>
                <w:sz w:val="21"/>
                <w:szCs w:val="21"/>
                <w:highlight w:val="none"/>
              </w:rPr>
              <w:t>条</w:t>
            </w:r>
          </w:p>
        </w:tc>
        <w:tc>
          <w:tcPr>
            <w:tcW w:w="1512" w:type="pct"/>
            <w:noWrap w:val="0"/>
            <w:vAlign w:val="center"/>
          </w:tcPr>
          <w:p w14:paraId="049E2734">
            <w:pPr>
              <w:widowControl w:val="0"/>
              <w:adjustRightInd w:val="0"/>
              <w:snapToGrid w:val="0"/>
              <w:jc w:val="left"/>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bCs/>
                <w:color w:val="000000" w:themeColor="text1"/>
                <w:sz w:val="21"/>
                <w:szCs w:val="21"/>
                <w:highlight w:val="none"/>
                <w:lang w:eastAsia="zh-CN"/>
              </w:rPr>
              <w:t>不存在左项情况。</w:t>
            </w:r>
          </w:p>
        </w:tc>
        <w:tc>
          <w:tcPr>
            <w:tcW w:w="318" w:type="pct"/>
            <w:noWrap w:val="0"/>
            <w:vAlign w:val="center"/>
          </w:tcPr>
          <w:p w14:paraId="05320D05">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符合</w:t>
            </w:r>
          </w:p>
        </w:tc>
      </w:tr>
      <w:tr w14:paraId="59CBA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65482C82">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74CA1ECA">
            <w:pPr>
              <w:widowControl w:val="0"/>
              <w:adjustRightInd w:val="0"/>
              <w:snapToGrid w:val="0"/>
              <w:rPr>
                <w:rFonts w:hint="eastAsia" w:ascii="宋体" w:hAnsi="宋体" w:eastAsia="宋体" w:cs="宋体"/>
                <w:bCs/>
                <w:color w:val="000000" w:themeColor="text1"/>
                <w:kern w:val="0"/>
                <w:sz w:val="21"/>
                <w:szCs w:val="21"/>
                <w:highlight w:val="none"/>
                <w:lang w:val="en-US" w:eastAsia="zh-CN" w:bidi="ar-SA"/>
              </w:rPr>
            </w:pPr>
            <w:r>
              <w:rPr>
                <w:rFonts w:hint="eastAsia" w:ascii="宋体" w:hAnsi="宋体" w:eastAsia="宋体" w:cs="宋体"/>
                <w:bCs/>
                <w:color w:val="000000" w:themeColor="text1"/>
                <w:sz w:val="21"/>
                <w:szCs w:val="21"/>
                <w:highlight w:val="none"/>
              </w:rPr>
              <w:t>设置在建筑室内外供人员操作或使用的消防设施，均应设置区别于环境的明显标志。</w:t>
            </w:r>
          </w:p>
        </w:tc>
        <w:tc>
          <w:tcPr>
            <w:tcW w:w="781" w:type="pct"/>
            <w:noWrap w:val="0"/>
            <w:vAlign w:val="center"/>
          </w:tcPr>
          <w:p w14:paraId="6A32D4E3">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sz w:val="21"/>
                <w:szCs w:val="21"/>
                <w:highlight w:val="none"/>
              </w:rPr>
              <w:t>GB50016-2014（2018版）</w:t>
            </w:r>
            <w:r>
              <w:rPr>
                <w:rFonts w:hint="eastAsia" w:ascii="宋体" w:hAnsi="宋体" w:eastAsia="宋体" w:cs="宋体"/>
                <w:color w:val="000000" w:themeColor="text1"/>
                <w:sz w:val="21"/>
                <w:szCs w:val="21"/>
                <w:highlight w:val="none"/>
                <w:lang w:eastAsia="zh-CN"/>
              </w:rPr>
              <w:t>第</w:t>
            </w:r>
            <w:r>
              <w:rPr>
                <w:rFonts w:hint="eastAsia" w:ascii="宋体" w:hAnsi="宋体" w:eastAsia="宋体" w:cs="宋体"/>
                <w:bCs/>
                <w:color w:val="000000" w:themeColor="text1"/>
                <w:sz w:val="21"/>
                <w:szCs w:val="21"/>
                <w:highlight w:val="none"/>
              </w:rPr>
              <w:t>8.1.12</w:t>
            </w:r>
            <w:r>
              <w:rPr>
                <w:rFonts w:hint="eastAsia" w:ascii="宋体" w:hAnsi="宋体" w:eastAsia="宋体" w:cs="宋体"/>
                <w:color w:val="000000" w:themeColor="text1"/>
                <w:sz w:val="21"/>
                <w:szCs w:val="21"/>
                <w:highlight w:val="none"/>
                <w:lang w:eastAsia="zh-CN"/>
              </w:rPr>
              <w:t>条</w:t>
            </w:r>
          </w:p>
        </w:tc>
        <w:tc>
          <w:tcPr>
            <w:tcW w:w="1512" w:type="pct"/>
            <w:noWrap w:val="0"/>
            <w:vAlign w:val="center"/>
          </w:tcPr>
          <w:p w14:paraId="3A017048">
            <w:pPr>
              <w:widowControl w:val="0"/>
              <w:adjustRightInd w:val="0"/>
              <w:snapToGrid w:val="0"/>
              <w:jc w:val="left"/>
              <w:rPr>
                <w:rFonts w:hint="eastAsia" w:ascii="宋体" w:hAnsi="宋体" w:eastAsia="宋体" w:cs="宋体"/>
                <w:bCs/>
                <w:color w:val="000000" w:themeColor="text1"/>
                <w:kern w:val="0"/>
                <w:sz w:val="21"/>
                <w:szCs w:val="21"/>
                <w:highlight w:val="none"/>
                <w:lang w:val="en-US" w:eastAsia="zh-CN" w:bidi="ar-SA"/>
              </w:rPr>
            </w:pPr>
            <w:r>
              <w:rPr>
                <w:rFonts w:hint="eastAsia" w:ascii="宋体" w:hAnsi="宋体" w:eastAsia="宋体" w:cs="宋体"/>
                <w:color w:val="000000" w:themeColor="text1"/>
                <w:sz w:val="21"/>
                <w:szCs w:val="21"/>
                <w:highlight w:val="none"/>
              </w:rPr>
              <w:t>消防设施已设置为红色</w:t>
            </w:r>
            <w:r>
              <w:rPr>
                <w:rFonts w:hint="eastAsia" w:ascii="宋体" w:hAnsi="宋体" w:eastAsia="宋体" w:cs="宋体"/>
                <w:color w:val="000000" w:themeColor="text1"/>
                <w:sz w:val="21"/>
                <w:szCs w:val="21"/>
                <w:highlight w:val="none"/>
                <w:lang w:eastAsia="zh-CN"/>
              </w:rPr>
              <w:t>。</w:t>
            </w:r>
          </w:p>
        </w:tc>
        <w:tc>
          <w:tcPr>
            <w:tcW w:w="318" w:type="pct"/>
            <w:noWrap w:val="0"/>
            <w:vAlign w:val="center"/>
          </w:tcPr>
          <w:p w14:paraId="1E6D41CD">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符合</w:t>
            </w:r>
          </w:p>
        </w:tc>
      </w:tr>
      <w:tr w14:paraId="30E41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607BDD9A">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29B83351">
            <w:pPr>
              <w:widowControl w:val="0"/>
              <w:adjustRightInd w:val="0"/>
              <w:snapToGrid w:val="0"/>
              <w:spacing w:after="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kern w:val="0"/>
                <w:sz w:val="21"/>
                <w:szCs w:val="21"/>
                <w:highlight w:val="none"/>
              </w:rPr>
              <w:t>消防设施投入使用后，应定期进行巡查、检查和维护，并应保证其处于正常运行或工作状态，不应擅自关停、拆改或移动。超过有效期的灭火介质、消防设施或经检验不符合继续使用要求的管道、组件和压力容器不应使用。</w:t>
            </w:r>
          </w:p>
        </w:tc>
        <w:tc>
          <w:tcPr>
            <w:tcW w:w="781" w:type="pct"/>
            <w:noWrap w:val="0"/>
            <w:vAlign w:val="center"/>
          </w:tcPr>
          <w:p w14:paraId="763A774C">
            <w:pPr>
              <w:widowControl w:val="0"/>
              <w:adjustRightInd w:val="0"/>
              <w:snapToGrid w:val="0"/>
              <w:spacing w:after="0"/>
              <w:jc w:val="center"/>
              <w:rPr>
                <w:rFonts w:hint="eastAsia" w:ascii="宋体" w:hAnsi="宋体" w:eastAsia="宋体" w:cs="宋体"/>
                <w:color w:val="000000" w:themeColor="text1"/>
                <w:sz w:val="21"/>
                <w:szCs w:val="21"/>
                <w:highlight w:val="none"/>
              </w:rPr>
            </w:pPr>
            <w:r>
              <w:rPr>
                <w:rFonts w:hint="eastAsia" w:ascii="宋体" w:hAnsi="宋体" w:eastAsia="宋体" w:cs="宋体"/>
                <w:bCs/>
                <w:color w:val="000000" w:themeColor="text1"/>
                <w:kern w:val="0"/>
                <w:sz w:val="21"/>
                <w:szCs w:val="21"/>
                <w:highlight w:val="none"/>
              </w:rPr>
              <w:t>GB55036-2022</w:t>
            </w:r>
            <w:r>
              <w:rPr>
                <w:rFonts w:hint="eastAsia" w:ascii="宋体" w:hAnsi="宋体" w:eastAsia="宋体" w:cs="宋体"/>
                <w:bCs/>
                <w:color w:val="000000" w:themeColor="text1"/>
                <w:kern w:val="0"/>
                <w:sz w:val="21"/>
                <w:szCs w:val="21"/>
                <w:highlight w:val="none"/>
                <w:lang w:eastAsia="zh-CN"/>
              </w:rPr>
              <w:t>第</w:t>
            </w:r>
            <w:r>
              <w:rPr>
                <w:rFonts w:hint="eastAsia" w:ascii="宋体" w:hAnsi="宋体" w:eastAsia="宋体" w:cs="宋体"/>
                <w:bCs/>
                <w:color w:val="000000" w:themeColor="text1"/>
                <w:kern w:val="0"/>
                <w:sz w:val="21"/>
                <w:szCs w:val="21"/>
                <w:highlight w:val="none"/>
              </w:rPr>
              <w:t>2.0.9</w:t>
            </w:r>
            <w:r>
              <w:rPr>
                <w:rFonts w:hint="eastAsia" w:ascii="宋体" w:hAnsi="宋体" w:eastAsia="宋体" w:cs="宋体"/>
                <w:bCs/>
                <w:color w:val="000000" w:themeColor="text1"/>
                <w:kern w:val="0"/>
                <w:sz w:val="21"/>
                <w:szCs w:val="21"/>
                <w:highlight w:val="none"/>
                <w:lang w:eastAsia="zh-CN"/>
              </w:rPr>
              <w:t>条</w:t>
            </w:r>
          </w:p>
        </w:tc>
        <w:tc>
          <w:tcPr>
            <w:tcW w:w="1512" w:type="pct"/>
            <w:noWrap w:val="0"/>
            <w:vAlign w:val="center"/>
          </w:tcPr>
          <w:p w14:paraId="20158B40">
            <w:pPr>
              <w:widowControl w:val="0"/>
              <w:adjustRightInd w:val="0"/>
              <w:snapToGrid w:val="0"/>
              <w:jc w:val="left"/>
              <w:rPr>
                <w:rFonts w:hint="eastAsia" w:ascii="宋体" w:hAnsi="宋体" w:eastAsia="宋体" w:cs="宋体"/>
                <w:bCs/>
                <w:color w:val="000000" w:themeColor="text1"/>
                <w:sz w:val="21"/>
                <w:szCs w:val="21"/>
                <w:highlight w:val="none"/>
                <w:lang w:eastAsia="zh-CN"/>
              </w:rPr>
            </w:pPr>
            <w:r>
              <w:rPr>
                <w:rFonts w:hint="eastAsia" w:ascii="宋体" w:hAnsi="宋体" w:eastAsia="宋体" w:cs="宋体"/>
                <w:bCs/>
                <w:color w:val="000000" w:themeColor="text1"/>
                <w:kern w:val="0"/>
                <w:sz w:val="21"/>
                <w:szCs w:val="21"/>
                <w:highlight w:val="none"/>
              </w:rPr>
              <w:t>定期进行巡查、检查和维护</w:t>
            </w:r>
            <w:r>
              <w:rPr>
                <w:rFonts w:hint="eastAsia" w:ascii="宋体" w:hAnsi="宋体" w:eastAsia="宋体" w:cs="宋体"/>
                <w:bCs/>
                <w:color w:val="000000" w:themeColor="text1"/>
                <w:kern w:val="0"/>
                <w:sz w:val="21"/>
                <w:szCs w:val="21"/>
                <w:highlight w:val="none"/>
                <w:lang w:eastAsia="zh-CN"/>
              </w:rPr>
              <w:t>。</w:t>
            </w:r>
          </w:p>
        </w:tc>
        <w:tc>
          <w:tcPr>
            <w:tcW w:w="318" w:type="pct"/>
            <w:noWrap w:val="0"/>
            <w:vAlign w:val="center"/>
          </w:tcPr>
          <w:p w14:paraId="027C7001">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符合</w:t>
            </w:r>
          </w:p>
        </w:tc>
      </w:tr>
      <w:tr w14:paraId="1CB51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1CB1665F">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391F1E1E">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工厂、仓库区内应设置消防车道。</w:t>
            </w:r>
          </w:p>
          <w:p w14:paraId="546AD538">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高层厂房，占地面积大于3000m</w:t>
            </w:r>
            <w:r>
              <w:rPr>
                <w:rFonts w:hint="eastAsia" w:ascii="宋体" w:hAnsi="宋体" w:eastAsia="宋体" w:cs="宋体"/>
                <w:bCs/>
                <w:color w:val="000000" w:themeColor="text1"/>
                <w:sz w:val="21"/>
                <w:szCs w:val="21"/>
                <w:highlight w:val="none"/>
                <w:vertAlign w:val="superscript"/>
              </w:rPr>
              <w:t>2</w:t>
            </w:r>
            <w:r>
              <w:rPr>
                <w:rFonts w:hint="eastAsia" w:ascii="宋体" w:hAnsi="宋体" w:eastAsia="宋体" w:cs="宋体"/>
                <w:bCs/>
                <w:color w:val="000000" w:themeColor="text1"/>
                <w:sz w:val="21"/>
                <w:szCs w:val="21"/>
                <w:highlight w:val="none"/>
              </w:rPr>
              <w:t>的甲、乙、丙类厂房和占地面积大于1500m</w:t>
            </w:r>
            <w:r>
              <w:rPr>
                <w:rFonts w:hint="eastAsia" w:ascii="宋体" w:hAnsi="宋体" w:eastAsia="宋体" w:cs="宋体"/>
                <w:bCs/>
                <w:color w:val="000000" w:themeColor="text1"/>
                <w:sz w:val="21"/>
                <w:szCs w:val="21"/>
                <w:highlight w:val="none"/>
                <w:vertAlign w:val="superscript"/>
              </w:rPr>
              <w:t>2</w:t>
            </w:r>
            <w:r>
              <w:rPr>
                <w:rFonts w:hint="eastAsia" w:ascii="宋体" w:hAnsi="宋体" w:eastAsia="宋体" w:cs="宋体"/>
                <w:bCs/>
                <w:color w:val="000000" w:themeColor="text1"/>
                <w:sz w:val="21"/>
                <w:szCs w:val="21"/>
                <w:highlight w:val="none"/>
              </w:rPr>
              <w:t>的乙、丙类仓库，应设置环形消防车道，确有困难时，应沿建筑物的两个长边设置消防车道。</w:t>
            </w:r>
          </w:p>
        </w:tc>
        <w:tc>
          <w:tcPr>
            <w:tcW w:w="781" w:type="pct"/>
            <w:noWrap w:val="0"/>
            <w:vAlign w:val="center"/>
          </w:tcPr>
          <w:p w14:paraId="7CA26B8B">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rPr>
              <w:t>GB50016-2014（2018版）</w:t>
            </w:r>
            <w:r>
              <w:rPr>
                <w:rFonts w:hint="eastAsia" w:ascii="宋体" w:hAnsi="宋体" w:eastAsia="宋体" w:cs="宋体"/>
                <w:color w:val="000000" w:themeColor="text1"/>
                <w:sz w:val="21"/>
                <w:szCs w:val="21"/>
                <w:highlight w:val="none"/>
                <w:lang w:eastAsia="zh-CN"/>
              </w:rPr>
              <w:t>第</w:t>
            </w:r>
            <w:r>
              <w:rPr>
                <w:rFonts w:hint="eastAsia" w:ascii="宋体" w:hAnsi="宋体" w:eastAsia="宋体" w:cs="宋体"/>
                <w:bCs/>
                <w:color w:val="000000" w:themeColor="text1"/>
                <w:sz w:val="21"/>
                <w:szCs w:val="21"/>
                <w:highlight w:val="none"/>
              </w:rPr>
              <w:t>7.1.3</w:t>
            </w:r>
            <w:r>
              <w:rPr>
                <w:rFonts w:hint="eastAsia" w:ascii="宋体" w:hAnsi="宋体" w:eastAsia="宋体" w:cs="宋体"/>
                <w:color w:val="000000" w:themeColor="text1"/>
                <w:sz w:val="21"/>
                <w:szCs w:val="21"/>
                <w:highlight w:val="none"/>
                <w:lang w:eastAsia="zh-CN"/>
              </w:rPr>
              <w:t>条</w:t>
            </w:r>
          </w:p>
        </w:tc>
        <w:tc>
          <w:tcPr>
            <w:tcW w:w="1512" w:type="pct"/>
            <w:noWrap w:val="0"/>
            <w:vAlign w:val="center"/>
          </w:tcPr>
          <w:p w14:paraId="6837F0C2">
            <w:pPr>
              <w:widowControl w:val="0"/>
              <w:adjustRightInd w:val="0"/>
              <w:snapToGrid w:val="0"/>
              <w:jc w:val="left"/>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bCs/>
                <w:color w:val="000000" w:themeColor="text1"/>
                <w:sz w:val="21"/>
                <w:szCs w:val="21"/>
                <w:highlight w:val="none"/>
              </w:rPr>
              <w:t>设置消防车道。</w:t>
            </w:r>
          </w:p>
        </w:tc>
        <w:tc>
          <w:tcPr>
            <w:tcW w:w="318" w:type="pct"/>
            <w:noWrap w:val="0"/>
            <w:vAlign w:val="center"/>
          </w:tcPr>
          <w:p w14:paraId="29973561">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符合</w:t>
            </w:r>
          </w:p>
        </w:tc>
      </w:tr>
      <w:tr w14:paraId="1BEB2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6849C36A">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58639EAD">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消防车道应符合下列要求：</w:t>
            </w:r>
          </w:p>
          <w:p w14:paraId="5692B753">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1  车道的净宽度和净空高度均不应小于4.0m；</w:t>
            </w:r>
          </w:p>
          <w:p w14:paraId="51145877">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2  转弯半径应满足消防车转弯的要求；</w:t>
            </w:r>
          </w:p>
          <w:p w14:paraId="0FD58C4F">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3  消防车道与建筑之间不应设置妨碍消防车操作的树木、架空管线等障碍物；</w:t>
            </w:r>
          </w:p>
          <w:p w14:paraId="4C823FBA">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4  消防车道靠建筑外墙一侧的边缘距离建筑外墙不宜小于5m；</w:t>
            </w:r>
          </w:p>
          <w:p w14:paraId="57F86289">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5  消防车道的坡度不宜大于8％。</w:t>
            </w:r>
          </w:p>
        </w:tc>
        <w:tc>
          <w:tcPr>
            <w:tcW w:w="781" w:type="pct"/>
            <w:noWrap w:val="0"/>
            <w:vAlign w:val="center"/>
          </w:tcPr>
          <w:p w14:paraId="3D3BD5A6">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GB50016-2014（2018版）</w:t>
            </w:r>
            <w:r>
              <w:rPr>
                <w:rFonts w:hint="eastAsia" w:ascii="宋体" w:hAnsi="宋体" w:eastAsia="宋体" w:cs="宋体"/>
                <w:color w:val="000000" w:themeColor="text1"/>
                <w:sz w:val="21"/>
                <w:szCs w:val="21"/>
                <w:highlight w:val="none"/>
                <w:lang w:eastAsia="zh-CN"/>
              </w:rPr>
              <w:t>第</w:t>
            </w:r>
            <w:r>
              <w:rPr>
                <w:rFonts w:hint="eastAsia" w:ascii="宋体" w:hAnsi="宋体" w:eastAsia="宋体" w:cs="宋体"/>
                <w:bCs/>
                <w:color w:val="000000" w:themeColor="text1"/>
                <w:sz w:val="21"/>
                <w:szCs w:val="21"/>
                <w:highlight w:val="none"/>
              </w:rPr>
              <w:t>7.1.8</w:t>
            </w:r>
            <w:r>
              <w:rPr>
                <w:rFonts w:hint="eastAsia" w:ascii="宋体" w:hAnsi="宋体" w:eastAsia="宋体" w:cs="宋体"/>
                <w:color w:val="000000" w:themeColor="text1"/>
                <w:sz w:val="21"/>
                <w:szCs w:val="21"/>
                <w:highlight w:val="none"/>
                <w:lang w:eastAsia="zh-CN"/>
              </w:rPr>
              <w:t>条</w:t>
            </w:r>
          </w:p>
        </w:tc>
        <w:tc>
          <w:tcPr>
            <w:tcW w:w="1512" w:type="pct"/>
            <w:noWrap w:val="0"/>
            <w:vAlign w:val="center"/>
          </w:tcPr>
          <w:p w14:paraId="6C299847">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kern w:val="0"/>
                <w:sz w:val="21"/>
                <w:szCs w:val="21"/>
                <w:highlight w:val="none"/>
                <w:lang w:val="en-US" w:eastAsia="zh-CN" w:bidi="ar-SA"/>
              </w:rPr>
              <w:t>消防车道</w:t>
            </w:r>
            <w:r>
              <w:rPr>
                <w:rFonts w:hint="eastAsia" w:ascii="宋体" w:hAnsi="宋体" w:eastAsia="宋体" w:cs="宋体"/>
                <w:bCs/>
                <w:color w:val="000000" w:themeColor="text1"/>
                <w:sz w:val="21"/>
                <w:szCs w:val="21"/>
                <w:highlight w:val="none"/>
              </w:rPr>
              <w:t>的净宽度和净空高度均</w:t>
            </w:r>
            <w:r>
              <w:rPr>
                <w:rFonts w:hint="eastAsia" w:ascii="宋体" w:hAnsi="宋体" w:eastAsia="宋体" w:cs="宋体"/>
                <w:bCs/>
                <w:color w:val="000000" w:themeColor="text1"/>
                <w:sz w:val="21"/>
                <w:szCs w:val="21"/>
                <w:highlight w:val="none"/>
                <w:lang w:eastAsia="zh-CN"/>
              </w:rPr>
              <w:t>大于</w:t>
            </w:r>
            <w:r>
              <w:rPr>
                <w:rFonts w:hint="eastAsia" w:ascii="宋体" w:hAnsi="宋体" w:eastAsia="宋体" w:cs="宋体"/>
                <w:bCs/>
                <w:color w:val="000000" w:themeColor="text1"/>
                <w:sz w:val="21"/>
                <w:szCs w:val="21"/>
                <w:highlight w:val="none"/>
              </w:rPr>
              <w:t>4.0m</w:t>
            </w:r>
            <w:r>
              <w:rPr>
                <w:rFonts w:hint="eastAsia" w:ascii="宋体" w:hAnsi="宋体" w:eastAsia="宋体" w:cs="宋体"/>
                <w:bCs/>
                <w:color w:val="000000" w:themeColor="text1"/>
                <w:sz w:val="21"/>
                <w:szCs w:val="21"/>
                <w:highlight w:val="none"/>
                <w:lang w:eastAsia="zh-CN"/>
              </w:rPr>
              <w:t>；</w:t>
            </w:r>
            <w:r>
              <w:rPr>
                <w:rFonts w:hint="eastAsia" w:ascii="宋体" w:hAnsi="宋体" w:eastAsia="宋体" w:cs="宋体"/>
                <w:bCs/>
                <w:color w:val="000000" w:themeColor="text1"/>
                <w:sz w:val="21"/>
                <w:szCs w:val="21"/>
                <w:highlight w:val="none"/>
              </w:rPr>
              <w:t>转弯半径满足消防车转弯的要求；与建筑之间</w:t>
            </w:r>
            <w:r>
              <w:rPr>
                <w:rFonts w:hint="eastAsia" w:ascii="宋体" w:hAnsi="宋体" w:eastAsia="宋体" w:cs="宋体"/>
                <w:bCs/>
                <w:color w:val="000000" w:themeColor="text1"/>
                <w:sz w:val="21"/>
                <w:szCs w:val="21"/>
                <w:highlight w:val="none"/>
                <w:lang w:eastAsia="zh-CN"/>
              </w:rPr>
              <w:t>未</w:t>
            </w:r>
            <w:r>
              <w:rPr>
                <w:rFonts w:hint="eastAsia" w:ascii="宋体" w:hAnsi="宋体" w:eastAsia="宋体" w:cs="宋体"/>
                <w:bCs/>
                <w:color w:val="000000" w:themeColor="text1"/>
                <w:sz w:val="21"/>
                <w:szCs w:val="21"/>
                <w:highlight w:val="none"/>
              </w:rPr>
              <w:t>设置妨碍消防车操作的树木、架空管线等障碍物；</w:t>
            </w:r>
          </w:p>
          <w:p w14:paraId="63A33968">
            <w:pPr>
              <w:widowControl w:val="0"/>
              <w:adjustRightInd w:val="0"/>
              <w:snapToGrid w:val="0"/>
              <w:jc w:val="left"/>
              <w:rPr>
                <w:rFonts w:hint="eastAsia" w:ascii="宋体" w:hAnsi="宋体" w:eastAsia="宋体" w:cs="宋体"/>
                <w:color w:val="000000" w:themeColor="text1"/>
                <w:kern w:val="0"/>
                <w:sz w:val="21"/>
                <w:szCs w:val="21"/>
                <w:highlight w:val="none"/>
                <w:lang w:val="en-US" w:eastAsia="zh-CN" w:bidi="ar-SA"/>
              </w:rPr>
            </w:pPr>
          </w:p>
        </w:tc>
        <w:tc>
          <w:tcPr>
            <w:tcW w:w="318" w:type="pct"/>
            <w:noWrap w:val="0"/>
            <w:vAlign w:val="center"/>
          </w:tcPr>
          <w:p w14:paraId="6032D64B">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符合</w:t>
            </w:r>
          </w:p>
        </w:tc>
      </w:tr>
      <w:tr w14:paraId="09F3D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51BBE685">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7A30E6F2">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城镇</w:t>
            </w:r>
            <w:r>
              <w:rPr>
                <w:rFonts w:hint="eastAsia" w:ascii="宋体" w:hAnsi="宋体" w:cs="宋体"/>
                <w:bCs/>
                <w:color w:val="000000" w:themeColor="text1"/>
                <w:sz w:val="21"/>
                <w:szCs w:val="21"/>
                <w:highlight w:val="none"/>
                <w:lang w:eastAsia="zh-CN"/>
              </w:rPr>
              <w:t>（</w:t>
            </w:r>
            <w:r>
              <w:rPr>
                <w:rFonts w:hint="eastAsia" w:ascii="宋体" w:hAnsi="宋体" w:eastAsia="宋体" w:cs="宋体"/>
                <w:bCs/>
                <w:color w:val="000000" w:themeColor="text1"/>
                <w:sz w:val="21"/>
                <w:szCs w:val="21"/>
                <w:highlight w:val="none"/>
              </w:rPr>
              <w:t>包括居住区、商业区、开发区、工业区等</w:t>
            </w:r>
            <w:r>
              <w:rPr>
                <w:rFonts w:hint="eastAsia" w:ascii="宋体" w:hAnsi="宋体" w:cs="宋体"/>
                <w:bCs/>
                <w:color w:val="000000" w:themeColor="text1"/>
                <w:sz w:val="21"/>
                <w:szCs w:val="21"/>
                <w:highlight w:val="none"/>
                <w:lang w:eastAsia="zh-CN"/>
              </w:rPr>
              <w:t>）</w:t>
            </w:r>
            <w:r>
              <w:rPr>
                <w:rFonts w:hint="eastAsia" w:ascii="宋体" w:hAnsi="宋体" w:eastAsia="宋体" w:cs="宋体"/>
                <w:bCs/>
                <w:color w:val="000000" w:themeColor="text1"/>
                <w:sz w:val="21"/>
                <w:szCs w:val="21"/>
                <w:highlight w:val="none"/>
              </w:rPr>
              <w:t>应沿可通行消防车的街道设置市政消火栓系统。</w:t>
            </w:r>
          </w:p>
          <w:p w14:paraId="1A7071F3">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民用建筑、厂房、仓库、储罐</w:t>
            </w:r>
            <w:r>
              <w:rPr>
                <w:rFonts w:hint="eastAsia" w:ascii="宋体" w:hAnsi="宋体" w:cs="宋体"/>
                <w:bCs/>
                <w:color w:val="000000" w:themeColor="text1"/>
                <w:sz w:val="21"/>
                <w:szCs w:val="21"/>
                <w:highlight w:val="none"/>
                <w:lang w:eastAsia="zh-CN"/>
              </w:rPr>
              <w:t>（</w:t>
            </w:r>
            <w:r>
              <w:rPr>
                <w:rFonts w:hint="eastAsia" w:ascii="宋体" w:hAnsi="宋体" w:eastAsia="宋体" w:cs="宋体"/>
                <w:bCs/>
                <w:color w:val="000000" w:themeColor="text1"/>
                <w:sz w:val="21"/>
                <w:szCs w:val="21"/>
                <w:highlight w:val="none"/>
              </w:rPr>
              <w:t>区</w:t>
            </w:r>
            <w:r>
              <w:rPr>
                <w:rFonts w:hint="eastAsia" w:ascii="宋体" w:hAnsi="宋体" w:cs="宋体"/>
                <w:bCs/>
                <w:color w:val="000000" w:themeColor="text1"/>
                <w:sz w:val="21"/>
                <w:szCs w:val="21"/>
                <w:highlight w:val="none"/>
                <w:lang w:eastAsia="zh-CN"/>
              </w:rPr>
              <w:t>）</w:t>
            </w:r>
            <w:r>
              <w:rPr>
                <w:rFonts w:hint="eastAsia" w:ascii="宋体" w:hAnsi="宋体" w:eastAsia="宋体" w:cs="宋体"/>
                <w:bCs/>
                <w:color w:val="000000" w:themeColor="text1"/>
                <w:sz w:val="21"/>
                <w:szCs w:val="21"/>
                <w:highlight w:val="none"/>
              </w:rPr>
              <w:t>和堆场周围应设置室外消火栓系统。</w:t>
            </w:r>
          </w:p>
          <w:p w14:paraId="517091E5">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用于消防救援和消防车停靠的屋面上，应设置室外消火栓系统。</w:t>
            </w:r>
          </w:p>
          <w:p w14:paraId="49295BB1">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注：耐火等级不低于二级且建筑体积不大于3000m</w:t>
            </w:r>
            <w:r>
              <w:rPr>
                <w:rFonts w:hint="eastAsia" w:ascii="宋体" w:hAnsi="宋体" w:eastAsia="宋体" w:cs="宋体"/>
                <w:bCs/>
                <w:color w:val="000000" w:themeColor="text1"/>
                <w:sz w:val="21"/>
                <w:szCs w:val="21"/>
                <w:highlight w:val="none"/>
                <w:vertAlign w:val="superscript"/>
              </w:rPr>
              <w:t>3</w:t>
            </w:r>
            <w:r>
              <w:rPr>
                <w:rFonts w:hint="eastAsia" w:ascii="宋体" w:hAnsi="宋体" w:eastAsia="宋体" w:cs="宋体"/>
                <w:bCs/>
                <w:color w:val="000000" w:themeColor="text1"/>
                <w:sz w:val="21"/>
                <w:szCs w:val="21"/>
                <w:highlight w:val="none"/>
              </w:rPr>
              <w:t>的戊类厂房，居住区人数不超过500人且建筑层数不超过两层的居住区，可不设置室外消火栓系统。</w:t>
            </w:r>
          </w:p>
        </w:tc>
        <w:tc>
          <w:tcPr>
            <w:tcW w:w="781" w:type="pct"/>
            <w:noWrap w:val="0"/>
            <w:vAlign w:val="center"/>
          </w:tcPr>
          <w:p w14:paraId="2FEDC814">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GB50016-2014（2018版）</w:t>
            </w:r>
            <w:r>
              <w:rPr>
                <w:rFonts w:hint="eastAsia" w:ascii="宋体" w:hAnsi="宋体" w:eastAsia="宋体" w:cs="宋体"/>
                <w:color w:val="000000" w:themeColor="text1"/>
                <w:sz w:val="21"/>
                <w:szCs w:val="21"/>
                <w:highlight w:val="none"/>
                <w:lang w:eastAsia="zh-CN"/>
              </w:rPr>
              <w:t>第</w:t>
            </w:r>
            <w:r>
              <w:rPr>
                <w:rFonts w:hint="eastAsia" w:ascii="宋体" w:hAnsi="宋体" w:eastAsia="宋体" w:cs="宋体"/>
                <w:bCs/>
                <w:color w:val="000000" w:themeColor="text1"/>
                <w:sz w:val="21"/>
                <w:szCs w:val="21"/>
                <w:highlight w:val="none"/>
              </w:rPr>
              <w:t>8.1.2</w:t>
            </w:r>
            <w:r>
              <w:rPr>
                <w:rFonts w:hint="eastAsia" w:ascii="宋体" w:hAnsi="宋体" w:eastAsia="宋体" w:cs="宋体"/>
                <w:color w:val="000000" w:themeColor="text1"/>
                <w:sz w:val="21"/>
                <w:szCs w:val="21"/>
                <w:highlight w:val="none"/>
                <w:lang w:eastAsia="zh-CN"/>
              </w:rPr>
              <w:t>条</w:t>
            </w:r>
          </w:p>
        </w:tc>
        <w:tc>
          <w:tcPr>
            <w:tcW w:w="1512" w:type="pct"/>
            <w:noWrap w:val="0"/>
            <w:vAlign w:val="center"/>
          </w:tcPr>
          <w:p w14:paraId="7832D874">
            <w:pPr>
              <w:widowControl w:val="0"/>
              <w:adjustRightInd w:val="0"/>
              <w:snapToGrid w:val="0"/>
              <w:jc w:val="left"/>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bCs/>
                <w:color w:val="000000" w:themeColor="text1"/>
                <w:sz w:val="21"/>
                <w:szCs w:val="21"/>
                <w:highlight w:val="none"/>
              </w:rPr>
              <w:t>设置</w:t>
            </w:r>
            <w:r>
              <w:rPr>
                <w:rFonts w:hint="eastAsia" w:ascii="宋体" w:hAnsi="宋体" w:eastAsia="宋体" w:cs="宋体"/>
                <w:bCs/>
                <w:color w:val="000000" w:themeColor="text1"/>
                <w:sz w:val="21"/>
                <w:szCs w:val="21"/>
                <w:highlight w:val="none"/>
                <w:lang w:eastAsia="zh-CN"/>
              </w:rPr>
              <w:t>了</w:t>
            </w:r>
            <w:r>
              <w:rPr>
                <w:rFonts w:hint="eastAsia" w:ascii="宋体" w:hAnsi="宋体" w:eastAsia="宋体" w:cs="宋体"/>
                <w:bCs/>
                <w:color w:val="000000" w:themeColor="text1"/>
                <w:sz w:val="21"/>
                <w:szCs w:val="21"/>
                <w:highlight w:val="none"/>
              </w:rPr>
              <w:t>室外消火栓系统。</w:t>
            </w:r>
          </w:p>
        </w:tc>
        <w:tc>
          <w:tcPr>
            <w:tcW w:w="318" w:type="pct"/>
            <w:noWrap w:val="0"/>
            <w:vAlign w:val="center"/>
          </w:tcPr>
          <w:p w14:paraId="3BB7F977">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符合</w:t>
            </w:r>
          </w:p>
        </w:tc>
      </w:tr>
      <w:tr w14:paraId="0A5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66EE0EFA">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33A62816">
            <w:pPr>
              <w:widowControl w:val="0"/>
              <w:adjustRightInd w:val="0"/>
              <w:snapToGrid w:val="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建筑物室外宜采用低压消防给水系统，当采用市政给水管网供水时，应符合下列规定：</w:t>
            </w:r>
          </w:p>
          <w:p w14:paraId="24AB26C9">
            <w:pPr>
              <w:widowControl w:val="0"/>
              <w:adjustRightInd w:val="0"/>
              <w:snapToGrid w:val="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1  应采用两路消防供水，除建筑高度超过54m的住宅外，室外消火栓设计流量小于等于20L/s时可采用一路消防供水；</w:t>
            </w:r>
          </w:p>
          <w:p w14:paraId="7F179B11">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kern w:val="0"/>
                <w:sz w:val="21"/>
                <w:szCs w:val="21"/>
                <w:highlight w:val="none"/>
              </w:rPr>
              <w:t>2  室外消火栓应由市政给水管网直接供水。</w:t>
            </w:r>
          </w:p>
        </w:tc>
        <w:tc>
          <w:tcPr>
            <w:tcW w:w="781" w:type="pct"/>
            <w:noWrap w:val="0"/>
            <w:vAlign w:val="center"/>
          </w:tcPr>
          <w:p w14:paraId="6077F883">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b w:val="0"/>
                <w:bCs w:val="0"/>
                <w:color w:val="000000" w:themeColor="text1"/>
                <w:kern w:val="0"/>
                <w:sz w:val="21"/>
                <w:szCs w:val="21"/>
                <w:highlight w:val="none"/>
                <w:lang w:eastAsia="zh-CN"/>
              </w:rPr>
              <w:t>GB50974-2014第</w:t>
            </w:r>
            <w:r>
              <w:rPr>
                <w:rFonts w:hint="eastAsia" w:ascii="宋体" w:hAnsi="宋体" w:eastAsia="宋体" w:cs="宋体"/>
                <w:bCs/>
                <w:color w:val="000000" w:themeColor="text1"/>
                <w:kern w:val="0"/>
                <w:sz w:val="21"/>
                <w:szCs w:val="21"/>
                <w:highlight w:val="none"/>
              </w:rPr>
              <w:t>6.1.3</w:t>
            </w:r>
            <w:r>
              <w:rPr>
                <w:rFonts w:hint="eastAsia" w:ascii="宋体" w:hAnsi="宋体" w:eastAsia="宋体" w:cs="宋体"/>
                <w:b w:val="0"/>
                <w:bCs w:val="0"/>
                <w:color w:val="000000" w:themeColor="text1"/>
                <w:kern w:val="0"/>
                <w:sz w:val="21"/>
                <w:szCs w:val="21"/>
                <w:highlight w:val="none"/>
                <w:lang w:eastAsia="zh-CN"/>
              </w:rPr>
              <w:t>条</w:t>
            </w:r>
          </w:p>
        </w:tc>
        <w:tc>
          <w:tcPr>
            <w:tcW w:w="1512" w:type="pct"/>
            <w:noWrap w:val="0"/>
            <w:vAlign w:val="center"/>
          </w:tcPr>
          <w:p w14:paraId="6A108BEA">
            <w:pPr>
              <w:widowControl w:val="0"/>
              <w:adjustRightInd w:val="0"/>
              <w:snapToGrid w:val="0"/>
              <w:jc w:val="left"/>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kern w:val="0"/>
                <w:sz w:val="21"/>
                <w:szCs w:val="21"/>
                <w:highlight w:val="none"/>
              </w:rPr>
              <w:t>室外消火栓由市政给水管网直接供水。</w:t>
            </w:r>
          </w:p>
        </w:tc>
        <w:tc>
          <w:tcPr>
            <w:tcW w:w="318" w:type="pct"/>
            <w:noWrap w:val="0"/>
            <w:vAlign w:val="center"/>
          </w:tcPr>
          <w:p w14:paraId="0D75B922">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符合</w:t>
            </w:r>
          </w:p>
        </w:tc>
      </w:tr>
      <w:tr w14:paraId="5C20F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30465D88">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4833E532">
            <w:pPr>
              <w:pStyle w:val="5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sz w:val="21"/>
                <w:szCs w:val="21"/>
                <w:highlight w:val="none"/>
              </w:rPr>
              <w:t>建筑室外消火栓的数量应根据室外消火栓设计流量和保护半径经计算确定，保护半径不应大于150.0m，每个室外消火栓的出流量宜按10L/s～15L/s计算。</w:t>
            </w:r>
          </w:p>
        </w:tc>
        <w:tc>
          <w:tcPr>
            <w:tcW w:w="781" w:type="pct"/>
            <w:noWrap w:val="0"/>
            <w:vAlign w:val="center"/>
          </w:tcPr>
          <w:p w14:paraId="56A7D62B">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b w:val="0"/>
                <w:bCs w:val="0"/>
                <w:color w:val="000000" w:themeColor="text1"/>
                <w:kern w:val="0"/>
                <w:sz w:val="21"/>
                <w:szCs w:val="21"/>
                <w:highlight w:val="none"/>
                <w:lang w:eastAsia="zh-CN"/>
              </w:rPr>
              <w:t>GB50974-2014第</w:t>
            </w:r>
            <w:r>
              <w:rPr>
                <w:rFonts w:hint="eastAsia" w:ascii="宋体" w:hAnsi="宋体" w:eastAsia="宋体" w:cs="宋体"/>
                <w:color w:val="000000" w:themeColor="text1"/>
                <w:sz w:val="21"/>
                <w:szCs w:val="21"/>
                <w:highlight w:val="none"/>
              </w:rPr>
              <w:t>7.3.2</w:t>
            </w:r>
            <w:r>
              <w:rPr>
                <w:rFonts w:hint="eastAsia" w:ascii="宋体" w:hAnsi="宋体" w:eastAsia="宋体" w:cs="宋体"/>
                <w:b w:val="0"/>
                <w:bCs w:val="0"/>
                <w:color w:val="000000" w:themeColor="text1"/>
                <w:kern w:val="0"/>
                <w:sz w:val="21"/>
                <w:szCs w:val="21"/>
                <w:highlight w:val="none"/>
                <w:lang w:eastAsia="zh-CN"/>
              </w:rPr>
              <w:t>条</w:t>
            </w:r>
          </w:p>
        </w:tc>
        <w:tc>
          <w:tcPr>
            <w:tcW w:w="1512" w:type="pct"/>
            <w:noWrap w:val="0"/>
            <w:vAlign w:val="center"/>
          </w:tcPr>
          <w:p w14:paraId="6B1F0211">
            <w:pPr>
              <w:widowControl w:val="0"/>
              <w:adjustRightInd w:val="0"/>
              <w:snapToGrid w:val="0"/>
              <w:jc w:val="left"/>
              <w:rPr>
                <w:rFonts w:hint="eastAsia" w:ascii="宋体" w:hAnsi="宋体" w:eastAsia="宋体" w:cs="宋体"/>
                <w:bCs/>
                <w:color w:val="000000" w:themeColor="text1"/>
                <w:sz w:val="21"/>
                <w:szCs w:val="21"/>
                <w:highlight w:val="none"/>
                <w:lang w:eastAsia="zh-CN"/>
              </w:rPr>
            </w:pPr>
            <w:r>
              <w:rPr>
                <w:rFonts w:hint="eastAsia" w:ascii="宋体" w:hAnsi="宋体" w:eastAsia="宋体" w:cs="宋体"/>
                <w:bCs/>
                <w:color w:val="000000" w:themeColor="text1"/>
                <w:kern w:val="0"/>
                <w:sz w:val="21"/>
                <w:szCs w:val="21"/>
                <w:highlight w:val="none"/>
              </w:rPr>
              <w:t>室外消火栓</w:t>
            </w:r>
            <w:r>
              <w:rPr>
                <w:rFonts w:hint="eastAsia" w:ascii="宋体" w:hAnsi="宋体" w:eastAsia="宋体" w:cs="宋体"/>
                <w:color w:val="000000" w:themeColor="text1"/>
                <w:sz w:val="21"/>
                <w:szCs w:val="21"/>
                <w:highlight w:val="none"/>
              </w:rPr>
              <w:t>保护半径</w:t>
            </w:r>
            <w:r>
              <w:rPr>
                <w:rFonts w:hint="eastAsia" w:ascii="宋体" w:hAnsi="宋体" w:eastAsia="宋体" w:cs="宋体"/>
                <w:color w:val="000000" w:themeColor="text1"/>
                <w:sz w:val="21"/>
                <w:szCs w:val="21"/>
                <w:highlight w:val="none"/>
                <w:lang w:eastAsia="zh-CN"/>
              </w:rPr>
              <w:t>小于</w:t>
            </w:r>
            <w:r>
              <w:rPr>
                <w:rFonts w:hint="eastAsia" w:ascii="宋体" w:hAnsi="宋体" w:eastAsia="宋体" w:cs="宋体"/>
                <w:color w:val="000000" w:themeColor="text1"/>
                <w:sz w:val="21"/>
                <w:szCs w:val="21"/>
                <w:highlight w:val="none"/>
              </w:rPr>
              <w:t>150.0m</w:t>
            </w:r>
            <w:r>
              <w:rPr>
                <w:rFonts w:hint="eastAsia" w:ascii="宋体" w:hAnsi="宋体" w:eastAsia="宋体" w:cs="宋体"/>
                <w:color w:val="000000" w:themeColor="text1"/>
                <w:sz w:val="21"/>
                <w:szCs w:val="21"/>
                <w:highlight w:val="none"/>
                <w:lang w:eastAsia="zh-CN"/>
              </w:rPr>
              <w:t>。</w:t>
            </w:r>
          </w:p>
        </w:tc>
        <w:tc>
          <w:tcPr>
            <w:tcW w:w="318" w:type="pct"/>
            <w:noWrap w:val="0"/>
            <w:vAlign w:val="center"/>
          </w:tcPr>
          <w:p w14:paraId="4327B444">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符合</w:t>
            </w:r>
          </w:p>
        </w:tc>
      </w:tr>
      <w:tr w14:paraId="6AE01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0D2B0C4F">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16FB545D">
            <w:pPr>
              <w:pStyle w:val="5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color w:val="000000" w:themeColor="text1"/>
                <w:sz w:val="21"/>
                <w:szCs w:val="21"/>
                <w:highlight w:val="none"/>
              </w:rPr>
            </w:pPr>
            <w:r>
              <w:rPr>
                <w:rFonts w:hint="eastAsia"/>
                <w:color w:val="000000" w:themeColor="text1"/>
                <w:sz w:val="21"/>
                <w:szCs w:val="21"/>
                <w:highlight w:val="none"/>
              </w:rPr>
              <w:t>下列建筑或场所应设置室内消火栓系统：</w:t>
            </w:r>
          </w:p>
          <w:p w14:paraId="55330B60">
            <w:pPr>
              <w:pStyle w:val="5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color w:val="000000" w:themeColor="text1"/>
                <w:sz w:val="21"/>
                <w:szCs w:val="21"/>
                <w:highlight w:val="none"/>
              </w:rPr>
            </w:pPr>
            <w:r>
              <w:rPr>
                <w:rFonts w:hint="eastAsia"/>
                <w:color w:val="000000" w:themeColor="text1"/>
                <w:sz w:val="21"/>
                <w:szCs w:val="21"/>
                <w:highlight w:val="none"/>
              </w:rPr>
              <w:t>1  建筑占地面积大于300m2的厂房和仓库；</w:t>
            </w:r>
          </w:p>
          <w:p w14:paraId="43C37605">
            <w:pPr>
              <w:pStyle w:val="5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color w:val="000000" w:themeColor="text1"/>
                <w:sz w:val="21"/>
                <w:szCs w:val="21"/>
                <w:highlight w:val="none"/>
              </w:rPr>
            </w:pPr>
            <w:r>
              <w:rPr>
                <w:rFonts w:hint="eastAsia"/>
                <w:color w:val="000000" w:themeColor="text1"/>
                <w:sz w:val="21"/>
                <w:szCs w:val="21"/>
                <w:highlight w:val="none"/>
              </w:rPr>
              <w:t>2  高层公共建筑和建筑高度大于21m的住宅建筑；</w:t>
            </w:r>
          </w:p>
          <w:p w14:paraId="3AA2EC52">
            <w:pPr>
              <w:pStyle w:val="5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color w:val="000000" w:themeColor="text1"/>
                <w:sz w:val="21"/>
                <w:szCs w:val="21"/>
                <w:highlight w:val="none"/>
              </w:rPr>
            </w:pPr>
            <w:r>
              <w:rPr>
                <w:rFonts w:hint="eastAsia"/>
                <w:color w:val="000000" w:themeColor="text1"/>
                <w:sz w:val="21"/>
                <w:szCs w:val="21"/>
                <w:highlight w:val="none"/>
              </w:rPr>
              <w:t>    注：建筑高度不大于27m的住宅建筑，设置室内消火栓系统确有困难时，可只设置干式消防竖管和不带消火栓箱的DN65的室内消火栓。</w:t>
            </w:r>
          </w:p>
          <w:p w14:paraId="74B981AD">
            <w:pPr>
              <w:pStyle w:val="5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color w:val="000000" w:themeColor="text1"/>
                <w:sz w:val="21"/>
                <w:szCs w:val="21"/>
                <w:highlight w:val="none"/>
              </w:rPr>
            </w:pPr>
            <w:r>
              <w:rPr>
                <w:rFonts w:hint="eastAsia"/>
                <w:color w:val="000000" w:themeColor="text1"/>
                <w:sz w:val="21"/>
                <w:szCs w:val="21"/>
                <w:highlight w:val="none"/>
              </w:rPr>
              <w:t>3  体积大于5000m3的车站、码头、机场的候车</w:t>
            </w:r>
            <w:r>
              <w:rPr>
                <w:rFonts w:hint="eastAsia"/>
                <w:color w:val="000000" w:themeColor="text1"/>
                <w:sz w:val="21"/>
                <w:szCs w:val="21"/>
                <w:highlight w:val="none"/>
                <w:lang w:eastAsia="zh-CN"/>
              </w:rPr>
              <w:t>（</w:t>
            </w:r>
            <w:r>
              <w:rPr>
                <w:rFonts w:hint="eastAsia"/>
                <w:color w:val="000000" w:themeColor="text1"/>
                <w:sz w:val="21"/>
                <w:szCs w:val="21"/>
                <w:highlight w:val="none"/>
              </w:rPr>
              <w:t>船、机</w:t>
            </w:r>
            <w:r>
              <w:rPr>
                <w:rFonts w:hint="eastAsia"/>
                <w:color w:val="000000" w:themeColor="text1"/>
                <w:sz w:val="21"/>
                <w:szCs w:val="21"/>
                <w:highlight w:val="none"/>
                <w:lang w:eastAsia="zh-CN"/>
              </w:rPr>
              <w:t>）</w:t>
            </w:r>
            <w:r>
              <w:rPr>
                <w:rFonts w:hint="eastAsia"/>
                <w:color w:val="000000" w:themeColor="text1"/>
                <w:sz w:val="21"/>
                <w:szCs w:val="21"/>
                <w:highlight w:val="none"/>
              </w:rPr>
              <w:t>建筑、展览建筑、商店建筑、旅馆建筑、医疗建筑、老年人照料设施和图书馆建筑等单、多层建筑；</w:t>
            </w:r>
          </w:p>
          <w:p w14:paraId="30E96414">
            <w:pPr>
              <w:pStyle w:val="5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color w:val="000000" w:themeColor="text1"/>
                <w:sz w:val="21"/>
                <w:szCs w:val="21"/>
                <w:highlight w:val="none"/>
              </w:rPr>
            </w:pPr>
            <w:r>
              <w:rPr>
                <w:rFonts w:hint="eastAsia"/>
                <w:color w:val="000000" w:themeColor="text1"/>
                <w:sz w:val="21"/>
                <w:szCs w:val="21"/>
                <w:highlight w:val="none"/>
              </w:rPr>
              <w:t>4  特等、甲等剧场，超过800个座位的其他等级的剧场和电影院等以及超过1200个座位的礼堂、体育馆等单、多层建筑；</w:t>
            </w:r>
          </w:p>
          <w:p w14:paraId="36E72F9F">
            <w:pPr>
              <w:pStyle w:val="5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color w:val="000000" w:themeColor="text1"/>
                <w:sz w:val="21"/>
                <w:szCs w:val="21"/>
                <w:highlight w:val="none"/>
              </w:rPr>
            </w:pPr>
            <w:r>
              <w:rPr>
                <w:rFonts w:hint="eastAsia"/>
                <w:color w:val="000000" w:themeColor="text1"/>
                <w:sz w:val="21"/>
                <w:szCs w:val="21"/>
                <w:highlight w:val="none"/>
              </w:rPr>
              <w:t>5  建筑高度大于15m或体积大于10000m3的办公建筑、教学建筑和其他单、多层民用建筑。</w:t>
            </w:r>
          </w:p>
        </w:tc>
        <w:tc>
          <w:tcPr>
            <w:tcW w:w="781" w:type="pct"/>
            <w:noWrap w:val="0"/>
            <w:vAlign w:val="center"/>
          </w:tcPr>
          <w:p w14:paraId="46BE9720">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 w:val="0"/>
                <w:bCs w:val="0"/>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rPr>
              <w:t>GB50016-2014（2018版）</w:t>
            </w:r>
            <w:r>
              <w:rPr>
                <w:rFonts w:hint="eastAsia" w:ascii="宋体" w:hAnsi="宋体" w:eastAsia="宋体" w:cs="宋体"/>
                <w:color w:val="000000" w:themeColor="text1"/>
                <w:sz w:val="21"/>
                <w:szCs w:val="21"/>
                <w:highlight w:val="none"/>
                <w:lang w:eastAsia="zh-CN"/>
              </w:rPr>
              <w:t>第</w:t>
            </w:r>
            <w:r>
              <w:rPr>
                <w:rFonts w:hint="eastAsia"/>
                <w:color w:val="000000" w:themeColor="text1"/>
                <w:sz w:val="21"/>
                <w:szCs w:val="21"/>
                <w:highlight w:val="none"/>
              </w:rPr>
              <w:t>8.2.1</w:t>
            </w:r>
            <w:r>
              <w:rPr>
                <w:rFonts w:hint="eastAsia" w:ascii="宋体" w:hAnsi="宋体" w:eastAsia="宋体" w:cs="宋体"/>
                <w:color w:val="000000" w:themeColor="text1"/>
                <w:sz w:val="21"/>
                <w:szCs w:val="21"/>
                <w:highlight w:val="none"/>
                <w:lang w:eastAsia="zh-CN"/>
              </w:rPr>
              <w:t>条</w:t>
            </w:r>
          </w:p>
        </w:tc>
        <w:tc>
          <w:tcPr>
            <w:tcW w:w="1512" w:type="pct"/>
            <w:noWrap w:val="0"/>
            <w:vAlign w:val="center"/>
          </w:tcPr>
          <w:p w14:paraId="20E97DCB">
            <w:pPr>
              <w:widowControl w:val="0"/>
              <w:adjustRightInd w:val="0"/>
              <w:snapToGrid w:val="0"/>
              <w:jc w:val="left"/>
              <w:rPr>
                <w:rFonts w:hint="eastAsia" w:ascii="宋体" w:hAnsi="宋体" w:eastAsia="宋体" w:cs="宋体"/>
                <w:bCs/>
                <w:color w:val="000000" w:themeColor="text1"/>
                <w:kern w:val="0"/>
                <w:sz w:val="21"/>
                <w:szCs w:val="21"/>
                <w:highlight w:val="none"/>
              </w:rPr>
            </w:pPr>
            <w:r>
              <w:rPr>
                <w:rFonts w:hint="eastAsia" w:cs="宋体"/>
                <w:bCs/>
                <w:color w:val="000000" w:themeColor="text1"/>
                <w:kern w:val="0"/>
                <w:sz w:val="21"/>
                <w:szCs w:val="21"/>
                <w:highlight w:val="none"/>
                <w:lang w:eastAsia="zh-CN"/>
              </w:rPr>
              <w:t>漂染车间未设置室内消火栓。</w:t>
            </w:r>
          </w:p>
        </w:tc>
        <w:tc>
          <w:tcPr>
            <w:tcW w:w="318" w:type="pct"/>
            <w:noWrap w:val="0"/>
            <w:vAlign w:val="center"/>
          </w:tcPr>
          <w:p w14:paraId="410EE814">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cs="宋体"/>
                <w:color w:val="000000" w:themeColor="text1"/>
                <w:kern w:val="0"/>
                <w:sz w:val="21"/>
                <w:szCs w:val="21"/>
                <w:highlight w:val="none"/>
                <w:lang w:val="en-US" w:eastAsia="zh-CN" w:bidi="ar-SA"/>
              </w:rPr>
              <w:t>不符合</w:t>
            </w:r>
          </w:p>
        </w:tc>
      </w:tr>
      <w:tr w14:paraId="368CD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7B776B8F">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1159E56D">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高层住宅建筑的公共部位和公共建筑内应设置灭火器，其他住宅建筑的公共部位宜设置灭火器。</w:t>
            </w:r>
          </w:p>
          <w:p w14:paraId="1A4929B5">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厂房、仓库、储罐</w:t>
            </w:r>
            <w:r>
              <w:rPr>
                <w:rFonts w:hint="eastAsia" w:ascii="宋体" w:hAnsi="宋体" w:cs="宋体"/>
                <w:bCs/>
                <w:color w:val="000000" w:themeColor="text1"/>
                <w:sz w:val="21"/>
                <w:szCs w:val="21"/>
                <w:highlight w:val="none"/>
                <w:lang w:eastAsia="zh-CN"/>
              </w:rPr>
              <w:t>（</w:t>
            </w:r>
            <w:r>
              <w:rPr>
                <w:rFonts w:hint="eastAsia" w:ascii="宋体" w:hAnsi="宋体" w:eastAsia="宋体" w:cs="宋体"/>
                <w:bCs/>
                <w:color w:val="000000" w:themeColor="text1"/>
                <w:sz w:val="21"/>
                <w:szCs w:val="21"/>
                <w:highlight w:val="none"/>
              </w:rPr>
              <w:t>区</w:t>
            </w:r>
            <w:r>
              <w:rPr>
                <w:rFonts w:hint="eastAsia" w:ascii="宋体" w:hAnsi="宋体" w:cs="宋体"/>
                <w:bCs/>
                <w:color w:val="000000" w:themeColor="text1"/>
                <w:sz w:val="21"/>
                <w:szCs w:val="21"/>
                <w:highlight w:val="none"/>
                <w:lang w:eastAsia="zh-CN"/>
              </w:rPr>
              <w:t>）</w:t>
            </w:r>
            <w:r>
              <w:rPr>
                <w:rFonts w:hint="eastAsia" w:ascii="宋体" w:hAnsi="宋体" w:eastAsia="宋体" w:cs="宋体"/>
                <w:bCs/>
                <w:color w:val="000000" w:themeColor="text1"/>
                <w:sz w:val="21"/>
                <w:szCs w:val="21"/>
                <w:highlight w:val="none"/>
              </w:rPr>
              <w:t>和堆场，应设置灭火器。</w:t>
            </w:r>
          </w:p>
        </w:tc>
        <w:tc>
          <w:tcPr>
            <w:tcW w:w="781" w:type="pct"/>
            <w:noWrap w:val="0"/>
            <w:vAlign w:val="center"/>
          </w:tcPr>
          <w:p w14:paraId="5C54B99E">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GB50016-2014（2018版）</w:t>
            </w:r>
            <w:r>
              <w:rPr>
                <w:rFonts w:hint="eastAsia" w:ascii="宋体" w:hAnsi="宋体" w:eastAsia="宋体" w:cs="宋体"/>
                <w:color w:val="000000" w:themeColor="text1"/>
                <w:sz w:val="21"/>
                <w:szCs w:val="21"/>
                <w:highlight w:val="none"/>
                <w:lang w:eastAsia="zh-CN"/>
              </w:rPr>
              <w:t>第</w:t>
            </w:r>
            <w:r>
              <w:rPr>
                <w:rFonts w:hint="eastAsia" w:ascii="宋体" w:hAnsi="宋体" w:eastAsia="宋体" w:cs="宋体"/>
                <w:bCs/>
                <w:color w:val="000000" w:themeColor="text1"/>
                <w:sz w:val="21"/>
                <w:szCs w:val="21"/>
                <w:highlight w:val="none"/>
              </w:rPr>
              <w:t>8.1.10</w:t>
            </w:r>
            <w:r>
              <w:rPr>
                <w:rFonts w:hint="eastAsia" w:ascii="宋体" w:hAnsi="宋体" w:eastAsia="宋体" w:cs="宋体"/>
                <w:color w:val="000000" w:themeColor="text1"/>
                <w:sz w:val="21"/>
                <w:szCs w:val="21"/>
                <w:highlight w:val="none"/>
                <w:lang w:eastAsia="zh-CN"/>
              </w:rPr>
              <w:t>条</w:t>
            </w:r>
          </w:p>
        </w:tc>
        <w:tc>
          <w:tcPr>
            <w:tcW w:w="1512" w:type="pct"/>
            <w:noWrap w:val="0"/>
            <w:vAlign w:val="center"/>
          </w:tcPr>
          <w:p w14:paraId="5EA75C9A">
            <w:pPr>
              <w:widowControl w:val="0"/>
              <w:adjustRightInd w:val="0"/>
              <w:snapToGrid w:val="0"/>
              <w:jc w:val="left"/>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设置</w:t>
            </w:r>
            <w:r>
              <w:rPr>
                <w:rFonts w:hint="eastAsia" w:ascii="宋体" w:hAnsi="宋体" w:eastAsia="宋体" w:cs="宋体"/>
                <w:bCs/>
                <w:color w:val="000000" w:themeColor="text1"/>
                <w:sz w:val="21"/>
                <w:szCs w:val="21"/>
                <w:highlight w:val="none"/>
                <w:lang w:eastAsia="zh-CN"/>
              </w:rPr>
              <w:t>了</w:t>
            </w:r>
            <w:r>
              <w:rPr>
                <w:rFonts w:hint="eastAsia" w:ascii="宋体" w:hAnsi="宋体" w:eastAsia="宋体" w:cs="宋体"/>
                <w:bCs/>
                <w:color w:val="000000" w:themeColor="text1"/>
                <w:sz w:val="21"/>
                <w:szCs w:val="21"/>
                <w:highlight w:val="none"/>
              </w:rPr>
              <w:t>灭火器。</w:t>
            </w:r>
          </w:p>
        </w:tc>
        <w:tc>
          <w:tcPr>
            <w:tcW w:w="318" w:type="pct"/>
            <w:noWrap w:val="0"/>
            <w:vAlign w:val="center"/>
          </w:tcPr>
          <w:p w14:paraId="2E99BD07">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符合</w:t>
            </w:r>
          </w:p>
        </w:tc>
      </w:tr>
      <w:tr w14:paraId="76101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58559858">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09CDD78F">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灭火器的配置类型应与配置场所的火灾种类和危险等级相适应，并应符合下列规定：</w:t>
            </w:r>
          </w:p>
          <w:p w14:paraId="7502E017">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1A类火灾场所应选择同时适用于A类、E类火灾的灭火器。</w:t>
            </w:r>
          </w:p>
          <w:p w14:paraId="240C497F">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2B类火灾场所应选择适用于B类火灾的灭火器。B类火灾场所存在水溶性可燃液体</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极性溶剂</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且选择水基型灭火器时，应选用抗溶性的灭火器。</w:t>
            </w:r>
          </w:p>
          <w:p w14:paraId="2D7DFA2C">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3C类火灾场所应选择适用于C类火灾的灭火器。</w:t>
            </w:r>
          </w:p>
          <w:p w14:paraId="7CA97F72">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4D类火灾场所应根据金属的种类、物态及其特性选择适用于特定金属的专用灭火器。</w:t>
            </w:r>
          </w:p>
          <w:p w14:paraId="25C0BDA2">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5E类火灾场所应选择适用于E类火灾的灭火器。带电设备电压超过1kV且灭火时不能断电的场所不应使用灭火器带电扑救。</w:t>
            </w:r>
          </w:p>
          <w:p w14:paraId="0A52732E">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6F类火灾场所应选择适用于E类、F类火灾的灭火器。</w:t>
            </w:r>
          </w:p>
          <w:p w14:paraId="6722A9CC">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7当配置场所存在多种火灾时，应选用能同时适用扑救该场所所有种类火灾的灭火器。</w:t>
            </w:r>
          </w:p>
        </w:tc>
        <w:tc>
          <w:tcPr>
            <w:tcW w:w="781" w:type="pct"/>
            <w:noWrap w:val="0"/>
            <w:vAlign w:val="center"/>
          </w:tcPr>
          <w:p w14:paraId="25F5501B">
            <w:pPr>
              <w:widowControl w:val="0"/>
              <w:adjustRightInd w:val="0"/>
              <w:snapToGrid w:val="0"/>
              <w:spacing w:after="0"/>
              <w:jc w:val="center"/>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GB55036-2022</w:t>
            </w:r>
            <w:r>
              <w:rPr>
                <w:rFonts w:hint="eastAsia" w:ascii="宋体" w:hAnsi="宋体" w:eastAsia="宋体" w:cs="宋体"/>
                <w:bCs/>
                <w:color w:val="000000" w:themeColor="text1"/>
                <w:kern w:val="0"/>
                <w:sz w:val="21"/>
                <w:szCs w:val="21"/>
                <w:highlight w:val="none"/>
                <w:lang w:eastAsia="zh-CN"/>
              </w:rPr>
              <w:t>第</w:t>
            </w:r>
            <w:r>
              <w:rPr>
                <w:rFonts w:hint="eastAsia" w:ascii="宋体" w:hAnsi="宋体" w:eastAsia="宋体" w:cs="宋体"/>
                <w:bCs/>
                <w:color w:val="000000" w:themeColor="text1"/>
                <w:kern w:val="0"/>
                <w:sz w:val="21"/>
                <w:szCs w:val="21"/>
                <w:highlight w:val="none"/>
              </w:rPr>
              <w:t>10.0.1</w:t>
            </w:r>
            <w:r>
              <w:rPr>
                <w:rFonts w:hint="eastAsia" w:ascii="宋体" w:hAnsi="宋体" w:eastAsia="宋体" w:cs="宋体"/>
                <w:bCs/>
                <w:color w:val="000000" w:themeColor="text1"/>
                <w:kern w:val="0"/>
                <w:sz w:val="21"/>
                <w:szCs w:val="21"/>
                <w:highlight w:val="none"/>
                <w:lang w:eastAsia="zh-CN"/>
              </w:rPr>
              <w:t>条</w:t>
            </w:r>
          </w:p>
        </w:tc>
        <w:tc>
          <w:tcPr>
            <w:tcW w:w="1512" w:type="pct"/>
            <w:noWrap w:val="0"/>
            <w:vAlign w:val="center"/>
          </w:tcPr>
          <w:p w14:paraId="30F13A62">
            <w:pPr>
              <w:widowControl w:val="0"/>
              <w:adjustRightInd w:val="0"/>
              <w:snapToGrid w:val="0"/>
              <w:jc w:val="left"/>
              <w:rPr>
                <w:rFonts w:hint="eastAsia" w:ascii="宋体" w:hAnsi="宋体" w:eastAsia="宋体" w:cs="宋体"/>
                <w:bCs/>
                <w:color w:val="000000" w:themeColor="text1"/>
                <w:kern w:val="0"/>
                <w:sz w:val="21"/>
                <w:szCs w:val="21"/>
                <w:highlight w:val="none"/>
                <w:lang w:eastAsia="zh-CN"/>
              </w:rPr>
            </w:pPr>
            <w:r>
              <w:rPr>
                <w:rFonts w:hint="eastAsia" w:ascii="宋体" w:hAnsi="宋体" w:eastAsia="宋体" w:cs="宋体"/>
                <w:bCs/>
                <w:color w:val="000000" w:themeColor="text1"/>
                <w:kern w:val="0"/>
                <w:sz w:val="21"/>
                <w:szCs w:val="21"/>
                <w:highlight w:val="none"/>
              </w:rPr>
              <w:t>配置</w:t>
            </w:r>
            <w:r>
              <w:rPr>
                <w:rFonts w:hint="eastAsia" w:ascii="宋体" w:hAnsi="宋体" w:eastAsia="宋体" w:cs="宋体"/>
                <w:bCs/>
                <w:color w:val="000000" w:themeColor="text1"/>
                <w:kern w:val="0"/>
                <w:sz w:val="21"/>
                <w:szCs w:val="21"/>
                <w:highlight w:val="none"/>
                <w:lang w:eastAsia="zh-CN"/>
              </w:rPr>
              <w:t>了干粉</w:t>
            </w:r>
            <w:r>
              <w:rPr>
                <w:rFonts w:hint="eastAsia" w:ascii="宋体" w:hAnsi="宋体" w:eastAsia="宋体" w:cs="宋体"/>
                <w:bCs/>
                <w:color w:val="000000" w:themeColor="text1"/>
                <w:kern w:val="0"/>
                <w:sz w:val="21"/>
                <w:szCs w:val="21"/>
                <w:highlight w:val="none"/>
              </w:rPr>
              <w:t>灭火器</w:t>
            </w:r>
            <w:r>
              <w:rPr>
                <w:rFonts w:hint="eastAsia" w:ascii="宋体" w:hAnsi="宋体" w:eastAsia="宋体" w:cs="宋体"/>
                <w:bCs/>
                <w:color w:val="000000" w:themeColor="text1"/>
                <w:kern w:val="0"/>
                <w:sz w:val="21"/>
                <w:szCs w:val="21"/>
                <w:highlight w:val="none"/>
                <w:lang w:eastAsia="zh-CN"/>
              </w:rPr>
              <w:t>。</w:t>
            </w:r>
          </w:p>
        </w:tc>
        <w:tc>
          <w:tcPr>
            <w:tcW w:w="318" w:type="pct"/>
            <w:noWrap w:val="0"/>
            <w:vAlign w:val="center"/>
          </w:tcPr>
          <w:p w14:paraId="555BF042">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符合</w:t>
            </w:r>
          </w:p>
        </w:tc>
      </w:tr>
      <w:tr w14:paraId="1F740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0B96F4AA">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31706A56">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灭火器不应设置在可能超出其使用温度范围的场所，并应采取与设置场所环境条件相适应的防护措施。</w:t>
            </w:r>
          </w:p>
        </w:tc>
        <w:tc>
          <w:tcPr>
            <w:tcW w:w="781" w:type="pct"/>
            <w:noWrap w:val="0"/>
            <w:vAlign w:val="center"/>
          </w:tcPr>
          <w:p w14:paraId="52A0446A">
            <w:pPr>
              <w:widowControl w:val="0"/>
              <w:adjustRightInd w:val="0"/>
              <w:snapToGrid w:val="0"/>
              <w:spacing w:after="0"/>
              <w:jc w:val="center"/>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GB55036-2022</w:t>
            </w:r>
            <w:r>
              <w:rPr>
                <w:rFonts w:hint="eastAsia" w:ascii="宋体" w:hAnsi="宋体" w:eastAsia="宋体" w:cs="宋体"/>
                <w:bCs/>
                <w:color w:val="000000" w:themeColor="text1"/>
                <w:kern w:val="0"/>
                <w:sz w:val="21"/>
                <w:szCs w:val="21"/>
                <w:highlight w:val="none"/>
                <w:lang w:eastAsia="zh-CN"/>
              </w:rPr>
              <w:t>第</w:t>
            </w:r>
            <w:r>
              <w:rPr>
                <w:rFonts w:hint="eastAsia" w:ascii="宋体" w:hAnsi="宋体" w:eastAsia="宋体" w:cs="宋体"/>
                <w:bCs/>
                <w:color w:val="000000" w:themeColor="text1"/>
                <w:kern w:val="0"/>
                <w:sz w:val="21"/>
                <w:szCs w:val="21"/>
                <w:highlight w:val="none"/>
              </w:rPr>
              <w:t>10.0.5</w:t>
            </w:r>
            <w:r>
              <w:rPr>
                <w:rFonts w:hint="eastAsia" w:ascii="宋体" w:hAnsi="宋体" w:eastAsia="宋体" w:cs="宋体"/>
                <w:bCs/>
                <w:color w:val="000000" w:themeColor="text1"/>
                <w:kern w:val="0"/>
                <w:sz w:val="21"/>
                <w:szCs w:val="21"/>
                <w:highlight w:val="none"/>
                <w:lang w:eastAsia="zh-CN"/>
              </w:rPr>
              <w:t>条</w:t>
            </w:r>
          </w:p>
        </w:tc>
        <w:tc>
          <w:tcPr>
            <w:tcW w:w="1512" w:type="pct"/>
            <w:noWrap w:val="0"/>
            <w:vAlign w:val="center"/>
          </w:tcPr>
          <w:p w14:paraId="1196ECDC">
            <w:pPr>
              <w:widowControl w:val="0"/>
              <w:adjustRightInd w:val="0"/>
              <w:snapToGrid w:val="0"/>
              <w:jc w:val="left"/>
              <w:rPr>
                <w:rFonts w:hint="eastAsia" w:ascii="宋体" w:hAnsi="宋体" w:eastAsia="宋体" w:cs="宋体"/>
                <w:bCs/>
                <w:color w:val="000000" w:themeColor="text1"/>
                <w:kern w:val="0"/>
                <w:sz w:val="21"/>
                <w:szCs w:val="21"/>
                <w:highlight w:val="none"/>
                <w:lang w:eastAsia="zh-CN"/>
              </w:rPr>
            </w:pPr>
            <w:r>
              <w:rPr>
                <w:rFonts w:hint="eastAsia" w:ascii="宋体" w:hAnsi="宋体" w:eastAsia="宋体" w:cs="宋体"/>
                <w:bCs/>
                <w:color w:val="000000" w:themeColor="text1"/>
                <w:kern w:val="0"/>
                <w:sz w:val="21"/>
                <w:szCs w:val="21"/>
                <w:highlight w:val="none"/>
              </w:rPr>
              <w:t>灭火器</w:t>
            </w:r>
            <w:r>
              <w:rPr>
                <w:rFonts w:hint="eastAsia" w:ascii="宋体" w:hAnsi="宋体" w:eastAsia="宋体" w:cs="宋体"/>
                <w:bCs/>
                <w:color w:val="000000" w:themeColor="text1"/>
                <w:kern w:val="0"/>
                <w:sz w:val="21"/>
                <w:szCs w:val="21"/>
                <w:highlight w:val="none"/>
                <w:lang w:eastAsia="zh-CN"/>
              </w:rPr>
              <w:t>靠墙</w:t>
            </w:r>
            <w:r>
              <w:rPr>
                <w:rFonts w:hint="eastAsia" w:ascii="宋体" w:hAnsi="宋体" w:eastAsia="宋体" w:cs="宋体"/>
                <w:bCs/>
                <w:color w:val="000000" w:themeColor="text1"/>
                <w:kern w:val="0"/>
                <w:sz w:val="21"/>
                <w:szCs w:val="21"/>
                <w:highlight w:val="none"/>
              </w:rPr>
              <w:t>设置</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sz w:val="21"/>
                <w:szCs w:val="21"/>
                <w:highlight w:val="none"/>
                <w:lang w:eastAsia="zh-CN"/>
              </w:rPr>
              <w:t>放置</w:t>
            </w:r>
            <w:r>
              <w:rPr>
                <w:rFonts w:hint="eastAsia" w:ascii="宋体" w:hAnsi="宋体" w:eastAsia="宋体" w:cs="宋体"/>
                <w:bCs/>
                <w:color w:val="000000" w:themeColor="text1"/>
                <w:kern w:val="0"/>
                <w:sz w:val="21"/>
                <w:szCs w:val="21"/>
                <w:highlight w:val="none"/>
              </w:rPr>
              <w:t>在</w:t>
            </w:r>
            <w:r>
              <w:rPr>
                <w:rFonts w:hint="eastAsia" w:ascii="宋体" w:hAnsi="宋体" w:eastAsia="宋体" w:cs="宋体"/>
                <w:bCs/>
                <w:color w:val="000000" w:themeColor="text1"/>
                <w:sz w:val="21"/>
                <w:szCs w:val="21"/>
                <w:highlight w:val="none"/>
                <w:lang w:eastAsia="zh-CN"/>
              </w:rPr>
              <w:t>灭火器箱内</w:t>
            </w:r>
            <w:r>
              <w:rPr>
                <w:rFonts w:hint="eastAsia" w:ascii="宋体" w:hAnsi="宋体" w:eastAsia="宋体" w:cs="宋体"/>
                <w:bCs/>
                <w:color w:val="000000" w:themeColor="text1"/>
                <w:kern w:val="0"/>
                <w:sz w:val="21"/>
                <w:szCs w:val="21"/>
                <w:highlight w:val="none"/>
                <w:lang w:eastAsia="zh-CN"/>
              </w:rPr>
              <w:t>。</w:t>
            </w:r>
          </w:p>
        </w:tc>
        <w:tc>
          <w:tcPr>
            <w:tcW w:w="318" w:type="pct"/>
            <w:noWrap w:val="0"/>
            <w:vAlign w:val="center"/>
          </w:tcPr>
          <w:p w14:paraId="1EFFAF68">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符合</w:t>
            </w:r>
          </w:p>
        </w:tc>
      </w:tr>
      <w:tr w14:paraId="5B06E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0722C04C">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21CA1659">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灭火器应定期维护、维修和报废。灭火器报废后，应按照等效替代的原则更换。</w:t>
            </w:r>
          </w:p>
        </w:tc>
        <w:tc>
          <w:tcPr>
            <w:tcW w:w="781" w:type="pct"/>
            <w:noWrap w:val="0"/>
            <w:vAlign w:val="center"/>
          </w:tcPr>
          <w:p w14:paraId="6D71039C">
            <w:pPr>
              <w:widowControl w:val="0"/>
              <w:adjustRightInd w:val="0"/>
              <w:snapToGrid w:val="0"/>
              <w:spacing w:after="0"/>
              <w:jc w:val="center"/>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GB55036-2022</w:t>
            </w:r>
            <w:r>
              <w:rPr>
                <w:rFonts w:hint="eastAsia" w:ascii="宋体" w:hAnsi="宋体" w:eastAsia="宋体" w:cs="宋体"/>
                <w:bCs/>
                <w:color w:val="000000" w:themeColor="text1"/>
                <w:kern w:val="0"/>
                <w:sz w:val="21"/>
                <w:szCs w:val="21"/>
                <w:highlight w:val="none"/>
                <w:lang w:eastAsia="zh-CN"/>
              </w:rPr>
              <w:t>第</w:t>
            </w:r>
            <w:r>
              <w:rPr>
                <w:rFonts w:hint="eastAsia" w:ascii="宋体" w:hAnsi="宋体" w:eastAsia="宋体" w:cs="宋体"/>
                <w:bCs/>
                <w:color w:val="000000" w:themeColor="text1"/>
                <w:kern w:val="0"/>
                <w:sz w:val="21"/>
                <w:szCs w:val="21"/>
                <w:highlight w:val="none"/>
              </w:rPr>
              <w:t>10.0.7</w:t>
            </w:r>
            <w:r>
              <w:rPr>
                <w:rFonts w:hint="eastAsia" w:ascii="宋体" w:hAnsi="宋体" w:eastAsia="宋体" w:cs="宋体"/>
                <w:bCs/>
                <w:color w:val="000000" w:themeColor="text1"/>
                <w:kern w:val="0"/>
                <w:sz w:val="21"/>
                <w:szCs w:val="21"/>
                <w:highlight w:val="none"/>
                <w:lang w:eastAsia="zh-CN"/>
              </w:rPr>
              <w:t>条</w:t>
            </w:r>
          </w:p>
        </w:tc>
        <w:tc>
          <w:tcPr>
            <w:tcW w:w="1512" w:type="pct"/>
            <w:noWrap w:val="0"/>
            <w:vAlign w:val="center"/>
          </w:tcPr>
          <w:p w14:paraId="130EC442">
            <w:pPr>
              <w:widowControl w:val="0"/>
              <w:adjustRightInd w:val="0"/>
              <w:snapToGrid w:val="0"/>
              <w:jc w:val="left"/>
              <w:rPr>
                <w:rFonts w:hint="eastAsia" w:ascii="宋体" w:hAnsi="宋体" w:eastAsia="宋体" w:cs="宋体"/>
                <w:bCs/>
                <w:color w:val="000000" w:themeColor="text1"/>
                <w:kern w:val="0"/>
                <w:sz w:val="21"/>
                <w:szCs w:val="21"/>
                <w:highlight w:val="none"/>
                <w:lang w:eastAsia="zh-CN"/>
              </w:rPr>
            </w:pPr>
            <w:r>
              <w:rPr>
                <w:rFonts w:hint="eastAsia" w:ascii="宋体" w:hAnsi="宋体" w:eastAsia="宋体" w:cs="宋体"/>
                <w:bCs/>
                <w:color w:val="000000" w:themeColor="text1"/>
                <w:kern w:val="0"/>
                <w:sz w:val="21"/>
                <w:szCs w:val="21"/>
                <w:highlight w:val="none"/>
              </w:rPr>
              <w:t>灭火器定期维护、维修</w:t>
            </w:r>
            <w:r>
              <w:rPr>
                <w:rFonts w:hint="eastAsia" w:ascii="宋体" w:hAnsi="宋体" w:eastAsia="宋体" w:cs="宋体"/>
                <w:bCs/>
                <w:color w:val="000000" w:themeColor="text1"/>
                <w:kern w:val="0"/>
                <w:sz w:val="21"/>
                <w:szCs w:val="21"/>
                <w:highlight w:val="none"/>
                <w:lang w:eastAsia="zh-CN"/>
              </w:rPr>
              <w:t>。</w:t>
            </w:r>
          </w:p>
        </w:tc>
        <w:tc>
          <w:tcPr>
            <w:tcW w:w="318" w:type="pct"/>
            <w:noWrap w:val="0"/>
            <w:vAlign w:val="center"/>
          </w:tcPr>
          <w:p w14:paraId="25D7E532">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符合</w:t>
            </w:r>
          </w:p>
        </w:tc>
      </w:tr>
      <w:tr w14:paraId="29221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3C03ACF5">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54ADA76E">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符合下列情形之一的灭火器应报废：</w:t>
            </w:r>
          </w:p>
          <w:p w14:paraId="51DD581A">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1筒体锈蚀面积大于或等于筒体总表面积的1/3</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表面有凹坑；</w:t>
            </w:r>
          </w:p>
          <w:p w14:paraId="334829CE">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2筒体明显变形，机械损伤严重；</w:t>
            </w:r>
          </w:p>
          <w:p w14:paraId="669EC71C">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3器头存在裂纹、无泄压机构；</w:t>
            </w:r>
          </w:p>
          <w:p w14:paraId="47F5FB96">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4存在筒体为平底等结构不合理现象；</w:t>
            </w:r>
          </w:p>
          <w:p w14:paraId="47C23983">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5没有间歇喷射机构的手提式灭火器；</w:t>
            </w:r>
          </w:p>
          <w:p w14:paraId="5D0CB79C">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6不能确认生产单位名称和出厂时间，包括铭牌脱落，铭牌模糊、不能分辨生产单位名称，出厂时间钢印无法识别等；</w:t>
            </w:r>
          </w:p>
          <w:p w14:paraId="48A8A082">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7筒体有锡焊、铜焊或补缀等修补痕迹；</w:t>
            </w:r>
          </w:p>
          <w:p w14:paraId="5EF78E9C">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8被火烧过；</w:t>
            </w:r>
          </w:p>
          <w:p w14:paraId="18F50354">
            <w:pPr>
              <w:widowControl w:val="0"/>
              <w:adjustRightInd w:val="0"/>
              <w:snapToGrid w:val="0"/>
              <w:spacing w:after="0"/>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9出厂时间达到或超过表10.0.8规定的最大报废期限。</w:t>
            </w:r>
          </w:p>
        </w:tc>
        <w:tc>
          <w:tcPr>
            <w:tcW w:w="781" w:type="pct"/>
            <w:noWrap w:val="0"/>
            <w:vAlign w:val="center"/>
          </w:tcPr>
          <w:p w14:paraId="29181998">
            <w:pPr>
              <w:widowControl w:val="0"/>
              <w:adjustRightInd w:val="0"/>
              <w:snapToGrid w:val="0"/>
              <w:spacing w:after="0"/>
              <w:jc w:val="center"/>
              <w:rPr>
                <w:rFonts w:hint="eastAsia" w:ascii="宋体" w:hAnsi="宋体" w:eastAsia="宋体" w:cs="宋体"/>
                <w:bCs/>
                <w:color w:val="000000" w:themeColor="text1"/>
                <w:kern w:val="0"/>
                <w:sz w:val="21"/>
                <w:szCs w:val="21"/>
                <w:highlight w:val="none"/>
              </w:rPr>
            </w:pPr>
            <w:r>
              <w:rPr>
                <w:rFonts w:hint="eastAsia" w:ascii="宋体" w:hAnsi="宋体" w:eastAsia="宋体" w:cs="宋体"/>
                <w:bCs/>
                <w:color w:val="000000" w:themeColor="text1"/>
                <w:kern w:val="0"/>
                <w:sz w:val="21"/>
                <w:szCs w:val="21"/>
                <w:highlight w:val="none"/>
              </w:rPr>
              <w:t>GB55036-2022</w:t>
            </w:r>
            <w:r>
              <w:rPr>
                <w:rFonts w:hint="eastAsia" w:ascii="宋体" w:hAnsi="宋体" w:eastAsia="宋体" w:cs="宋体"/>
                <w:bCs/>
                <w:color w:val="000000" w:themeColor="text1"/>
                <w:kern w:val="0"/>
                <w:sz w:val="21"/>
                <w:szCs w:val="21"/>
                <w:highlight w:val="none"/>
                <w:lang w:eastAsia="zh-CN"/>
              </w:rPr>
              <w:t>第</w:t>
            </w:r>
            <w:r>
              <w:rPr>
                <w:rFonts w:hint="eastAsia" w:ascii="宋体" w:hAnsi="宋体" w:eastAsia="宋体" w:cs="宋体"/>
                <w:bCs/>
                <w:color w:val="000000" w:themeColor="text1"/>
                <w:kern w:val="0"/>
                <w:sz w:val="21"/>
                <w:szCs w:val="21"/>
                <w:highlight w:val="none"/>
              </w:rPr>
              <w:t>10.0.8</w:t>
            </w:r>
            <w:r>
              <w:rPr>
                <w:rFonts w:hint="eastAsia" w:ascii="宋体" w:hAnsi="宋体" w:eastAsia="宋体" w:cs="宋体"/>
                <w:bCs/>
                <w:color w:val="000000" w:themeColor="text1"/>
                <w:kern w:val="0"/>
                <w:sz w:val="21"/>
                <w:szCs w:val="21"/>
                <w:highlight w:val="none"/>
                <w:lang w:eastAsia="zh-CN"/>
              </w:rPr>
              <w:t>条</w:t>
            </w:r>
          </w:p>
        </w:tc>
        <w:tc>
          <w:tcPr>
            <w:tcW w:w="1512" w:type="pct"/>
            <w:noWrap w:val="0"/>
            <w:vAlign w:val="center"/>
          </w:tcPr>
          <w:p w14:paraId="06E08C08">
            <w:pPr>
              <w:widowControl w:val="0"/>
              <w:adjustRightInd w:val="0"/>
              <w:snapToGrid w:val="0"/>
              <w:jc w:val="left"/>
              <w:rPr>
                <w:rFonts w:hint="eastAsia" w:ascii="宋体" w:hAnsi="宋体" w:eastAsia="宋体" w:cs="宋体"/>
                <w:bCs/>
                <w:color w:val="000000" w:themeColor="text1"/>
                <w:kern w:val="0"/>
                <w:sz w:val="21"/>
                <w:szCs w:val="21"/>
                <w:highlight w:val="none"/>
                <w:lang w:eastAsia="zh-CN"/>
              </w:rPr>
            </w:pPr>
            <w:r>
              <w:rPr>
                <w:rFonts w:hint="eastAsia" w:ascii="宋体" w:hAnsi="宋体" w:eastAsia="宋体" w:cs="宋体"/>
                <w:bCs/>
                <w:color w:val="000000" w:themeColor="text1"/>
                <w:kern w:val="0"/>
                <w:sz w:val="21"/>
                <w:szCs w:val="21"/>
                <w:highlight w:val="none"/>
              </w:rPr>
              <w:t>灭火器</w:t>
            </w:r>
            <w:r>
              <w:rPr>
                <w:rFonts w:hint="eastAsia" w:ascii="宋体" w:hAnsi="宋体" w:eastAsia="宋体" w:cs="宋体"/>
                <w:bCs/>
                <w:color w:val="000000" w:themeColor="text1"/>
                <w:kern w:val="0"/>
                <w:sz w:val="21"/>
                <w:szCs w:val="21"/>
                <w:highlight w:val="none"/>
                <w:lang w:eastAsia="zh-CN"/>
              </w:rPr>
              <w:t>无左项</w:t>
            </w:r>
            <w:r>
              <w:rPr>
                <w:rFonts w:hint="eastAsia" w:ascii="宋体" w:hAnsi="宋体" w:eastAsia="宋体" w:cs="宋体"/>
                <w:bCs/>
                <w:color w:val="000000" w:themeColor="text1"/>
                <w:kern w:val="0"/>
                <w:sz w:val="21"/>
                <w:szCs w:val="21"/>
                <w:highlight w:val="none"/>
              </w:rPr>
              <w:t>情形之一</w:t>
            </w:r>
            <w:r>
              <w:rPr>
                <w:rFonts w:hint="eastAsia" w:ascii="宋体" w:hAnsi="宋体" w:eastAsia="宋体" w:cs="宋体"/>
                <w:bCs/>
                <w:color w:val="000000" w:themeColor="text1"/>
                <w:kern w:val="0"/>
                <w:sz w:val="21"/>
                <w:szCs w:val="21"/>
                <w:highlight w:val="none"/>
                <w:lang w:eastAsia="zh-CN"/>
              </w:rPr>
              <w:t>。</w:t>
            </w:r>
          </w:p>
        </w:tc>
        <w:tc>
          <w:tcPr>
            <w:tcW w:w="318" w:type="pct"/>
            <w:noWrap w:val="0"/>
            <w:vAlign w:val="center"/>
          </w:tcPr>
          <w:p w14:paraId="52F0C5E9">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符合</w:t>
            </w:r>
          </w:p>
        </w:tc>
      </w:tr>
      <w:tr w14:paraId="59C4B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0A69B7C4">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128E55F4">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bCs/>
                <w:color w:val="000000" w:themeColor="text1"/>
                <w:sz w:val="21"/>
                <w:szCs w:val="21"/>
                <w:highlight w:val="none"/>
              </w:rPr>
              <w:t>灭火器的摆放应稳固，其铭牌应朝外。手提式灭火器宜设置在灭火器箱内或挂钩、托架上，灭火器箱不得上锁。</w:t>
            </w:r>
          </w:p>
        </w:tc>
        <w:tc>
          <w:tcPr>
            <w:tcW w:w="781" w:type="pct"/>
            <w:noWrap w:val="0"/>
            <w:vAlign w:val="center"/>
          </w:tcPr>
          <w:p w14:paraId="1273CB6D">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GB50140-2005</w:t>
            </w:r>
          </w:p>
          <w:p w14:paraId="154236CD">
            <w:pPr>
              <w:widowControl w:val="0"/>
              <w:adjustRightInd w:val="0"/>
              <w:snapToGrid w:val="0"/>
              <w:jc w:val="center"/>
              <w:rPr>
                <w:rFonts w:hint="eastAsia" w:ascii="宋体" w:hAnsi="宋体" w:eastAsia="宋体" w:cs="宋体"/>
                <w:color w:val="000000" w:themeColor="text1"/>
                <w:spacing w:val="0"/>
                <w:sz w:val="21"/>
                <w:szCs w:val="21"/>
                <w:highlight w:val="none"/>
              </w:rPr>
            </w:pPr>
            <w:r>
              <w:rPr>
                <w:rFonts w:hint="eastAsia" w:ascii="宋体" w:hAnsi="宋体" w:eastAsia="宋体" w:cs="宋体"/>
                <w:color w:val="000000" w:themeColor="text1"/>
                <w:sz w:val="21"/>
                <w:szCs w:val="21"/>
                <w:highlight w:val="none"/>
              </w:rPr>
              <w:t>第5.1.3条</w:t>
            </w:r>
          </w:p>
        </w:tc>
        <w:tc>
          <w:tcPr>
            <w:tcW w:w="1512" w:type="pct"/>
            <w:noWrap w:val="0"/>
            <w:vAlign w:val="center"/>
          </w:tcPr>
          <w:p w14:paraId="191FA480">
            <w:pPr>
              <w:widowControl w:val="0"/>
              <w:adjustRightInd w:val="0"/>
              <w:snapToGrid w:val="0"/>
              <w:jc w:val="left"/>
              <w:rPr>
                <w:rFonts w:hint="eastAsia" w:ascii="宋体" w:hAnsi="宋体" w:eastAsia="宋体" w:cs="宋体"/>
                <w:color w:val="000000" w:themeColor="text1"/>
                <w:sz w:val="21"/>
                <w:szCs w:val="21"/>
                <w:highlight w:val="none"/>
                <w:lang w:eastAsia="zh-CN"/>
              </w:rPr>
            </w:pPr>
            <w:r>
              <w:rPr>
                <w:rFonts w:hint="eastAsia" w:ascii="宋体" w:hAnsi="宋体" w:eastAsia="宋体" w:cs="宋体"/>
                <w:bCs/>
                <w:color w:val="000000" w:themeColor="text1"/>
                <w:sz w:val="21"/>
                <w:szCs w:val="21"/>
                <w:highlight w:val="none"/>
              </w:rPr>
              <w:t>摆放稳固，其铭牌朝外。手提式灭火器设置在灭火器箱内</w:t>
            </w:r>
            <w:r>
              <w:rPr>
                <w:rFonts w:hint="eastAsia" w:ascii="宋体" w:hAnsi="宋体" w:eastAsia="宋体" w:cs="宋体"/>
                <w:bCs/>
                <w:color w:val="000000" w:themeColor="text1"/>
                <w:sz w:val="21"/>
                <w:szCs w:val="21"/>
                <w:highlight w:val="none"/>
                <w:lang w:eastAsia="zh-CN"/>
              </w:rPr>
              <w:t>。</w:t>
            </w:r>
          </w:p>
        </w:tc>
        <w:tc>
          <w:tcPr>
            <w:tcW w:w="318" w:type="pct"/>
            <w:noWrap w:val="0"/>
            <w:vAlign w:val="center"/>
          </w:tcPr>
          <w:p w14:paraId="49860DCC">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7FA74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38DEC420">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0F1FFB42">
            <w:pPr>
              <w:widowControl w:val="0"/>
              <w:adjustRightInd w:val="0"/>
              <w:snapToGrid w:val="0"/>
              <w:rPr>
                <w:rFonts w:hint="eastAsia" w:ascii="宋体" w:hAnsi="宋体" w:eastAsia="宋体" w:cs="宋体"/>
                <w:color w:val="000000" w:themeColor="text1"/>
                <w:sz w:val="21"/>
                <w:szCs w:val="21"/>
                <w:highlight w:val="none"/>
              </w:rPr>
            </w:pPr>
            <w:r>
              <w:rPr>
                <w:rFonts w:hint="eastAsia" w:ascii="宋体" w:hAnsi="宋体" w:eastAsia="宋体" w:cs="宋体"/>
                <w:bCs/>
                <w:color w:val="000000" w:themeColor="text1"/>
                <w:sz w:val="21"/>
                <w:szCs w:val="21"/>
                <w:highlight w:val="none"/>
              </w:rPr>
              <w:t>灭火器不宜设置在潮湿或强腐蚀性的地点。当必须设置时，应有相应的保护措施。灭火器设置在室外时，应有相应的保护措施。</w:t>
            </w:r>
          </w:p>
        </w:tc>
        <w:tc>
          <w:tcPr>
            <w:tcW w:w="781" w:type="pct"/>
            <w:noWrap w:val="0"/>
            <w:vAlign w:val="center"/>
          </w:tcPr>
          <w:p w14:paraId="1D106D0E">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GB50140-2005</w:t>
            </w:r>
          </w:p>
          <w:p w14:paraId="3FC0739F">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第5.1.4条</w:t>
            </w:r>
          </w:p>
        </w:tc>
        <w:tc>
          <w:tcPr>
            <w:tcW w:w="1512" w:type="pct"/>
            <w:noWrap w:val="0"/>
            <w:vAlign w:val="center"/>
          </w:tcPr>
          <w:p w14:paraId="7B63BF3A">
            <w:pPr>
              <w:widowControl w:val="0"/>
              <w:adjustRightInd w:val="0"/>
              <w:snapToGrid w:val="0"/>
              <w:jc w:val="left"/>
              <w:rPr>
                <w:rFonts w:hint="eastAsia" w:ascii="宋体" w:hAnsi="宋体" w:eastAsia="宋体" w:cs="宋体"/>
                <w:color w:val="000000" w:themeColor="text1"/>
                <w:sz w:val="21"/>
                <w:szCs w:val="21"/>
                <w:highlight w:val="none"/>
                <w:lang w:eastAsia="zh-CN"/>
              </w:rPr>
            </w:pPr>
            <w:r>
              <w:rPr>
                <w:rFonts w:hint="eastAsia" w:ascii="宋体" w:hAnsi="宋体" w:eastAsia="宋体" w:cs="宋体"/>
                <w:bCs/>
                <w:color w:val="000000" w:themeColor="text1"/>
                <w:sz w:val="21"/>
                <w:szCs w:val="21"/>
                <w:highlight w:val="none"/>
              </w:rPr>
              <w:t>室外灭火器</w:t>
            </w:r>
            <w:r>
              <w:rPr>
                <w:rFonts w:hint="eastAsia" w:ascii="宋体" w:hAnsi="宋体" w:eastAsia="宋体" w:cs="宋体"/>
                <w:bCs/>
                <w:color w:val="000000" w:themeColor="text1"/>
                <w:sz w:val="21"/>
                <w:szCs w:val="21"/>
                <w:highlight w:val="none"/>
                <w:lang w:eastAsia="zh-CN"/>
              </w:rPr>
              <w:t>放置在灭火器箱内。</w:t>
            </w:r>
          </w:p>
        </w:tc>
        <w:tc>
          <w:tcPr>
            <w:tcW w:w="318" w:type="pct"/>
            <w:noWrap w:val="0"/>
            <w:vAlign w:val="center"/>
          </w:tcPr>
          <w:p w14:paraId="652E7AF0">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r w14:paraId="268A2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82" w:type="pct"/>
            <w:noWrap w:val="0"/>
            <w:vAlign w:val="center"/>
          </w:tcPr>
          <w:p w14:paraId="0E495AA3">
            <w:pPr>
              <w:widowControl w:val="0"/>
              <w:numPr>
                <w:ilvl w:val="0"/>
                <w:numId w:val="62"/>
              </w:numPr>
              <w:adjustRightInd w:val="0"/>
              <w:snapToGrid w:val="0"/>
              <w:jc w:val="center"/>
              <w:rPr>
                <w:rFonts w:hint="eastAsia" w:ascii="宋体" w:hAnsi="宋体" w:eastAsia="宋体" w:cs="宋体"/>
                <w:color w:val="000000" w:themeColor="text1"/>
                <w:sz w:val="21"/>
                <w:szCs w:val="21"/>
                <w:highlight w:val="none"/>
              </w:rPr>
            </w:pPr>
          </w:p>
        </w:tc>
        <w:tc>
          <w:tcPr>
            <w:tcW w:w="2105" w:type="pct"/>
            <w:noWrap w:val="0"/>
            <w:vAlign w:val="center"/>
          </w:tcPr>
          <w:p w14:paraId="38AA0AAA">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公共建筑、建筑高度大于54m的住宅建筑、高层厂房</w:t>
            </w:r>
            <w:r>
              <w:rPr>
                <w:rFonts w:hint="eastAsia" w:ascii="宋体" w:hAnsi="宋体" w:cs="宋体"/>
                <w:bCs/>
                <w:color w:val="000000" w:themeColor="text1"/>
                <w:sz w:val="21"/>
                <w:szCs w:val="21"/>
                <w:highlight w:val="none"/>
                <w:lang w:eastAsia="zh-CN"/>
              </w:rPr>
              <w:t>（</w:t>
            </w:r>
            <w:r>
              <w:rPr>
                <w:rFonts w:hint="eastAsia" w:ascii="宋体" w:hAnsi="宋体" w:eastAsia="宋体" w:cs="宋体"/>
                <w:bCs/>
                <w:color w:val="000000" w:themeColor="text1"/>
                <w:sz w:val="21"/>
                <w:szCs w:val="21"/>
                <w:highlight w:val="none"/>
              </w:rPr>
              <w:t>库房</w:t>
            </w:r>
            <w:r>
              <w:rPr>
                <w:rFonts w:hint="eastAsia" w:ascii="宋体" w:hAnsi="宋体" w:cs="宋体"/>
                <w:bCs/>
                <w:color w:val="000000" w:themeColor="text1"/>
                <w:sz w:val="21"/>
                <w:szCs w:val="21"/>
                <w:highlight w:val="none"/>
                <w:lang w:eastAsia="zh-CN"/>
              </w:rPr>
              <w:t>）</w:t>
            </w:r>
            <w:r>
              <w:rPr>
                <w:rFonts w:hint="eastAsia" w:ascii="宋体" w:hAnsi="宋体" w:eastAsia="宋体" w:cs="宋体"/>
                <w:bCs/>
                <w:color w:val="000000" w:themeColor="text1"/>
                <w:sz w:val="21"/>
                <w:szCs w:val="21"/>
                <w:highlight w:val="none"/>
              </w:rPr>
              <w:t>和甲、乙、丙类单、多层厂房，应设置灯光疏散指示标志，并应符合下列规定：</w:t>
            </w:r>
          </w:p>
          <w:p w14:paraId="3EC2AB79">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1  应设置在安全出口和人员密集的场所的疏散门的正上方。</w:t>
            </w:r>
          </w:p>
          <w:p w14:paraId="13A44BF7">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2  应设置在疏散走道及其转角处距地面高度1.0m以下的墙面或地面上。灯光疏散指示标志的间距不应大于20m；对于袋形走道，不应大于10m；在走道转角区，不应大于1.0m。</w:t>
            </w:r>
          </w:p>
        </w:tc>
        <w:tc>
          <w:tcPr>
            <w:tcW w:w="781" w:type="pct"/>
            <w:noWrap w:val="0"/>
            <w:vAlign w:val="center"/>
          </w:tcPr>
          <w:p w14:paraId="24AE46C5">
            <w:pPr>
              <w:widowControl w:val="0"/>
              <w:adjustRightInd w:val="0"/>
              <w:snapToGrid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GB50016-2014（2018版）</w:t>
            </w:r>
            <w:r>
              <w:rPr>
                <w:rFonts w:hint="eastAsia" w:ascii="宋体" w:hAnsi="宋体" w:eastAsia="宋体" w:cs="宋体"/>
                <w:color w:val="000000" w:themeColor="text1"/>
                <w:sz w:val="21"/>
                <w:szCs w:val="21"/>
                <w:highlight w:val="none"/>
                <w:lang w:eastAsia="zh-CN"/>
              </w:rPr>
              <w:t>第</w:t>
            </w:r>
            <w:r>
              <w:rPr>
                <w:rFonts w:hint="eastAsia" w:ascii="宋体" w:hAnsi="宋体" w:eastAsia="宋体" w:cs="宋体"/>
                <w:bCs/>
                <w:color w:val="000000" w:themeColor="text1"/>
                <w:sz w:val="21"/>
                <w:szCs w:val="21"/>
                <w:highlight w:val="none"/>
              </w:rPr>
              <w:t>10.3.5</w:t>
            </w:r>
            <w:r>
              <w:rPr>
                <w:rFonts w:hint="eastAsia" w:ascii="宋体" w:hAnsi="宋体" w:eastAsia="宋体" w:cs="宋体"/>
                <w:color w:val="000000" w:themeColor="text1"/>
                <w:sz w:val="21"/>
                <w:szCs w:val="21"/>
                <w:highlight w:val="none"/>
                <w:lang w:eastAsia="zh-CN"/>
              </w:rPr>
              <w:t>条</w:t>
            </w:r>
          </w:p>
        </w:tc>
        <w:tc>
          <w:tcPr>
            <w:tcW w:w="1512" w:type="pct"/>
            <w:noWrap w:val="0"/>
            <w:vAlign w:val="center"/>
          </w:tcPr>
          <w:p w14:paraId="55F40CD2">
            <w:pPr>
              <w:widowControl w:val="0"/>
              <w:adjustRightInd w:val="0"/>
              <w:snapToGrid w:val="0"/>
              <w:jc w:val="left"/>
              <w:rPr>
                <w:rFonts w:hint="eastAsia" w:ascii="宋体" w:hAnsi="宋体" w:eastAsia="宋体" w:cs="宋体"/>
                <w:color w:val="000000" w:themeColor="text1"/>
                <w:sz w:val="21"/>
                <w:szCs w:val="21"/>
                <w:highlight w:val="none"/>
                <w:lang w:eastAsia="zh-CN"/>
              </w:rPr>
            </w:pPr>
            <w:r>
              <w:rPr>
                <w:rFonts w:hint="eastAsia" w:ascii="宋体" w:hAnsi="宋体" w:eastAsia="宋体" w:cs="宋体"/>
                <w:bCs/>
                <w:color w:val="000000" w:themeColor="text1"/>
                <w:sz w:val="21"/>
                <w:szCs w:val="21"/>
                <w:highlight w:val="none"/>
              </w:rPr>
              <w:t>设置</w:t>
            </w:r>
            <w:r>
              <w:rPr>
                <w:rFonts w:hint="eastAsia" w:ascii="宋体" w:hAnsi="宋体" w:eastAsia="宋体" w:cs="宋体"/>
                <w:bCs/>
                <w:color w:val="000000" w:themeColor="text1"/>
                <w:sz w:val="21"/>
                <w:szCs w:val="21"/>
                <w:highlight w:val="none"/>
                <w:lang w:eastAsia="zh-CN"/>
              </w:rPr>
              <w:t>了</w:t>
            </w:r>
            <w:r>
              <w:rPr>
                <w:rFonts w:hint="eastAsia" w:ascii="宋体" w:hAnsi="宋体" w:eastAsia="宋体" w:cs="宋体"/>
                <w:bCs/>
                <w:color w:val="000000" w:themeColor="text1"/>
                <w:sz w:val="21"/>
                <w:szCs w:val="21"/>
                <w:highlight w:val="none"/>
              </w:rPr>
              <w:t>灯光疏散指示标志</w:t>
            </w:r>
            <w:r>
              <w:rPr>
                <w:rFonts w:hint="eastAsia" w:ascii="宋体" w:hAnsi="宋体" w:eastAsia="宋体" w:cs="宋体"/>
                <w:bCs/>
                <w:color w:val="000000" w:themeColor="text1"/>
                <w:sz w:val="21"/>
                <w:szCs w:val="21"/>
                <w:highlight w:val="none"/>
                <w:lang w:eastAsia="zh-CN"/>
              </w:rPr>
              <w:t>。</w:t>
            </w:r>
            <w:r>
              <w:rPr>
                <w:rFonts w:hint="eastAsia" w:ascii="宋体" w:hAnsi="宋体" w:eastAsia="宋体" w:cs="宋体"/>
                <w:bCs/>
                <w:color w:val="000000" w:themeColor="text1"/>
                <w:sz w:val="21"/>
                <w:szCs w:val="21"/>
                <w:highlight w:val="none"/>
              </w:rPr>
              <w:t>设置在安全出口和疏散门的正上方</w:t>
            </w:r>
            <w:r>
              <w:rPr>
                <w:rFonts w:hint="eastAsia" w:ascii="宋体" w:hAnsi="宋体" w:eastAsia="宋体" w:cs="宋体"/>
                <w:bCs/>
                <w:color w:val="000000" w:themeColor="text1"/>
                <w:sz w:val="21"/>
                <w:szCs w:val="21"/>
                <w:highlight w:val="none"/>
                <w:lang w:eastAsia="zh-CN"/>
              </w:rPr>
              <w:t>。</w:t>
            </w:r>
          </w:p>
        </w:tc>
        <w:tc>
          <w:tcPr>
            <w:tcW w:w="318" w:type="pct"/>
            <w:noWrap w:val="0"/>
            <w:vAlign w:val="center"/>
          </w:tcPr>
          <w:p w14:paraId="16F9E3F2">
            <w:pPr>
              <w:widowControl w:val="0"/>
              <w:adjustRightInd w:val="0"/>
              <w:snapToGrid w:val="0"/>
              <w:jc w:val="cente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符合</w:t>
            </w:r>
          </w:p>
        </w:tc>
      </w:tr>
    </w:tbl>
    <w:p w14:paraId="0E690A11">
      <w:pPr>
        <w:pStyle w:val="93"/>
        <w:keepNext w:val="0"/>
        <w:keepLines w:val="0"/>
        <w:pageBreakBefore w:val="0"/>
        <w:widowControl w:val="0"/>
        <w:kinsoku/>
        <w:wordWrap/>
        <w:overflowPunct/>
        <w:topLinePunct w:val="0"/>
        <w:autoSpaceDE/>
        <w:autoSpaceDN/>
        <w:bidi w:val="0"/>
        <w:adjustRightInd w:val="0"/>
        <w:snapToGrid w:val="0"/>
        <w:spacing w:before="219" w:beforeLines="50" w:line="360" w:lineRule="auto"/>
        <w:ind w:firstLine="482"/>
        <w:textAlignment w:val="baseline"/>
        <w:rPr>
          <w:rFonts w:hint="eastAsia"/>
          <w:color w:val="000000" w:themeColor="text1"/>
          <w:kern w:val="0"/>
          <w:sz w:val="28"/>
          <w:szCs w:val="28"/>
          <w:highlight w:val="none"/>
        </w:rPr>
      </w:pPr>
      <w:r>
        <w:rPr>
          <w:rFonts w:hint="eastAsia"/>
          <w:color w:val="000000" w:themeColor="text1"/>
          <w:kern w:val="0"/>
          <w:sz w:val="28"/>
          <w:szCs w:val="28"/>
          <w:highlight w:val="none"/>
          <w:lang w:eastAsia="zh-CN"/>
        </w:rPr>
        <w:t>经检查，</w:t>
      </w:r>
      <w:r>
        <w:rPr>
          <w:rFonts w:hint="eastAsia" w:cs="宋体"/>
          <w:bCs/>
          <w:color w:val="000000" w:themeColor="text1"/>
          <w:kern w:val="0"/>
          <w:sz w:val="28"/>
          <w:szCs w:val="28"/>
          <w:highlight w:val="none"/>
          <w:lang w:val="en-US" w:eastAsia="zh-CN"/>
        </w:rPr>
        <w:t>本项目</w:t>
      </w:r>
      <w:r>
        <w:rPr>
          <w:rFonts w:hint="eastAsia" w:ascii="宋体" w:hAnsi="宋体" w:cs="宋体"/>
          <w:bCs/>
          <w:color w:val="000000" w:themeColor="text1"/>
          <w:kern w:val="0"/>
          <w:sz w:val="28"/>
          <w:szCs w:val="28"/>
          <w:highlight w:val="none"/>
          <w:lang w:val="en-US" w:eastAsia="zh-CN"/>
        </w:rPr>
        <w:t>的消防设施</w:t>
      </w:r>
      <w:r>
        <w:rPr>
          <w:rFonts w:hint="eastAsia" w:cs="宋体"/>
          <w:bCs/>
          <w:color w:val="000000" w:themeColor="text1"/>
          <w:kern w:val="0"/>
          <w:sz w:val="28"/>
          <w:szCs w:val="28"/>
          <w:highlight w:val="none"/>
          <w:lang w:val="en-US" w:eastAsia="zh-CN"/>
        </w:rPr>
        <w:t>存在问题：</w:t>
      </w:r>
      <w:r>
        <w:rPr>
          <w:rFonts w:hint="eastAsia"/>
          <w:bCs/>
          <w:color w:val="000000" w:themeColor="text1"/>
          <w:kern w:val="0"/>
          <w:sz w:val="28"/>
          <w:szCs w:val="28"/>
          <w:highlight w:val="none"/>
        </w:rPr>
        <w:t>漂染车间未设置室内消火栓</w:t>
      </w:r>
      <w:r>
        <w:rPr>
          <w:rFonts w:hint="eastAsia"/>
          <w:color w:val="000000" w:themeColor="text1"/>
          <w:kern w:val="0"/>
          <w:sz w:val="28"/>
          <w:szCs w:val="28"/>
          <w:highlight w:val="none"/>
        </w:rPr>
        <w:t>。</w:t>
      </w:r>
    </w:p>
    <w:p w14:paraId="0CCAC5A1">
      <w:pPr>
        <w:pStyle w:val="7"/>
        <w:keepNext w:val="0"/>
        <w:keepLines w:val="0"/>
        <w:pageBreakBefore w:val="0"/>
        <w:widowControl w:val="0"/>
        <w:kinsoku/>
        <w:wordWrap/>
        <w:overflowPunct/>
        <w:topLinePunct w:val="0"/>
        <w:autoSpaceDE/>
        <w:autoSpaceDN/>
        <w:bidi w:val="0"/>
        <w:adjustRightInd w:val="0"/>
        <w:snapToGrid w:val="0"/>
        <w:textAlignment w:val="auto"/>
        <w:rPr>
          <w:rFonts w:hAnsi="黑体"/>
          <w:color w:val="000000" w:themeColor="text1"/>
          <w:szCs w:val="28"/>
          <w:highlight w:val="none"/>
        </w:rPr>
      </w:pPr>
      <w:bookmarkStart w:id="909" w:name="_Toc25125"/>
      <w:bookmarkStart w:id="910" w:name="_Toc5616"/>
      <w:bookmarkStart w:id="911" w:name="_Toc26047"/>
      <w:bookmarkStart w:id="912" w:name="_Toc5828"/>
      <w:bookmarkStart w:id="913" w:name="_Toc6060"/>
      <w:bookmarkStart w:id="914" w:name="_Toc25354"/>
      <w:r>
        <w:rPr>
          <w:rFonts w:hint="eastAsia" w:hAnsi="黑体"/>
          <w:color w:val="000000" w:themeColor="text1"/>
          <w:szCs w:val="28"/>
          <w:highlight w:val="none"/>
        </w:rPr>
        <w:t>5</w:t>
      </w:r>
      <w:r>
        <w:rPr>
          <w:rFonts w:hAnsi="黑体"/>
          <w:color w:val="000000" w:themeColor="text1"/>
          <w:szCs w:val="28"/>
          <w:highlight w:val="none"/>
        </w:rPr>
        <w:t>.1.</w:t>
      </w:r>
      <w:r>
        <w:rPr>
          <w:rFonts w:hint="eastAsia" w:hAnsi="黑体"/>
          <w:color w:val="000000" w:themeColor="text1"/>
          <w:szCs w:val="28"/>
          <w:highlight w:val="none"/>
          <w:lang w:val="en-US" w:eastAsia="zh-CN"/>
        </w:rPr>
        <w:t>7</w:t>
      </w:r>
      <w:r>
        <w:rPr>
          <w:rFonts w:hint="eastAsia" w:hAnsi="黑体"/>
          <w:color w:val="000000" w:themeColor="text1"/>
          <w:szCs w:val="28"/>
          <w:highlight w:val="none"/>
        </w:rPr>
        <w:t>工贸企业重大事故隐患判定</w:t>
      </w:r>
      <w:bookmarkEnd w:id="909"/>
      <w:bookmarkEnd w:id="910"/>
      <w:bookmarkEnd w:id="911"/>
      <w:bookmarkEnd w:id="912"/>
      <w:bookmarkEnd w:id="913"/>
      <w:bookmarkEnd w:id="914"/>
    </w:p>
    <w:p w14:paraId="360F6480">
      <w:pPr>
        <w:widowControl w:val="0"/>
        <w:adjustRightInd w:val="0"/>
        <w:snapToGrid w:val="0"/>
        <w:spacing w:line="360" w:lineRule="auto"/>
        <w:ind w:firstLine="560" w:firstLineChars="200"/>
        <w:rPr>
          <w:rFonts w:hint="eastAsia"/>
          <w:color w:val="000000" w:themeColor="text1"/>
          <w:kern w:val="0"/>
          <w:sz w:val="28"/>
          <w:szCs w:val="28"/>
          <w:highlight w:val="none"/>
        </w:rPr>
      </w:pPr>
      <w:r>
        <w:rPr>
          <w:rFonts w:hint="eastAsia"/>
          <w:color w:val="000000" w:themeColor="text1"/>
          <w:kern w:val="0"/>
          <w:sz w:val="28"/>
          <w:szCs w:val="28"/>
          <w:highlight w:val="none"/>
        </w:rPr>
        <w:t>按照</w:t>
      </w:r>
      <w:r>
        <w:rPr>
          <w:rFonts w:hint="eastAsia"/>
          <w:color w:val="000000" w:themeColor="text1"/>
          <w:kern w:val="0"/>
          <w:sz w:val="28"/>
          <w:szCs w:val="28"/>
          <w:highlight w:val="none"/>
          <w:lang w:eastAsia="zh-CN"/>
        </w:rPr>
        <w:t>现行</w:t>
      </w:r>
      <w:r>
        <w:rPr>
          <w:rFonts w:ascii="宋体" w:hAnsi="宋体" w:cs="宋体"/>
          <w:color w:val="000000" w:themeColor="text1"/>
          <w:kern w:val="0"/>
          <w:sz w:val="28"/>
          <w:szCs w:val="28"/>
          <w:highlight w:val="none"/>
        </w:rPr>
        <w:t>《</w:t>
      </w:r>
      <w:r>
        <w:rPr>
          <w:rFonts w:hint="eastAsia" w:ascii="宋体" w:hAnsi="宋体" w:cs="宋体"/>
          <w:color w:val="000000" w:themeColor="text1"/>
          <w:kern w:val="0"/>
          <w:sz w:val="28"/>
          <w:szCs w:val="28"/>
          <w:highlight w:val="none"/>
        </w:rPr>
        <w:t>工贸企业重大事故隐患判定标准</w:t>
      </w:r>
      <w:r>
        <w:rPr>
          <w:rFonts w:hint="eastAsia" w:cs="宋体"/>
          <w:color w:val="000000" w:themeColor="text1"/>
          <w:kern w:val="0"/>
          <w:sz w:val="28"/>
          <w:szCs w:val="28"/>
          <w:highlight w:val="none"/>
          <w:lang w:eastAsia="zh-CN"/>
        </w:rPr>
        <w:t>》、《</w:t>
      </w:r>
      <w:r>
        <w:rPr>
          <w:rFonts w:ascii="宋体" w:hAnsi="宋体" w:cs="宋体"/>
          <w:color w:val="000000" w:themeColor="text1"/>
          <w:kern w:val="0"/>
          <w:sz w:val="28"/>
          <w:szCs w:val="28"/>
          <w:highlight w:val="none"/>
        </w:rPr>
        <w:t>工贸企业重大事故隐患判定标准解读》</w:t>
      </w:r>
      <w:r>
        <w:rPr>
          <w:rFonts w:hint="eastAsia"/>
          <w:color w:val="000000" w:themeColor="text1"/>
          <w:kern w:val="0"/>
          <w:sz w:val="28"/>
          <w:szCs w:val="28"/>
          <w:highlight w:val="none"/>
        </w:rPr>
        <w:t>的要求对</w:t>
      </w:r>
      <w:r>
        <w:rPr>
          <w:rFonts w:hint="eastAsia"/>
          <w:color w:val="000000" w:themeColor="text1"/>
          <w:sz w:val="28"/>
          <w:szCs w:val="28"/>
          <w:highlight w:val="none"/>
          <w:lang w:eastAsia="zh-CN"/>
        </w:rPr>
        <w:t>本项目</w:t>
      </w:r>
      <w:r>
        <w:rPr>
          <w:rFonts w:hint="eastAsia"/>
          <w:color w:val="000000" w:themeColor="text1"/>
          <w:kern w:val="0"/>
          <w:sz w:val="28"/>
          <w:szCs w:val="28"/>
          <w:highlight w:val="none"/>
        </w:rPr>
        <w:t>的重大生产安全事故隐患进行</w:t>
      </w:r>
      <w:r>
        <w:rPr>
          <w:rFonts w:hint="eastAsia"/>
          <w:color w:val="000000" w:themeColor="text1"/>
          <w:kern w:val="0"/>
          <w:sz w:val="28"/>
          <w:szCs w:val="28"/>
          <w:highlight w:val="none"/>
          <w:lang w:eastAsia="zh-CN"/>
        </w:rPr>
        <w:t>排查</w:t>
      </w:r>
      <w:r>
        <w:rPr>
          <w:rFonts w:hint="eastAsia"/>
          <w:color w:val="000000" w:themeColor="text1"/>
          <w:kern w:val="0"/>
          <w:sz w:val="28"/>
          <w:szCs w:val="28"/>
          <w:highlight w:val="none"/>
        </w:rPr>
        <w:t>，</w:t>
      </w:r>
      <w:r>
        <w:rPr>
          <w:rFonts w:hint="eastAsia"/>
          <w:color w:val="000000" w:themeColor="text1"/>
          <w:kern w:val="0"/>
          <w:sz w:val="28"/>
          <w:szCs w:val="28"/>
          <w:highlight w:val="none"/>
          <w:lang w:eastAsia="zh-CN"/>
        </w:rPr>
        <w:t>排查</w:t>
      </w:r>
      <w:r>
        <w:rPr>
          <w:rFonts w:hint="eastAsia"/>
          <w:color w:val="000000" w:themeColor="text1"/>
          <w:kern w:val="0"/>
          <w:sz w:val="28"/>
          <w:szCs w:val="28"/>
          <w:highlight w:val="none"/>
        </w:rPr>
        <w:t>情况详见下表。</w:t>
      </w:r>
    </w:p>
    <w:p w14:paraId="52639CC9">
      <w:pPr>
        <w:pStyle w:val="230"/>
        <w:widowControl w:val="0"/>
        <w:adjustRightInd w:val="0"/>
        <w:snapToGrid w:val="0"/>
        <w:spacing w:line="360" w:lineRule="auto"/>
        <w:jc w:val="center"/>
        <w:rPr>
          <w:rFonts w:hint="eastAsia" w:ascii="黑体" w:hAnsi="黑体" w:eastAsia="黑体"/>
          <w:b/>
          <w:bCs w:val="0"/>
          <w:color w:val="000000" w:themeColor="text1"/>
          <w:kern w:val="0"/>
          <w:szCs w:val="24"/>
          <w:highlight w:val="none"/>
        </w:rPr>
      </w:pPr>
    </w:p>
    <w:p w14:paraId="7E7B5563">
      <w:pPr>
        <w:pStyle w:val="230"/>
        <w:widowControl w:val="0"/>
        <w:adjustRightInd w:val="0"/>
        <w:snapToGrid w:val="0"/>
        <w:spacing w:line="360" w:lineRule="auto"/>
        <w:jc w:val="center"/>
        <w:rPr>
          <w:rFonts w:hAnsi="黑体"/>
          <w:b/>
          <w:bCs w:val="0"/>
          <w:color w:val="000000" w:themeColor="text1"/>
          <w:kern w:val="0"/>
          <w:szCs w:val="24"/>
          <w:highlight w:val="none"/>
        </w:rPr>
      </w:pPr>
      <w:r>
        <w:rPr>
          <w:rFonts w:hint="eastAsia" w:ascii="黑体" w:hAnsi="黑体" w:eastAsia="黑体"/>
          <w:b/>
          <w:bCs w:val="0"/>
          <w:color w:val="000000" w:themeColor="text1"/>
          <w:kern w:val="0"/>
          <w:szCs w:val="24"/>
          <w:highlight w:val="none"/>
        </w:rPr>
        <w:t>表</w:t>
      </w:r>
      <w:r>
        <w:rPr>
          <w:rFonts w:ascii="黑体" w:hAnsi="黑体" w:eastAsia="黑体"/>
          <w:b/>
          <w:bCs w:val="0"/>
          <w:color w:val="000000" w:themeColor="text1"/>
          <w:kern w:val="0"/>
          <w:szCs w:val="24"/>
          <w:highlight w:val="none"/>
        </w:rPr>
        <w:t>5.1-</w:t>
      </w:r>
      <w:r>
        <w:rPr>
          <w:rFonts w:hint="eastAsia" w:ascii="黑体" w:hAnsi="黑体" w:eastAsia="黑体"/>
          <w:b/>
          <w:bCs w:val="0"/>
          <w:color w:val="000000" w:themeColor="text1"/>
          <w:kern w:val="0"/>
          <w:szCs w:val="24"/>
          <w:highlight w:val="none"/>
          <w:lang w:val="en-US" w:eastAsia="zh-CN"/>
        </w:rPr>
        <w:t>11</w:t>
      </w:r>
      <w:r>
        <w:rPr>
          <w:rFonts w:hint="eastAsia" w:ascii="黑体" w:hAnsi="黑体" w:eastAsia="黑体"/>
          <w:b/>
          <w:bCs w:val="0"/>
          <w:color w:val="000000" w:themeColor="text1"/>
          <w:kern w:val="0"/>
          <w:szCs w:val="24"/>
          <w:highlight w:val="none"/>
        </w:rPr>
        <w:t>重大隐患</w:t>
      </w:r>
      <w:r>
        <w:rPr>
          <w:rFonts w:hint="eastAsia" w:ascii="黑体" w:hAnsi="黑体" w:eastAsia="黑体"/>
          <w:b/>
          <w:bCs w:val="0"/>
          <w:color w:val="000000" w:themeColor="text1"/>
          <w:kern w:val="0"/>
          <w:szCs w:val="24"/>
          <w:highlight w:val="none"/>
          <w:lang w:eastAsia="zh-CN"/>
        </w:rPr>
        <w:t>排查</w:t>
      </w:r>
      <w:r>
        <w:rPr>
          <w:rFonts w:hint="eastAsia" w:ascii="黑体" w:hAnsi="黑体" w:eastAsia="黑体"/>
          <w:b/>
          <w:bCs w:val="0"/>
          <w:color w:val="000000" w:themeColor="text1"/>
          <w:kern w:val="0"/>
          <w:szCs w:val="24"/>
          <w:highlight w:val="none"/>
        </w:rPr>
        <w:t>表</w:t>
      </w:r>
    </w:p>
    <w:tbl>
      <w:tblPr>
        <w:tblStyle w:val="6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2938"/>
        <w:gridCol w:w="3753"/>
        <w:gridCol w:w="1832"/>
        <w:gridCol w:w="443"/>
      </w:tblGrid>
      <w:tr w14:paraId="54603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27" w:type="pct"/>
            <w:vAlign w:val="center"/>
          </w:tcPr>
          <w:p w14:paraId="70BB281B">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序号</w:t>
            </w:r>
          </w:p>
        </w:tc>
        <w:tc>
          <w:tcPr>
            <w:tcW w:w="1564" w:type="pct"/>
            <w:vAlign w:val="center"/>
          </w:tcPr>
          <w:p w14:paraId="2292E77B">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应急管理部令第10号</w:t>
            </w:r>
          </w:p>
        </w:tc>
        <w:tc>
          <w:tcPr>
            <w:tcW w:w="1998" w:type="pct"/>
            <w:vAlign w:val="center"/>
          </w:tcPr>
          <w:p w14:paraId="3F0C3177">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《工贸企业重大事故隐患判定标准解读》</w:t>
            </w:r>
          </w:p>
        </w:tc>
        <w:tc>
          <w:tcPr>
            <w:tcW w:w="975" w:type="pct"/>
            <w:vAlign w:val="center"/>
          </w:tcPr>
          <w:p w14:paraId="3BEC1B70">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检查情况</w:t>
            </w:r>
          </w:p>
        </w:tc>
        <w:tc>
          <w:tcPr>
            <w:tcW w:w="234" w:type="pct"/>
          </w:tcPr>
          <w:p w14:paraId="70861C71">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结论</w:t>
            </w:r>
          </w:p>
        </w:tc>
      </w:tr>
      <w:tr w14:paraId="3DCDC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vAlign w:val="center"/>
          </w:tcPr>
          <w:p w14:paraId="3FCD65E0">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第</w:t>
            </w:r>
            <w:r>
              <w:rPr>
                <w:rFonts w:hint="eastAsia" w:ascii="宋体" w:hAnsi="宋体" w:eastAsia="宋体" w:cs="宋体"/>
                <w:color w:val="000000" w:themeColor="text1"/>
                <w:kern w:val="0"/>
                <w:sz w:val="21"/>
                <w:szCs w:val="21"/>
                <w:highlight w:val="none"/>
                <w:lang w:val="en-US" w:eastAsia="zh-CN"/>
              </w:rPr>
              <w:t>3</w:t>
            </w:r>
            <w:r>
              <w:rPr>
                <w:rFonts w:hint="eastAsia" w:ascii="宋体" w:hAnsi="宋体" w:eastAsia="宋体" w:cs="宋体"/>
                <w:color w:val="000000" w:themeColor="text1"/>
                <w:kern w:val="0"/>
                <w:sz w:val="21"/>
                <w:szCs w:val="21"/>
                <w:highlight w:val="none"/>
              </w:rPr>
              <w:t>条  工贸企业有下列情形之一的，应当判定为重大事故隐患：</w:t>
            </w:r>
          </w:p>
        </w:tc>
      </w:tr>
      <w:tr w14:paraId="562FD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0988D6B0">
            <w:pPr>
              <w:widowControl w:val="0"/>
              <w:numPr>
                <w:ilvl w:val="0"/>
                <w:numId w:val="63"/>
              </w:numPr>
              <w:adjustRightInd w:val="0"/>
              <w:snapToGrid w:val="0"/>
              <w:jc w:val="left"/>
              <w:rPr>
                <w:rFonts w:hint="eastAsia" w:ascii="宋体" w:hAnsi="宋体" w:eastAsia="宋体" w:cs="宋体"/>
                <w:color w:val="000000" w:themeColor="text1"/>
                <w:kern w:val="0"/>
                <w:sz w:val="21"/>
                <w:szCs w:val="21"/>
                <w:highlight w:val="none"/>
              </w:rPr>
            </w:pPr>
          </w:p>
        </w:tc>
        <w:tc>
          <w:tcPr>
            <w:tcW w:w="1564" w:type="pct"/>
            <w:vAlign w:val="center"/>
          </w:tcPr>
          <w:p w14:paraId="3B7A9D27">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（一）未对承包单位、承租单位的安全生产工作统一协调、管理，或者未定期进行安全检查的；</w:t>
            </w:r>
          </w:p>
        </w:tc>
        <w:tc>
          <w:tcPr>
            <w:tcW w:w="1998" w:type="pct"/>
            <w:vAlign w:val="center"/>
          </w:tcPr>
          <w:p w14:paraId="478A7CCA">
            <w:pPr>
              <w:widowControl w:val="0"/>
              <w:adjustRightInd w:val="0"/>
              <w:snapToGrid w:val="0"/>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判定情形：</w:t>
            </w:r>
          </w:p>
          <w:p w14:paraId="325B2B87">
            <w:pPr>
              <w:widowControl w:val="0"/>
              <w:adjustRightInd w:val="0"/>
              <w:snapToGrid w:val="0"/>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（1）生产经营项目、场所发包或者出租给其他单位的，企业未与承包单位、承租单位签订专门的安全生产管理协议，或者未在承包合同、承租合同中约定各自的安全生产管理职责。</w:t>
            </w:r>
          </w:p>
          <w:p w14:paraId="377FD6F6">
            <w:pPr>
              <w:widowControl w:val="0"/>
              <w:adjustRightInd w:val="0"/>
              <w:snapToGrid w:val="0"/>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（2）生产经营项目、场所发包或者出租给其他单位的，企业与承包单位、承租单位签订的安全生产管理协议、承包合同、承租合同中，免除或者转嫁企业安全生产工作统一协调、管理义务。</w:t>
            </w:r>
          </w:p>
          <w:p w14:paraId="24A53267">
            <w:pPr>
              <w:widowControl w:val="0"/>
              <w:adjustRightInd w:val="0"/>
              <w:snapToGrid w:val="0"/>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（3）生产经营项目、场所发包或者出租给其他单位的，企业未按照安全生产规章制度或者协议、合同中的要求，定期对承包单位、承租单位进行安全检查，或者发现安全问题未督促整改。</w:t>
            </w:r>
          </w:p>
        </w:tc>
        <w:tc>
          <w:tcPr>
            <w:tcW w:w="975" w:type="pct"/>
            <w:vAlign w:val="center"/>
          </w:tcPr>
          <w:p w14:paraId="371A0F76">
            <w:pPr>
              <w:widowControl w:val="0"/>
              <w:adjustRightInd w:val="0"/>
              <w:snapToGrid w:val="0"/>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不涉及。</w:t>
            </w:r>
          </w:p>
        </w:tc>
        <w:tc>
          <w:tcPr>
            <w:tcW w:w="234" w:type="pct"/>
            <w:vAlign w:val="center"/>
          </w:tcPr>
          <w:p w14:paraId="0B13788F">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w:t>
            </w:r>
          </w:p>
        </w:tc>
      </w:tr>
      <w:tr w14:paraId="5F1E7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590F82D3">
            <w:pPr>
              <w:widowControl w:val="0"/>
              <w:numPr>
                <w:ilvl w:val="0"/>
                <w:numId w:val="63"/>
              </w:numPr>
              <w:adjustRightInd w:val="0"/>
              <w:snapToGrid w:val="0"/>
              <w:jc w:val="left"/>
              <w:rPr>
                <w:rFonts w:hint="eastAsia" w:ascii="宋体" w:hAnsi="宋体" w:eastAsia="宋体" w:cs="宋体"/>
                <w:color w:val="000000" w:themeColor="text1"/>
                <w:kern w:val="0"/>
                <w:sz w:val="21"/>
                <w:szCs w:val="21"/>
                <w:highlight w:val="none"/>
              </w:rPr>
            </w:pPr>
          </w:p>
        </w:tc>
        <w:tc>
          <w:tcPr>
            <w:tcW w:w="1564" w:type="pct"/>
            <w:vAlign w:val="center"/>
          </w:tcPr>
          <w:p w14:paraId="5E577ED8">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（二）特种作业人员未按照规定经专门的安全作业培训并取得相应资格，上岗作业的；</w:t>
            </w:r>
          </w:p>
        </w:tc>
        <w:tc>
          <w:tcPr>
            <w:tcW w:w="1998" w:type="pct"/>
            <w:vAlign w:val="center"/>
          </w:tcPr>
          <w:p w14:paraId="33F047D6">
            <w:pPr>
              <w:widowControl w:val="0"/>
              <w:adjustRightInd w:val="0"/>
              <w:snapToGrid w:val="0"/>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判定情形：</w:t>
            </w:r>
          </w:p>
          <w:p w14:paraId="4456C7EA">
            <w:pPr>
              <w:widowControl w:val="0"/>
              <w:adjustRightInd w:val="0"/>
              <w:snapToGrid w:val="0"/>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（1）企业使用未取得相应特种作业操作证的特种作业人员上岗作业。</w:t>
            </w:r>
          </w:p>
          <w:p w14:paraId="035BF239">
            <w:pPr>
              <w:widowControl w:val="0"/>
              <w:adjustRightInd w:val="0"/>
              <w:snapToGrid w:val="0"/>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（2）企业使用伪造特种作业操作证的特种作业人员上岗作业。</w:t>
            </w:r>
          </w:p>
          <w:p w14:paraId="77004466">
            <w:pPr>
              <w:widowControl w:val="0"/>
              <w:adjustRightInd w:val="0"/>
              <w:snapToGrid w:val="0"/>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（3）企业使用特种作业操作证已过有效期或者到期未复审的特种作业人员上岗作业。</w:t>
            </w:r>
          </w:p>
        </w:tc>
        <w:tc>
          <w:tcPr>
            <w:tcW w:w="975" w:type="pct"/>
            <w:vAlign w:val="center"/>
          </w:tcPr>
          <w:p w14:paraId="122F879C">
            <w:pPr>
              <w:widowControl w:val="0"/>
              <w:adjustRightInd w:val="0"/>
              <w:snapToGrid w:val="0"/>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（1）企业未使用未取得相应特种作业操作证的特种作业人员上岗作业。</w:t>
            </w:r>
          </w:p>
          <w:p w14:paraId="0AC155D9">
            <w:pPr>
              <w:widowControl w:val="0"/>
              <w:adjustRightInd w:val="0"/>
              <w:snapToGrid w:val="0"/>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（2）企业未使用伪造特种作业操作证的特种作业人员上岗作业。</w:t>
            </w:r>
          </w:p>
          <w:p w14:paraId="7F636A1E">
            <w:pPr>
              <w:widowControl w:val="0"/>
              <w:adjustRightInd w:val="0"/>
              <w:snapToGrid w:val="0"/>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（3）企业未使用特种作业操作证已过有效期或者到期未复审的特种作业人员上岗作业。</w:t>
            </w:r>
          </w:p>
        </w:tc>
        <w:tc>
          <w:tcPr>
            <w:tcW w:w="234" w:type="pct"/>
            <w:vAlign w:val="center"/>
          </w:tcPr>
          <w:p w14:paraId="079F1965">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否</w:t>
            </w:r>
          </w:p>
        </w:tc>
      </w:tr>
      <w:tr w14:paraId="5113D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4AE7DF6F">
            <w:pPr>
              <w:widowControl w:val="0"/>
              <w:numPr>
                <w:ilvl w:val="0"/>
                <w:numId w:val="63"/>
              </w:numPr>
              <w:adjustRightInd w:val="0"/>
              <w:snapToGrid w:val="0"/>
              <w:jc w:val="left"/>
              <w:rPr>
                <w:rFonts w:hint="eastAsia" w:ascii="宋体" w:hAnsi="宋体" w:eastAsia="宋体" w:cs="宋体"/>
                <w:color w:val="000000" w:themeColor="text1"/>
                <w:kern w:val="0"/>
                <w:sz w:val="21"/>
                <w:szCs w:val="21"/>
                <w:highlight w:val="none"/>
              </w:rPr>
            </w:pPr>
          </w:p>
        </w:tc>
        <w:tc>
          <w:tcPr>
            <w:tcW w:w="1564" w:type="pct"/>
            <w:vAlign w:val="center"/>
          </w:tcPr>
          <w:p w14:paraId="2F00D225">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（三）金属冶炼企业主要负责人、安全生产管理人员未按照规定经考核合格的。</w:t>
            </w:r>
          </w:p>
        </w:tc>
        <w:tc>
          <w:tcPr>
            <w:tcW w:w="1998" w:type="pct"/>
            <w:vAlign w:val="center"/>
          </w:tcPr>
          <w:p w14:paraId="3C705FB3">
            <w:pPr>
              <w:widowControl w:val="0"/>
              <w:adjustRightInd w:val="0"/>
              <w:snapToGrid w:val="0"/>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判定情形：</w:t>
            </w:r>
          </w:p>
          <w:p w14:paraId="5148E5A9">
            <w:pPr>
              <w:widowControl w:val="0"/>
              <w:adjustRightInd w:val="0"/>
              <w:snapToGrid w:val="0"/>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金属冶炼企业主要负责人、安全生产管理人员任职之日起6个月后，未经相应的应急管理部门考核合格。</w:t>
            </w:r>
          </w:p>
        </w:tc>
        <w:tc>
          <w:tcPr>
            <w:tcW w:w="975" w:type="pct"/>
            <w:vAlign w:val="center"/>
          </w:tcPr>
          <w:p w14:paraId="580406D2">
            <w:pPr>
              <w:widowControl w:val="0"/>
              <w:adjustRightInd w:val="0"/>
              <w:snapToGrid w:val="0"/>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不涉及金属冶炼。</w:t>
            </w:r>
          </w:p>
        </w:tc>
        <w:tc>
          <w:tcPr>
            <w:tcW w:w="234" w:type="pct"/>
            <w:vAlign w:val="center"/>
          </w:tcPr>
          <w:p w14:paraId="590C3659">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w:t>
            </w:r>
          </w:p>
        </w:tc>
      </w:tr>
      <w:tr w14:paraId="4039D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vAlign w:val="center"/>
          </w:tcPr>
          <w:p w14:paraId="487D0A6C">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第</w:t>
            </w:r>
            <w:r>
              <w:rPr>
                <w:rFonts w:hint="eastAsia" w:ascii="宋体" w:hAnsi="宋体" w:eastAsia="宋体" w:cs="宋体"/>
                <w:color w:val="000000" w:themeColor="text1"/>
                <w:kern w:val="0"/>
                <w:sz w:val="21"/>
                <w:szCs w:val="21"/>
                <w:highlight w:val="none"/>
                <w:lang w:val="en-US" w:eastAsia="zh-CN"/>
              </w:rPr>
              <w:t>9</w:t>
            </w:r>
            <w:r>
              <w:rPr>
                <w:rFonts w:hint="eastAsia" w:ascii="宋体" w:hAnsi="宋体" w:eastAsia="宋体" w:cs="宋体"/>
                <w:color w:val="000000" w:themeColor="text1"/>
                <w:kern w:val="0"/>
                <w:sz w:val="21"/>
                <w:szCs w:val="21"/>
                <w:highlight w:val="none"/>
              </w:rPr>
              <w:t>条  纺织企业有下列情形之一的，应当判定为重大事故隐患：</w:t>
            </w:r>
          </w:p>
        </w:tc>
      </w:tr>
      <w:tr w14:paraId="20AD0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7371D95B">
            <w:pPr>
              <w:widowControl w:val="0"/>
              <w:numPr>
                <w:ilvl w:val="0"/>
                <w:numId w:val="63"/>
              </w:numPr>
              <w:adjustRightInd w:val="0"/>
              <w:snapToGrid w:val="0"/>
              <w:jc w:val="both"/>
              <w:rPr>
                <w:rFonts w:hint="eastAsia" w:ascii="宋体" w:hAnsi="宋体" w:eastAsia="宋体" w:cs="宋体"/>
                <w:color w:val="000000" w:themeColor="text1"/>
                <w:kern w:val="0"/>
                <w:sz w:val="21"/>
                <w:szCs w:val="21"/>
                <w:highlight w:val="none"/>
              </w:rPr>
            </w:pPr>
          </w:p>
        </w:tc>
        <w:tc>
          <w:tcPr>
            <w:tcW w:w="1564" w:type="pct"/>
            <w:vAlign w:val="center"/>
          </w:tcPr>
          <w:p w14:paraId="160AA253">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（一）纱、线、织物加工的烧毛、开幅、烘干等热定型工艺的汽化室、燃气贮罐、储油罐、热媒炉，未与生产加工等人员聚集场所隔开或者单独设置的；</w:t>
            </w:r>
          </w:p>
        </w:tc>
        <w:tc>
          <w:tcPr>
            <w:tcW w:w="1998" w:type="pct"/>
            <w:vAlign w:val="center"/>
          </w:tcPr>
          <w:p w14:paraId="31857C38">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判定情形：</w:t>
            </w:r>
          </w:p>
          <w:p w14:paraId="4C8B3C94">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纱、线、织物加工的烧毛、开幅、烘干等热定型工艺的汽化室、燃气贮罐、储油罐、热媒炉，未与生产加工等人员聚集场所隔开或者单独设置。</w:t>
            </w:r>
          </w:p>
        </w:tc>
        <w:tc>
          <w:tcPr>
            <w:tcW w:w="975" w:type="pct"/>
            <w:vAlign w:val="center"/>
          </w:tcPr>
          <w:p w14:paraId="632C8318">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不涉及汽化室、燃气贮罐、储油罐、热媒炉。</w:t>
            </w:r>
          </w:p>
        </w:tc>
        <w:tc>
          <w:tcPr>
            <w:tcW w:w="234" w:type="pct"/>
            <w:vAlign w:val="center"/>
          </w:tcPr>
          <w:p w14:paraId="5CF7F269">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否</w:t>
            </w:r>
          </w:p>
        </w:tc>
      </w:tr>
      <w:tr w14:paraId="43563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0A3AF369">
            <w:pPr>
              <w:widowControl w:val="0"/>
              <w:numPr>
                <w:ilvl w:val="0"/>
                <w:numId w:val="63"/>
              </w:numPr>
              <w:adjustRightInd w:val="0"/>
              <w:snapToGrid w:val="0"/>
              <w:jc w:val="left"/>
              <w:rPr>
                <w:rFonts w:hint="eastAsia" w:ascii="宋体" w:hAnsi="宋体" w:eastAsia="宋体" w:cs="宋体"/>
                <w:color w:val="000000" w:themeColor="text1"/>
                <w:kern w:val="0"/>
                <w:sz w:val="21"/>
                <w:szCs w:val="21"/>
                <w:highlight w:val="none"/>
              </w:rPr>
            </w:pPr>
          </w:p>
        </w:tc>
        <w:tc>
          <w:tcPr>
            <w:tcW w:w="1564" w:type="pct"/>
            <w:vAlign w:val="center"/>
          </w:tcPr>
          <w:p w14:paraId="1B5978FF">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（二）保险粉、双氧水、次氯酸钠、亚氯酸钠、雕白粉（吊白块）与禁忌物料混合储存，或者保险粉储存场所未采取防水防潮措施的。</w:t>
            </w:r>
          </w:p>
        </w:tc>
        <w:tc>
          <w:tcPr>
            <w:tcW w:w="1998" w:type="pct"/>
            <w:vAlign w:val="center"/>
          </w:tcPr>
          <w:p w14:paraId="5070D443">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判定情形：</w:t>
            </w:r>
          </w:p>
          <w:p w14:paraId="3AE4D12A">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 xml:space="preserve">（1）保险粉、双氧水、次氯酸钠、亚氯酸钠、雕白粉（吊白块）与禁忌物料混合储存。 </w:t>
            </w:r>
          </w:p>
          <w:p w14:paraId="0CCB2DBF">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（2）保险粉露天堆放。</w:t>
            </w:r>
          </w:p>
          <w:p w14:paraId="41B2E2B9">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（3）储存保险粉的室内场所未采取防水防潮措施。</w:t>
            </w:r>
          </w:p>
        </w:tc>
        <w:tc>
          <w:tcPr>
            <w:tcW w:w="975" w:type="pct"/>
            <w:vAlign w:val="center"/>
          </w:tcPr>
          <w:p w14:paraId="192C9B5F">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（1）保险粉</w:t>
            </w:r>
            <w:r>
              <w:rPr>
                <w:rFonts w:hint="eastAsia" w:cs="宋体"/>
                <w:color w:val="000000" w:themeColor="text1"/>
                <w:kern w:val="0"/>
                <w:sz w:val="21"/>
                <w:szCs w:val="21"/>
                <w:highlight w:val="none"/>
                <w:lang w:val="en-US" w:eastAsia="zh-CN"/>
              </w:rPr>
              <w:t>2#隔间</w:t>
            </w:r>
            <w:r>
              <w:rPr>
                <w:rFonts w:hint="eastAsia" w:ascii="宋体" w:hAnsi="宋体" w:eastAsia="宋体" w:cs="宋体"/>
                <w:color w:val="000000" w:themeColor="text1"/>
                <w:kern w:val="0"/>
                <w:sz w:val="21"/>
                <w:szCs w:val="21"/>
                <w:highlight w:val="none"/>
                <w:lang w:eastAsia="zh-CN"/>
              </w:rPr>
              <w:t>单独</w:t>
            </w:r>
            <w:r>
              <w:rPr>
                <w:rFonts w:hint="eastAsia" w:ascii="宋体" w:hAnsi="宋体" w:eastAsia="宋体" w:cs="宋体"/>
                <w:color w:val="000000" w:themeColor="text1"/>
                <w:kern w:val="0"/>
                <w:sz w:val="21"/>
                <w:szCs w:val="21"/>
                <w:highlight w:val="none"/>
              </w:rPr>
              <w:t xml:space="preserve">储存。 </w:t>
            </w:r>
          </w:p>
          <w:p w14:paraId="42F7A4E1">
            <w:pPr>
              <w:widowControl w:val="0"/>
              <w:adjustRightInd w:val="0"/>
              <w:snapToGrid w:val="0"/>
              <w:jc w:val="lef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（2）保险粉</w:t>
            </w:r>
            <w:r>
              <w:rPr>
                <w:rFonts w:hint="eastAsia" w:cs="宋体"/>
                <w:color w:val="000000" w:themeColor="text1"/>
                <w:kern w:val="0"/>
                <w:sz w:val="21"/>
                <w:szCs w:val="21"/>
                <w:highlight w:val="none"/>
                <w:lang w:eastAsia="zh-CN"/>
              </w:rPr>
              <w:t>储存在</w:t>
            </w:r>
            <w:r>
              <w:rPr>
                <w:rFonts w:hint="eastAsia" w:cs="宋体"/>
                <w:color w:val="000000" w:themeColor="text1"/>
                <w:kern w:val="0"/>
                <w:sz w:val="21"/>
                <w:szCs w:val="21"/>
                <w:highlight w:val="none"/>
                <w:lang w:val="en-US" w:eastAsia="zh-CN"/>
              </w:rPr>
              <w:t>2#隔间内。</w:t>
            </w:r>
          </w:p>
          <w:p w14:paraId="2CBBB004">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w:t>
            </w:r>
            <w:r>
              <w:rPr>
                <w:rFonts w:hint="eastAsia" w:cs="宋体"/>
                <w:color w:val="000000" w:themeColor="text1"/>
                <w:kern w:val="0"/>
                <w:sz w:val="21"/>
                <w:szCs w:val="21"/>
                <w:highlight w:val="none"/>
                <w:lang w:eastAsia="zh-CN"/>
              </w:rPr>
              <w:t>储存</w:t>
            </w:r>
            <w:r>
              <w:rPr>
                <w:rFonts w:hint="eastAsia" w:ascii="宋体" w:hAnsi="宋体" w:eastAsia="宋体" w:cs="宋体"/>
                <w:color w:val="000000" w:themeColor="text1"/>
                <w:kern w:val="0"/>
                <w:sz w:val="21"/>
                <w:szCs w:val="21"/>
                <w:highlight w:val="none"/>
              </w:rPr>
              <w:t>保险粉</w:t>
            </w:r>
            <w:r>
              <w:rPr>
                <w:rFonts w:hint="eastAsia" w:cs="宋体"/>
                <w:color w:val="000000" w:themeColor="text1"/>
                <w:kern w:val="0"/>
                <w:sz w:val="21"/>
                <w:szCs w:val="21"/>
                <w:highlight w:val="none"/>
                <w:lang w:eastAsia="zh-CN"/>
              </w:rPr>
              <w:t>的</w:t>
            </w:r>
            <w:r>
              <w:rPr>
                <w:rFonts w:hint="eastAsia" w:cs="宋体"/>
                <w:color w:val="000000" w:themeColor="text1"/>
                <w:kern w:val="0"/>
                <w:sz w:val="21"/>
                <w:szCs w:val="21"/>
                <w:highlight w:val="none"/>
                <w:lang w:val="en-US" w:eastAsia="zh-CN"/>
              </w:rPr>
              <w:t>2#隔间</w:t>
            </w:r>
            <w:r>
              <w:rPr>
                <w:rFonts w:hint="eastAsia" w:ascii="宋体" w:hAnsi="宋体" w:eastAsia="宋体" w:cs="宋体"/>
                <w:color w:val="000000" w:themeColor="text1"/>
                <w:kern w:val="0"/>
                <w:sz w:val="21"/>
                <w:szCs w:val="21"/>
                <w:highlight w:val="none"/>
              </w:rPr>
              <w:t>采取了防水防潮措施</w:t>
            </w:r>
            <w:r>
              <w:rPr>
                <w:rFonts w:hint="eastAsia" w:cs="宋体"/>
                <w:color w:val="000000" w:themeColor="text1"/>
                <w:kern w:val="0"/>
                <w:sz w:val="21"/>
                <w:szCs w:val="21"/>
                <w:highlight w:val="none"/>
                <w:lang w:eastAsia="zh-CN"/>
              </w:rPr>
              <w:t>（</w:t>
            </w:r>
            <w:r>
              <w:rPr>
                <w:rFonts w:hint="eastAsia" w:cs="宋体"/>
                <w:color w:val="000000" w:themeColor="text1"/>
                <w:kern w:val="0"/>
                <w:sz w:val="21"/>
                <w:szCs w:val="21"/>
                <w:highlight w:val="none"/>
                <w:lang w:val="en-US" w:eastAsia="zh-CN"/>
              </w:rPr>
              <w:t>地面要比室外地坪高出约40cm</w:t>
            </w:r>
            <w:r>
              <w:rPr>
                <w:rFonts w:hint="eastAsia" w:cs="宋体"/>
                <w:color w:val="000000" w:themeColor="text1"/>
                <w:kern w:val="0"/>
                <w:sz w:val="21"/>
                <w:szCs w:val="21"/>
                <w:highlight w:val="none"/>
                <w:lang w:eastAsia="zh-CN"/>
              </w:rPr>
              <w:t>）</w:t>
            </w:r>
            <w:r>
              <w:rPr>
                <w:rFonts w:hint="eastAsia" w:ascii="宋体" w:hAnsi="宋体" w:eastAsia="宋体" w:cs="宋体"/>
                <w:color w:val="000000" w:themeColor="text1"/>
                <w:kern w:val="0"/>
                <w:sz w:val="21"/>
                <w:szCs w:val="21"/>
                <w:highlight w:val="none"/>
              </w:rPr>
              <w:t>。</w:t>
            </w:r>
          </w:p>
        </w:tc>
        <w:tc>
          <w:tcPr>
            <w:tcW w:w="234" w:type="pct"/>
            <w:vAlign w:val="center"/>
          </w:tcPr>
          <w:p w14:paraId="55EC72E4">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否</w:t>
            </w:r>
          </w:p>
        </w:tc>
      </w:tr>
      <w:tr w14:paraId="261D7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12749956">
            <w:pPr>
              <w:widowControl w:val="0"/>
              <w:numPr>
                <w:ilvl w:val="0"/>
                <w:numId w:val="63"/>
              </w:numPr>
              <w:adjustRightInd w:val="0"/>
              <w:snapToGrid w:val="0"/>
              <w:jc w:val="left"/>
              <w:rPr>
                <w:rFonts w:hint="eastAsia" w:ascii="宋体" w:hAnsi="宋体" w:eastAsia="宋体" w:cs="宋体"/>
                <w:color w:val="000000" w:themeColor="text1"/>
                <w:kern w:val="0"/>
                <w:sz w:val="21"/>
                <w:szCs w:val="21"/>
                <w:highlight w:val="none"/>
              </w:rPr>
            </w:pPr>
          </w:p>
        </w:tc>
        <w:tc>
          <w:tcPr>
            <w:tcW w:w="1564" w:type="pct"/>
            <w:vAlign w:val="center"/>
          </w:tcPr>
          <w:p w14:paraId="60BDF40D">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第十四条  本标准所列情形中直接关系生产安全的监控、报警、防护等设施、设备、装置，应当保证正常运行、使用，失效或者无效均判定为重大事故隐患。</w:t>
            </w:r>
          </w:p>
        </w:tc>
        <w:tc>
          <w:tcPr>
            <w:tcW w:w="1998" w:type="pct"/>
            <w:vAlign w:val="center"/>
          </w:tcPr>
          <w:p w14:paraId="2C4CDC98">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由于检测、维护、保养不到位，或者通过关闭、破坏、篡改等方式，造成本标准所列情形中直接关系生产安全的监控、报警、防护等设施、设备、装置，处于未通电、未启用、未联锁、数据失真等不能正常运行、使用的状态，均判定为重大事故隐患。</w:t>
            </w:r>
          </w:p>
        </w:tc>
        <w:tc>
          <w:tcPr>
            <w:tcW w:w="975" w:type="pct"/>
            <w:vAlign w:val="center"/>
          </w:tcPr>
          <w:p w14:paraId="2E58811C">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正常运行、使用。</w:t>
            </w:r>
          </w:p>
        </w:tc>
        <w:tc>
          <w:tcPr>
            <w:tcW w:w="234" w:type="pct"/>
            <w:vAlign w:val="center"/>
          </w:tcPr>
          <w:p w14:paraId="6B9D4ED4">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否</w:t>
            </w:r>
          </w:p>
        </w:tc>
      </w:tr>
    </w:tbl>
    <w:p w14:paraId="53543D18">
      <w:pPr>
        <w:widowControl w:val="0"/>
        <w:adjustRightInd w:val="0"/>
        <w:snapToGrid w:val="0"/>
        <w:spacing w:beforeLines="50" w:line="360" w:lineRule="auto"/>
        <w:ind w:firstLine="560" w:firstLineChars="200"/>
        <w:rPr>
          <w:rFonts w:hint="eastAsia"/>
          <w:color w:val="000000" w:themeColor="text1"/>
          <w:kern w:val="0"/>
          <w:sz w:val="28"/>
          <w:szCs w:val="28"/>
          <w:highlight w:val="none"/>
        </w:rPr>
      </w:pPr>
      <w:r>
        <w:rPr>
          <w:color w:val="000000" w:themeColor="text1"/>
          <w:kern w:val="0"/>
          <w:sz w:val="28"/>
          <w:szCs w:val="28"/>
          <w:highlight w:val="none"/>
        </w:rPr>
        <w:t>评</w:t>
      </w:r>
      <w:r>
        <w:rPr>
          <w:rFonts w:hint="eastAsia"/>
          <w:color w:val="000000" w:themeColor="text1"/>
          <w:kern w:val="0"/>
          <w:sz w:val="28"/>
          <w:szCs w:val="28"/>
          <w:highlight w:val="none"/>
        </w:rPr>
        <w:t>价</w:t>
      </w:r>
      <w:r>
        <w:rPr>
          <w:color w:val="000000" w:themeColor="text1"/>
          <w:kern w:val="0"/>
          <w:sz w:val="28"/>
          <w:szCs w:val="28"/>
          <w:highlight w:val="none"/>
        </w:rPr>
        <w:t>小结</w:t>
      </w:r>
      <w:r>
        <w:rPr>
          <w:rFonts w:hint="eastAsia"/>
          <w:color w:val="000000" w:themeColor="text1"/>
          <w:kern w:val="0"/>
          <w:sz w:val="28"/>
          <w:szCs w:val="28"/>
          <w:highlight w:val="none"/>
        </w:rPr>
        <w:t>，</w:t>
      </w:r>
      <w:r>
        <w:rPr>
          <w:rFonts w:hint="eastAsia"/>
          <w:color w:val="000000" w:themeColor="text1"/>
          <w:kern w:val="0"/>
          <w:sz w:val="28"/>
          <w:szCs w:val="28"/>
          <w:highlight w:val="none"/>
          <w:lang w:eastAsia="zh-CN"/>
        </w:rPr>
        <w:t>经排查，</w:t>
      </w:r>
      <w:r>
        <w:rPr>
          <w:rFonts w:hint="eastAsia"/>
          <w:color w:val="000000" w:themeColor="text1"/>
          <w:sz w:val="28"/>
          <w:szCs w:val="28"/>
          <w:highlight w:val="none"/>
          <w:lang w:eastAsia="zh-CN"/>
        </w:rPr>
        <w:t>本项目</w:t>
      </w:r>
      <w:r>
        <w:rPr>
          <w:rFonts w:hint="eastAsia"/>
          <w:color w:val="000000" w:themeColor="text1"/>
          <w:kern w:val="0"/>
          <w:sz w:val="28"/>
          <w:szCs w:val="28"/>
          <w:highlight w:val="none"/>
        </w:rPr>
        <w:t>不存在重大生产安全事故隐患。</w:t>
      </w:r>
    </w:p>
    <w:p w14:paraId="4EAA709A">
      <w:pPr>
        <w:pStyle w:val="7"/>
        <w:keepNext w:val="0"/>
        <w:keepLines w:val="0"/>
        <w:pageBreakBefore w:val="0"/>
        <w:widowControl w:val="0"/>
        <w:kinsoku/>
        <w:wordWrap/>
        <w:overflowPunct/>
        <w:topLinePunct w:val="0"/>
        <w:autoSpaceDE/>
        <w:autoSpaceDN/>
        <w:bidi w:val="0"/>
        <w:adjustRightInd w:val="0"/>
        <w:snapToGrid w:val="0"/>
        <w:textAlignment w:val="auto"/>
        <w:rPr>
          <w:rFonts w:hint="eastAsia" w:eastAsia="黑体"/>
          <w:color w:val="000000" w:themeColor="text1"/>
          <w:szCs w:val="28"/>
          <w:highlight w:val="none"/>
          <w:lang w:eastAsia="zh-CN"/>
        </w:rPr>
      </w:pPr>
      <w:bookmarkStart w:id="915" w:name="_Toc13048"/>
      <w:bookmarkStart w:id="916" w:name="_Toc15334"/>
      <w:bookmarkStart w:id="917" w:name="_Toc18558"/>
      <w:bookmarkStart w:id="918" w:name="_Toc8772"/>
      <w:bookmarkStart w:id="919" w:name="_Toc9179"/>
      <w:bookmarkStart w:id="920" w:name="_Toc16599"/>
      <w:r>
        <w:rPr>
          <w:rFonts w:hint="eastAsia"/>
          <w:color w:val="000000" w:themeColor="text1"/>
          <w:szCs w:val="28"/>
          <w:highlight w:val="none"/>
        </w:rPr>
        <w:t>5</w:t>
      </w:r>
      <w:r>
        <w:rPr>
          <w:color w:val="000000" w:themeColor="text1"/>
          <w:szCs w:val="28"/>
          <w:highlight w:val="none"/>
        </w:rPr>
        <w:t>.1.</w:t>
      </w:r>
      <w:r>
        <w:rPr>
          <w:rFonts w:hint="eastAsia"/>
          <w:color w:val="000000" w:themeColor="text1"/>
          <w:szCs w:val="28"/>
          <w:highlight w:val="none"/>
          <w:lang w:val="en-US" w:eastAsia="zh-CN"/>
        </w:rPr>
        <w:t>8</w:t>
      </w:r>
      <w:r>
        <w:rPr>
          <w:rFonts w:hint="eastAsia"/>
          <w:color w:val="000000" w:themeColor="text1"/>
          <w:szCs w:val="28"/>
          <w:highlight w:val="none"/>
          <w:lang w:eastAsia="zh-CN"/>
        </w:rPr>
        <w:t>其他</w:t>
      </w:r>
      <w:r>
        <w:rPr>
          <w:rFonts w:hint="eastAsia"/>
          <w:color w:val="000000" w:themeColor="text1"/>
          <w:szCs w:val="28"/>
          <w:highlight w:val="none"/>
        </w:rPr>
        <w:t>安全管理</w:t>
      </w:r>
      <w:bookmarkEnd w:id="892"/>
      <w:bookmarkEnd w:id="893"/>
      <w:r>
        <w:rPr>
          <w:rFonts w:hint="eastAsia"/>
          <w:color w:val="000000" w:themeColor="text1"/>
          <w:szCs w:val="28"/>
          <w:highlight w:val="none"/>
          <w:lang w:eastAsia="zh-CN"/>
        </w:rPr>
        <w:t>评价</w:t>
      </w:r>
      <w:bookmarkEnd w:id="915"/>
      <w:bookmarkEnd w:id="916"/>
      <w:bookmarkEnd w:id="917"/>
      <w:bookmarkEnd w:id="918"/>
      <w:bookmarkEnd w:id="919"/>
      <w:bookmarkEnd w:id="920"/>
    </w:p>
    <w:p w14:paraId="0396660C">
      <w:pPr>
        <w:pStyle w:val="26"/>
        <w:keepNext w:val="0"/>
        <w:keepLines w:val="0"/>
        <w:pageBreakBefore w:val="0"/>
        <w:widowControl w:val="0"/>
        <w:kinsoku/>
        <w:wordWrap/>
        <w:overflowPunct/>
        <w:topLinePunct w:val="0"/>
        <w:autoSpaceDE/>
        <w:autoSpaceDN/>
        <w:bidi w:val="0"/>
        <w:adjustRightInd w:val="0"/>
        <w:snapToGrid w:val="0"/>
        <w:spacing w:after="0" w:line="360" w:lineRule="auto"/>
        <w:ind w:firstLine="560" w:firstLineChars="200"/>
        <w:textAlignment w:val="auto"/>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依据</w:t>
      </w:r>
      <w:r>
        <w:rPr>
          <w:rFonts w:hint="eastAsia" w:ascii="宋体" w:hAnsi="宋体" w:cs="宋体"/>
          <w:color w:val="000000" w:themeColor="text1"/>
          <w:kern w:val="0"/>
          <w:sz w:val="28"/>
          <w:szCs w:val="28"/>
          <w:highlight w:val="none"/>
          <w:lang w:eastAsia="zh-CN"/>
        </w:rPr>
        <w:t>现行</w:t>
      </w:r>
      <w:r>
        <w:rPr>
          <w:rFonts w:hint="eastAsia" w:ascii="宋体" w:hAnsi="宋体" w:eastAsia="宋体" w:cs="宋体"/>
          <w:color w:val="000000" w:themeColor="text1"/>
          <w:kern w:val="0"/>
          <w:sz w:val="28"/>
          <w:szCs w:val="28"/>
          <w:highlight w:val="none"/>
        </w:rPr>
        <w:t>《中华人民共和国安全生产法</w:t>
      </w:r>
      <w:r>
        <w:rPr>
          <w:rFonts w:hint="eastAsia" w:ascii="宋体" w:hAnsi="宋体" w:cs="宋体"/>
          <w:color w:val="000000" w:themeColor="text1"/>
          <w:kern w:val="0"/>
          <w:sz w:val="28"/>
          <w:szCs w:val="28"/>
          <w:highlight w:val="none"/>
          <w:lang w:eastAsia="zh-CN"/>
        </w:rPr>
        <w:t>》、《</w:t>
      </w:r>
      <w:r>
        <w:rPr>
          <w:rFonts w:hint="eastAsia" w:hAnsi="宋体"/>
          <w:color w:val="000000" w:themeColor="text1"/>
          <w:sz w:val="28"/>
          <w:highlight w:val="none"/>
        </w:rPr>
        <w:t>生产安全事故应急预案管理办法</w:t>
      </w:r>
      <w:r>
        <w:rPr>
          <w:rFonts w:hint="eastAsia" w:hAnsi="宋体"/>
          <w:color w:val="000000" w:themeColor="text1"/>
          <w:sz w:val="28"/>
          <w:highlight w:val="none"/>
          <w:lang w:eastAsia="zh-CN"/>
        </w:rPr>
        <w:t>》、《</w:t>
      </w:r>
      <w:r>
        <w:rPr>
          <w:rFonts w:hint="eastAsia" w:ascii="宋体" w:hAnsi="宋体" w:eastAsia="宋体" w:cs="宋体"/>
          <w:color w:val="000000" w:themeColor="text1"/>
          <w:kern w:val="0"/>
          <w:sz w:val="28"/>
          <w:szCs w:val="28"/>
          <w:highlight w:val="none"/>
        </w:rPr>
        <w:t>生产经营单位安全培训规定</w:t>
      </w:r>
      <w:r>
        <w:rPr>
          <w:rFonts w:hint="eastAsia" w:ascii="宋体" w:hAnsi="宋体"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安全生产培训管理办法》</w:t>
      </w:r>
      <w:r>
        <w:rPr>
          <w:rFonts w:hint="eastAsia" w:ascii="宋体" w:hAnsi="宋体" w:eastAsia="宋体" w:cs="宋体"/>
          <w:color w:val="000000" w:themeColor="text1"/>
          <w:sz w:val="28"/>
          <w:szCs w:val="28"/>
          <w:highlight w:val="none"/>
          <w:lang w:eastAsia="zh-CN"/>
        </w:rPr>
        <w:t>和</w:t>
      </w:r>
      <w:r>
        <w:rPr>
          <w:rFonts w:hint="eastAsia" w:ascii="宋体" w:hAnsi="宋体" w:eastAsia="宋体" w:cs="宋体"/>
          <w:color w:val="000000" w:themeColor="text1"/>
          <w:kern w:val="0"/>
          <w:sz w:val="28"/>
          <w:szCs w:val="28"/>
          <w:highlight w:val="none"/>
        </w:rPr>
        <w:t>《浙江省安全生产条例》</w:t>
      </w:r>
      <w:r>
        <w:rPr>
          <w:rFonts w:hint="eastAsia" w:ascii="宋体" w:hAnsi="宋体" w:eastAsia="宋体" w:cs="宋体"/>
          <w:color w:val="000000" w:themeColor="text1"/>
          <w:kern w:val="0"/>
          <w:sz w:val="28"/>
          <w:szCs w:val="28"/>
          <w:highlight w:val="none"/>
          <w:lang w:eastAsia="zh-CN"/>
        </w:rPr>
        <w:t>的</w:t>
      </w:r>
      <w:r>
        <w:rPr>
          <w:rFonts w:hint="eastAsia" w:ascii="宋体" w:hAnsi="宋体" w:eastAsia="宋体" w:cs="宋体"/>
          <w:color w:val="000000" w:themeColor="text1"/>
          <w:kern w:val="0"/>
          <w:sz w:val="28"/>
          <w:szCs w:val="28"/>
          <w:highlight w:val="none"/>
        </w:rPr>
        <w:t>要求</w:t>
      </w:r>
      <w:r>
        <w:rPr>
          <w:rFonts w:hint="eastAsia" w:ascii="宋体" w:hAnsi="宋体" w:eastAsia="宋体" w:cs="宋体"/>
          <w:color w:val="000000" w:themeColor="text1"/>
          <w:kern w:val="0"/>
          <w:sz w:val="28"/>
          <w:szCs w:val="28"/>
          <w:highlight w:val="none"/>
          <w:lang w:eastAsia="zh-Hans"/>
        </w:rPr>
        <w:t>对</w:t>
      </w:r>
      <w:r>
        <w:rPr>
          <w:rFonts w:hint="eastAsia" w:ascii="宋体" w:hAnsi="宋体" w:cs="宋体"/>
          <w:color w:val="000000" w:themeColor="text1"/>
          <w:sz w:val="28"/>
          <w:szCs w:val="28"/>
          <w:highlight w:val="none"/>
          <w:lang w:eastAsia="zh-CN"/>
        </w:rPr>
        <w:t>本项目</w:t>
      </w:r>
      <w:r>
        <w:rPr>
          <w:rFonts w:hint="eastAsia" w:ascii="宋体" w:hAnsi="宋体" w:eastAsia="宋体" w:cs="宋体"/>
          <w:color w:val="000000" w:themeColor="text1"/>
          <w:kern w:val="0"/>
          <w:sz w:val="28"/>
          <w:szCs w:val="28"/>
          <w:highlight w:val="none"/>
        </w:rPr>
        <w:t>安全管理进行检查，检查情况见下表。</w:t>
      </w:r>
    </w:p>
    <w:p w14:paraId="76397479">
      <w:pPr>
        <w:pStyle w:val="230"/>
        <w:keepNext w:val="0"/>
        <w:keepLines w:val="0"/>
        <w:pageBreakBefore w:val="0"/>
        <w:widowControl w:val="0"/>
        <w:bidi w:val="0"/>
        <w:adjustRightInd w:val="0"/>
        <w:snapToGrid w:val="0"/>
        <w:spacing w:line="360" w:lineRule="auto"/>
        <w:jc w:val="center"/>
        <w:rPr>
          <w:rFonts w:hint="eastAsia" w:ascii="黑体" w:hAnsi="黑体" w:eastAsia="黑体"/>
          <w:b/>
          <w:bCs w:val="0"/>
          <w:color w:val="000000" w:themeColor="text1"/>
          <w:kern w:val="0"/>
          <w:sz w:val="24"/>
          <w:szCs w:val="24"/>
          <w:highlight w:val="none"/>
        </w:rPr>
      </w:pPr>
      <w:r>
        <w:rPr>
          <w:rFonts w:hint="eastAsia" w:ascii="黑体" w:hAnsi="黑体" w:eastAsia="黑体"/>
          <w:b/>
          <w:bCs w:val="0"/>
          <w:color w:val="000000" w:themeColor="text1"/>
          <w:kern w:val="0"/>
          <w:sz w:val="24"/>
          <w:szCs w:val="24"/>
          <w:highlight w:val="none"/>
        </w:rPr>
        <w:t>表5.</w:t>
      </w:r>
      <w:r>
        <w:rPr>
          <w:rFonts w:hint="eastAsia" w:ascii="黑体" w:hAnsi="黑体" w:eastAsia="黑体"/>
          <w:b/>
          <w:bCs w:val="0"/>
          <w:color w:val="000000" w:themeColor="text1"/>
          <w:kern w:val="0"/>
          <w:sz w:val="24"/>
          <w:szCs w:val="24"/>
          <w:highlight w:val="none"/>
          <w:lang w:val="en-US" w:eastAsia="zh-CN"/>
        </w:rPr>
        <w:t>1-12</w:t>
      </w:r>
      <w:r>
        <w:rPr>
          <w:rFonts w:hint="eastAsia" w:ascii="黑体" w:hAnsi="黑体" w:eastAsia="黑体"/>
          <w:b/>
          <w:bCs w:val="0"/>
          <w:color w:val="000000" w:themeColor="text1"/>
          <w:kern w:val="0"/>
          <w:sz w:val="24"/>
          <w:szCs w:val="24"/>
          <w:highlight w:val="none"/>
        </w:rPr>
        <w:t>安全管理检查表</w:t>
      </w:r>
    </w:p>
    <w:tbl>
      <w:tblPr>
        <w:tblStyle w:val="61"/>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8"/>
        <w:gridCol w:w="3549"/>
        <w:gridCol w:w="1868"/>
        <w:gridCol w:w="2589"/>
        <w:gridCol w:w="699"/>
      </w:tblGrid>
      <w:tr w14:paraId="4C2DC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366" w:type="pct"/>
            <w:noWrap w:val="0"/>
            <w:vAlign w:val="center"/>
          </w:tcPr>
          <w:p w14:paraId="14A8DD8F">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序号</w:t>
            </w:r>
          </w:p>
        </w:tc>
        <w:tc>
          <w:tcPr>
            <w:tcW w:w="1889" w:type="pct"/>
            <w:noWrap w:val="0"/>
            <w:vAlign w:val="center"/>
          </w:tcPr>
          <w:p w14:paraId="00B357EF">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检查项目</w:t>
            </w:r>
          </w:p>
        </w:tc>
        <w:tc>
          <w:tcPr>
            <w:tcW w:w="994" w:type="pct"/>
            <w:noWrap w:val="0"/>
            <w:vAlign w:val="center"/>
          </w:tcPr>
          <w:p w14:paraId="593B39B4">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检查依据</w:t>
            </w:r>
          </w:p>
        </w:tc>
        <w:tc>
          <w:tcPr>
            <w:tcW w:w="1378" w:type="pct"/>
            <w:noWrap w:val="0"/>
            <w:vAlign w:val="center"/>
          </w:tcPr>
          <w:p w14:paraId="7B194184">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实际情况</w:t>
            </w:r>
          </w:p>
        </w:tc>
        <w:tc>
          <w:tcPr>
            <w:tcW w:w="371" w:type="pct"/>
            <w:noWrap w:val="0"/>
            <w:vAlign w:val="center"/>
          </w:tcPr>
          <w:p w14:paraId="5D629561">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检查</w:t>
            </w:r>
          </w:p>
          <w:p w14:paraId="4E61FB85">
            <w:pPr>
              <w:widowControl w:val="0"/>
              <w:adjustRightInd w:val="0"/>
              <w:snapToGrid w:val="0"/>
              <w:jc w:val="center"/>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结果</w:t>
            </w:r>
          </w:p>
        </w:tc>
      </w:tr>
      <w:tr w14:paraId="441C1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01AE135B">
            <w:pPr>
              <w:widowControl w:val="0"/>
              <w:numPr>
                <w:ilvl w:val="0"/>
                <w:numId w:val="64"/>
              </w:numPr>
              <w:adjustRightInd w:val="0"/>
              <w:snapToGrid w:val="0"/>
              <w:ind w:left="0" w:firstLine="0"/>
              <w:jc w:val="both"/>
              <w:rPr>
                <w:rFonts w:hint="eastAsia" w:ascii="宋体" w:hAnsi="宋体" w:eastAsia="宋体" w:cs="宋体"/>
                <w:color w:val="000000" w:themeColor="text1"/>
                <w:kern w:val="0"/>
                <w:sz w:val="21"/>
                <w:szCs w:val="21"/>
                <w:highlight w:val="none"/>
              </w:rPr>
            </w:pPr>
          </w:p>
        </w:tc>
        <w:tc>
          <w:tcPr>
            <w:tcW w:w="4633" w:type="pct"/>
            <w:gridSpan w:val="4"/>
            <w:noWrap w:val="0"/>
            <w:vAlign w:val="center"/>
          </w:tcPr>
          <w:p w14:paraId="0DA489D3">
            <w:pPr>
              <w:widowControl w:val="0"/>
              <w:adjustRightInd w:val="0"/>
              <w:snapToGrid w:val="0"/>
              <w:jc w:val="lef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安全管理制度</w:t>
            </w:r>
          </w:p>
        </w:tc>
      </w:tr>
      <w:tr w14:paraId="656FB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32C0A203">
            <w:pPr>
              <w:widowControl w:val="0"/>
              <w:numPr>
                <w:ilvl w:val="0"/>
                <w:numId w:val="65"/>
              </w:numPr>
              <w:adjustRightInd w:val="0"/>
              <w:snapToGrid w:val="0"/>
              <w:jc w:val="center"/>
              <w:rPr>
                <w:rFonts w:hint="eastAsia" w:ascii="宋体" w:hAnsi="宋体" w:eastAsia="宋体" w:cs="宋体"/>
                <w:color w:val="000000" w:themeColor="text1"/>
                <w:kern w:val="0"/>
                <w:sz w:val="21"/>
                <w:szCs w:val="21"/>
                <w:highlight w:val="none"/>
              </w:rPr>
            </w:pPr>
          </w:p>
        </w:tc>
        <w:tc>
          <w:tcPr>
            <w:tcW w:w="1889" w:type="pct"/>
            <w:noWrap w:val="0"/>
            <w:vAlign w:val="center"/>
          </w:tcPr>
          <w:p w14:paraId="58310F68">
            <w:pPr>
              <w:widowControl w:val="0"/>
              <w:adjustRightInd w:val="0"/>
              <w:snapToGrid w:val="0"/>
              <w:jc w:val="left"/>
              <w:textAlignment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生产经营单位应当建立健全下列安全生产管理制度，明确相关操作规程并予以落实：</w:t>
            </w:r>
          </w:p>
          <w:p w14:paraId="7645E9AE">
            <w:pPr>
              <w:widowControl w:val="0"/>
              <w:adjustRightInd w:val="0"/>
              <w:snapToGrid w:val="0"/>
              <w:jc w:val="left"/>
              <w:textAlignment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（一）安全生产投入及费用管理；</w:t>
            </w:r>
          </w:p>
          <w:p w14:paraId="4F16CEA0">
            <w:pPr>
              <w:widowControl w:val="0"/>
              <w:adjustRightInd w:val="0"/>
              <w:snapToGrid w:val="0"/>
              <w:jc w:val="left"/>
              <w:textAlignment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（二）安全生产教育、培训；</w:t>
            </w:r>
          </w:p>
          <w:p w14:paraId="54789262">
            <w:pPr>
              <w:widowControl w:val="0"/>
              <w:adjustRightInd w:val="0"/>
              <w:snapToGrid w:val="0"/>
              <w:jc w:val="left"/>
              <w:textAlignment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（三）场所、设施、设备安全管理；</w:t>
            </w:r>
          </w:p>
          <w:p w14:paraId="6ECB6272">
            <w:pPr>
              <w:widowControl w:val="0"/>
              <w:adjustRightInd w:val="0"/>
              <w:snapToGrid w:val="0"/>
              <w:jc w:val="left"/>
              <w:textAlignment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（四）安全风险分级管控；</w:t>
            </w:r>
          </w:p>
          <w:p w14:paraId="0A5CC113">
            <w:pPr>
              <w:widowControl w:val="0"/>
              <w:adjustRightInd w:val="0"/>
              <w:snapToGrid w:val="0"/>
              <w:jc w:val="left"/>
              <w:textAlignment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（五）安全检查和事故隐患排查治理；</w:t>
            </w:r>
          </w:p>
          <w:p w14:paraId="4C43C11F">
            <w:pPr>
              <w:widowControl w:val="0"/>
              <w:adjustRightInd w:val="0"/>
              <w:snapToGrid w:val="0"/>
              <w:jc w:val="left"/>
              <w:textAlignment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（六）劳动防护用品配备和管理；</w:t>
            </w:r>
          </w:p>
          <w:p w14:paraId="3BC85A89">
            <w:pPr>
              <w:widowControl w:val="0"/>
              <w:adjustRightInd w:val="0"/>
              <w:snapToGrid w:val="0"/>
              <w:jc w:val="left"/>
              <w:textAlignment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（七）应急预案管理和救援；</w:t>
            </w:r>
          </w:p>
          <w:p w14:paraId="37FBBE0B">
            <w:pPr>
              <w:widowControl w:val="0"/>
              <w:adjustRightInd w:val="0"/>
              <w:snapToGrid w:val="0"/>
              <w:jc w:val="left"/>
              <w:textAlignment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（八）生产安全事故报告和处置；</w:t>
            </w:r>
          </w:p>
          <w:p w14:paraId="53200E3D">
            <w:pPr>
              <w:widowControl w:val="0"/>
              <w:adjustRightInd w:val="0"/>
              <w:snapToGrid w:val="0"/>
              <w:jc w:val="left"/>
              <w:textAlignment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（九）其他保障安全生产的管理制度。</w:t>
            </w:r>
          </w:p>
          <w:p w14:paraId="6D0CA9A7">
            <w:pPr>
              <w:widowControl w:val="0"/>
              <w:adjustRightInd w:val="0"/>
              <w:snapToGrid w:val="0"/>
              <w:jc w:val="left"/>
              <w:textAlignment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从事危险作业或者生产经营场所、设施、设备存在较大危险因素的，生产经营单位还应当制定专项安全生产管理制度。</w:t>
            </w:r>
          </w:p>
          <w:p w14:paraId="3112FD80">
            <w:pPr>
              <w:widowControl w:val="0"/>
              <w:adjustRightInd w:val="0"/>
              <w:snapToGrid w:val="0"/>
              <w:jc w:val="left"/>
              <w:textAlignment w:val="center"/>
              <w:rPr>
                <w:rFonts w:hint="eastAsia" w:ascii="宋体" w:hAnsi="宋体" w:eastAsia="宋体" w:cs="宋体"/>
                <w:color w:val="000000" w:themeColor="text1"/>
                <w:kern w:val="0"/>
                <w:sz w:val="21"/>
                <w:szCs w:val="21"/>
                <w:highlight w:val="none"/>
                <w:lang w:val="en-US" w:eastAsia="zh-Hans" w:bidi="ar-SA"/>
              </w:rPr>
            </w:pPr>
            <w:r>
              <w:rPr>
                <w:rFonts w:hint="eastAsia" w:ascii="宋体" w:hAnsi="宋体" w:eastAsia="宋体" w:cs="宋体"/>
                <w:color w:val="000000" w:themeColor="text1"/>
                <w:kern w:val="0"/>
                <w:sz w:val="21"/>
                <w:szCs w:val="21"/>
                <w:highlight w:val="none"/>
              </w:rPr>
              <w:t>小型、微型企业等规模较小的生产经营单位，可以根据本单位实际，制定综合性安全生产管理制度。</w:t>
            </w:r>
          </w:p>
        </w:tc>
        <w:tc>
          <w:tcPr>
            <w:tcW w:w="994" w:type="pct"/>
            <w:noWrap w:val="0"/>
            <w:vAlign w:val="center"/>
          </w:tcPr>
          <w:p w14:paraId="4F34155B">
            <w:pPr>
              <w:widowControl w:val="0"/>
              <w:adjustRightInd w:val="0"/>
              <w:snapToGrid w:val="0"/>
              <w:jc w:val="center"/>
              <w:textAlignment w:val="center"/>
              <w:rPr>
                <w:rFonts w:hint="eastAsia" w:ascii="宋体" w:hAnsi="宋体" w:eastAsia="宋体" w:cs="宋体"/>
                <w:color w:val="000000" w:themeColor="text1"/>
                <w:kern w:val="0"/>
                <w:sz w:val="21"/>
                <w:szCs w:val="21"/>
                <w:highlight w:val="none"/>
                <w:lang w:val="en-US" w:eastAsia="zh-CN" w:bidi="ar"/>
              </w:rPr>
            </w:pPr>
            <w:r>
              <w:rPr>
                <w:rFonts w:hint="eastAsia" w:ascii="宋体" w:hAnsi="宋体" w:eastAsia="宋体" w:cs="宋体"/>
                <w:color w:val="000000" w:themeColor="text1"/>
                <w:kern w:val="0"/>
                <w:sz w:val="21"/>
                <w:szCs w:val="21"/>
                <w:highlight w:val="none"/>
              </w:rPr>
              <w:t>《浙江省安全生产条例》第</w:t>
            </w:r>
            <w:r>
              <w:rPr>
                <w:rFonts w:hint="eastAsia" w:ascii="宋体" w:hAnsi="宋体" w:eastAsia="宋体" w:cs="宋体"/>
                <w:color w:val="000000" w:themeColor="text1"/>
                <w:kern w:val="0"/>
                <w:sz w:val="21"/>
                <w:szCs w:val="21"/>
                <w:highlight w:val="none"/>
                <w:lang w:val="en-US" w:eastAsia="zh-CN"/>
              </w:rPr>
              <w:t>12</w:t>
            </w:r>
            <w:r>
              <w:rPr>
                <w:rFonts w:hint="eastAsia" w:ascii="宋体" w:hAnsi="宋体" w:eastAsia="宋体" w:cs="宋体"/>
                <w:color w:val="000000" w:themeColor="text1"/>
                <w:kern w:val="0"/>
                <w:sz w:val="21"/>
                <w:szCs w:val="21"/>
                <w:highlight w:val="none"/>
              </w:rPr>
              <w:t>条</w:t>
            </w:r>
          </w:p>
        </w:tc>
        <w:tc>
          <w:tcPr>
            <w:tcW w:w="1378" w:type="pct"/>
            <w:noWrap w:val="0"/>
            <w:vAlign w:val="center"/>
          </w:tcPr>
          <w:p w14:paraId="26D69FF1">
            <w:pPr>
              <w:widowControl w:val="0"/>
              <w:adjustRightInd w:val="0"/>
              <w:snapToGrid w:val="0"/>
              <w:jc w:val="left"/>
              <w:textAlignment w:val="auto"/>
              <w:rPr>
                <w:rFonts w:hint="eastAsia" w:ascii="宋体" w:hAnsi="宋体" w:eastAsia="宋体" w:cs="宋体"/>
                <w:b/>
                <w:bCs/>
                <w:color w:val="000000" w:themeColor="text1"/>
                <w:kern w:val="0"/>
                <w:sz w:val="21"/>
                <w:szCs w:val="21"/>
                <w:highlight w:val="none"/>
                <w:lang w:val="en-US" w:eastAsia="zh-CN" w:bidi="ar-SA"/>
              </w:rPr>
            </w:pPr>
            <w:bookmarkStart w:id="921" w:name="_Toc21396"/>
            <w:bookmarkStart w:id="922" w:name="_Toc1017"/>
            <w:r>
              <w:rPr>
                <w:rFonts w:hint="eastAsia" w:ascii="宋体" w:hAnsi="宋体" w:eastAsia="宋体" w:cs="宋体"/>
                <w:color w:val="000000" w:themeColor="text1"/>
                <w:kern w:val="0"/>
                <w:sz w:val="21"/>
                <w:szCs w:val="21"/>
                <w:highlight w:val="none"/>
                <w:u w:val="none"/>
                <w:lang w:eastAsia="zh-CN" w:bidi="ar"/>
              </w:rPr>
              <w:t>已建立安全生产投入及费用管理制度、安全生产教育、培训、考核管理制度、场所、设施、设备安全管理制度、安全风险分级管控制度、安全检查和事故隐患排查治理制度、劳动防护用品配备和管理制度、应急预案管理和救援制度、生产安全事故报告和处置制度等安全管理制度</w:t>
            </w:r>
            <w:bookmarkEnd w:id="921"/>
            <w:bookmarkEnd w:id="922"/>
            <w:r>
              <w:rPr>
                <w:rFonts w:hint="eastAsia" w:ascii="宋体" w:hAnsi="宋体" w:eastAsia="宋体" w:cs="宋体"/>
                <w:color w:val="000000" w:themeColor="text1"/>
                <w:sz w:val="21"/>
                <w:szCs w:val="21"/>
                <w:highlight w:val="none"/>
                <w:lang w:eastAsia="zh-CN"/>
              </w:rPr>
              <w:t>。</w:t>
            </w:r>
          </w:p>
        </w:tc>
        <w:tc>
          <w:tcPr>
            <w:tcW w:w="371" w:type="pct"/>
            <w:noWrap w:val="0"/>
            <w:vAlign w:val="center"/>
          </w:tcPr>
          <w:p w14:paraId="76F3D9F1">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eastAsia="zh-CN"/>
              </w:rPr>
              <w:t>符合</w:t>
            </w:r>
          </w:p>
        </w:tc>
      </w:tr>
      <w:tr w14:paraId="3E7B0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4F65A26C">
            <w:pPr>
              <w:widowControl w:val="0"/>
              <w:numPr>
                <w:ilvl w:val="0"/>
                <w:numId w:val="64"/>
              </w:numPr>
              <w:adjustRightInd w:val="0"/>
              <w:snapToGrid w:val="0"/>
              <w:ind w:left="0" w:firstLine="0"/>
              <w:jc w:val="center"/>
              <w:rPr>
                <w:rFonts w:hint="eastAsia" w:ascii="宋体" w:hAnsi="宋体" w:eastAsia="宋体" w:cs="宋体"/>
                <w:color w:val="000000" w:themeColor="text1"/>
                <w:kern w:val="0"/>
                <w:sz w:val="21"/>
                <w:szCs w:val="21"/>
                <w:highlight w:val="none"/>
              </w:rPr>
            </w:pPr>
          </w:p>
        </w:tc>
        <w:tc>
          <w:tcPr>
            <w:tcW w:w="4633" w:type="pct"/>
            <w:gridSpan w:val="4"/>
            <w:noWrap w:val="0"/>
            <w:vAlign w:val="center"/>
          </w:tcPr>
          <w:p w14:paraId="75A3E295">
            <w:pPr>
              <w:widowControl w:val="0"/>
              <w:adjustRightInd w:val="0"/>
              <w:snapToGrid w:val="0"/>
              <w:jc w:val="both"/>
              <w:rPr>
                <w:rFonts w:hint="eastAsia" w:ascii="宋体" w:hAnsi="宋体" w:eastAsia="宋体" w:cs="宋体"/>
                <w:color w:val="000000" w:themeColor="text1"/>
                <w:kern w:val="0"/>
                <w:sz w:val="21"/>
                <w:szCs w:val="21"/>
                <w:highlight w:val="none"/>
                <w:lang w:eastAsia="zh-Hans"/>
              </w:rPr>
            </w:pPr>
            <w:r>
              <w:rPr>
                <w:rFonts w:hint="eastAsia" w:ascii="宋体" w:hAnsi="宋体" w:eastAsia="宋体" w:cs="宋体"/>
                <w:color w:val="000000" w:themeColor="text1"/>
                <w:kern w:val="0"/>
                <w:sz w:val="21"/>
                <w:szCs w:val="21"/>
                <w:highlight w:val="none"/>
                <w:lang w:eastAsia="zh-CN"/>
              </w:rPr>
              <w:t>从业人员安全</w:t>
            </w:r>
            <w:r>
              <w:rPr>
                <w:rFonts w:hint="eastAsia" w:ascii="宋体" w:hAnsi="宋体" w:eastAsia="宋体" w:cs="宋体"/>
                <w:color w:val="000000" w:themeColor="text1"/>
                <w:kern w:val="0"/>
                <w:sz w:val="21"/>
                <w:szCs w:val="21"/>
                <w:highlight w:val="none"/>
              </w:rPr>
              <w:t>培训</w:t>
            </w:r>
          </w:p>
        </w:tc>
      </w:tr>
      <w:tr w14:paraId="0C6E7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3B2A5213">
            <w:pPr>
              <w:widowControl w:val="0"/>
              <w:numPr>
                <w:ilvl w:val="0"/>
                <w:numId w:val="66"/>
              </w:numPr>
              <w:adjustRightInd w:val="0"/>
              <w:snapToGrid w:val="0"/>
              <w:jc w:val="center"/>
              <w:rPr>
                <w:rFonts w:hint="eastAsia" w:ascii="宋体" w:hAnsi="宋体" w:eastAsia="宋体" w:cs="宋体"/>
                <w:color w:val="000000" w:themeColor="text1"/>
                <w:kern w:val="0"/>
                <w:sz w:val="21"/>
                <w:szCs w:val="21"/>
                <w:highlight w:val="none"/>
              </w:rPr>
            </w:pPr>
          </w:p>
        </w:tc>
        <w:tc>
          <w:tcPr>
            <w:tcW w:w="1889" w:type="pct"/>
            <w:noWrap w:val="0"/>
            <w:vAlign w:val="center"/>
          </w:tcPr>
          <w:p w14:paraId="5D25C519">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加工、制造业等生产单位的其他从业人员，在上岗前必须经过厂（矿）、车间（工段、区、队）、班组三级安全培训教育。</w:t>
            </w:r>
          </w:p>
          <w:p w14:paraId="320CA220">
            <w:pPr>
              <w:widowControl w:val="0"/>
              <w:adjustRightInd w:val="0"/>
              <w:snapToGrid w:val="0"/>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生产经营单位应当根据工作性质对其他从业人员进行安全培训，保证其具备本岗位安全操作、应急处置等知识和技能。</w:t>
            </w:r>
          </w:p>
        </w:tc>
        <w:tc>
          <w:tcPr>
            <w:tcW w:w="994" w:type="pct"/>
            <w:noWrap w:val="0"/>
            <w:vAlign w:val="center"/>
          </w:tcPr>
          <w:p w14:paraId="726DE638">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《生产经营单位安全培训规定》第</w:t>
            </w:r>
            <w:r>
              <w:rPr>
                <w:rFonts w:hint="eastAsia" w:ascii="宋体" w:hAnsi="宋体" w:eastAsia="宋体" w:cs="宋体"/>
                <w:color w:val="000000" w:themeColor="text1"/>
                <w:kern w:val="0"/>
                <w:sz w:val="21"/>
                <w:szCs w:val="21"/>
                <w:highlight w:val="none"/>
                <w:lang w:val="en-US" w:eastAsia="zh-CN"/>
              </w:rPr>
              <w:t>12</w:t>
            </w:r>
            <w:r>
              <w:rPr>
                <w:rFonts w:hint="eastAsia" w:ascii="宋体" w:hAnsi="宋体" w:eastAsia="宋体" w:cs="宋体"/>
                <w:color w:val="000000" w:themeColor="text1"/>
                <w:kern w:val="0"/>
                <w:sz w:val="21"/>
                <w:szCs w:val="21"/>
                <w:highlight w:val="none"/>
              </w:rPr>
              <w:t>条</w:t>
            </w:r>
          </w:p>
        </w:tc>
        <w:tc>
          <w:tcPr>
            <w:tcW w:w="1378" w:type="pct"/>
            <w:noWrap w:val="0"/>
            <w:vAlign w:val="center"/>
          </w:tcPr>
          <w:p w14:paraId="777A279E">
            <w:pPr>
              <w:widowControl w:val="0"/>
              <w:adjustRightInd w:val="0"/>
              <w:snapToGrid w:val="0"/>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岗前经过厂、车间、班组三级安全培训教育。</w:t>
            </w:r>
          </w:p>
        </w:tc>
        <w:tc>
          <w:tcPr>
            <w:tcW w:w="371" w:type="pct"/>
            <w:noWrap w:val="0"/>
            <w:vAlign w:val="center"/>
          </w:tcPr>
          <w:p w14:paraId="3E65234A">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cs="宋体"/>
                <w:color w:val="000000" w:themeColor="text1"/>
                <w:kern w:val="0"/>
                <w:sz w:val="21"/>
                <w:szCs w:val="21"/>
                <w:highlight w:val="none"/>
                <w:lang w:val="en-US" w:eastAsia="zh-CN" w:bidi="ar-SA"/>
              </w:rPr>
              <w:t>符合</w:t>
            </w:r>
          </w:p>
        </w:tc>
      </w:tr>
      <w:tr w14:paraId="18279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0BE8F91E">
            <w:pPr>
              <w:widowControl w:val="0"/>
              <w:numPr>
                <w:ilvl w:val="0"/>
                <w:numId w:val="66"/>
              </w:numPr>
              <w:adjustRightInd w:val="0"/>
              <w:snapToGrid w:val="0"/>
              <w:jc w:val="center"/>
              <w:rPr>
                <w:rFonts w:hint="eastAsia" w:ascii="宋体" w:hAnsi="宋体" w:eastAsia="宋体" w:cs="宋体"/>
                <w:color w:val="000000" w:themeColor="text1"/>
                <w:kern w:val="0"/>
                <w:sz w:val="21"/>
                <w:szCs w:val="21"/>
                <w:highlight w:val="none"/>
              </w:rPr>
            </w:pPr>
          </w:p>
        </w:tc>
        <w:tc>
          <w:tcPr>
            <w:tcW w:w="1889" w:type="pct"/>
            <w:noWrap w:val="0"/>
            <w:vAlign w:val="center"/>
          </w:tcPr>
          <w:p w14:paraId="791EE1A6">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生产经营单位新上岗的从业人员，岗前安全培训时间不得少于24学时。</w:t>
            </w:r>
          </w:p>
          <w:p w14:paraId="07DE6FB7">
            <w:pPr>
              <w:widowControl w:val="0"/>
              <w:adjustRightInd w:val="0"/>
              <w:snapToGrid w:val="0"/>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煤矿、非煤矿山、危险化学品、烟花爆竹、金属冶炼等生产经营单位新上岗的从业人员安全培训时间不得少于72学时，每年再培训的时间不得少于20学时。</w:t>
            </w:r>
          </w:p>
        </w:tc>
        <w:tc>
          <w:tcPr>
            <w:tcW w:w="994" w:type="pct"/>
            <w:noWrap w:val="0"/>
            <w:vAlign w:val="center"/>
          </w:tcPr>
          <w:p w14:paraId="2BF58E62">
            <w:pPr>
              <w:widowControl w:val="0"/>
              <w:adjustRightInd w:val="0"/>
              <w:snapToGrid w:val="0"/>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《生产经营单位安全培训规定》第</w:t>
            </w:r>
            <w:r>
              <w:rPr>
                <w:rFonts w:hint="eastAsia" w:ascii="宋体" w:hAnsi="宋体" w:eastAsia="宋体" w:cs="宋体"/>
                <w:color w:val="000000" w:themeColor="text1"/>
                <w:kern w:val="0"/>
                <w:sz w:val="21"/>
                <w:szCs w:val="21"/>
                <w:highlight w:val="none"/>
                <w:lang w:val="en-US" w:eastAsia="zh-CN"/>
              </w:rPr>
              <w:t>13</w:t>
            </w:r>
            <w:r>
              <w:rPr>
                <w:rFonts w:hint="eastAsia" w:ascii="宋体" w:hAnsi="宋体" w:eastAsia="宋体" w:cs="宋体"/>
                <w:color w:val="000000" w:themeColor="text1"/>
                <w:kern w:val="0"/>
                <w:sz w:val="21"/>
                <w:szCs w:val="21"/>
                <w:highlight w:val="none"/>
              </w:rPr>
              <w:t>条</w:t>
            </w:r>
          </w:p>
        </w:tc>
        <w:tc>
          <w:tcPr>
            <w:tcW w:w="1378" w:type="pct"/>
            <w:noWrap w:val="0"/>
            <w:vAlign w:val="center"/>
          </w:tcPr>
          <w:p w14:paraId="45BFF4DD">
            <w:pPr>
              <w:widowControl w:val="0"/>
              <w:adjustRightInd w:val="0"/>
              <w:snapToGrid w:val="0"/>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岗前安全培训时间24学时。</w:t>
            </w:r>
          </w:p>
        </w:tc>
        <w:tc>
          <w:tcPr>
            <w:tcW w:w="371" w:type="pct"/>
            <w:noWrap w:val="0"/>
            <w:vAlign w:val="center"/>
          </w:tcPr>
          <w:p w14:paraId="61476D02">
            <w:pPr>
              <w:widowControl w:val="0"/>
              <w:adjustRightInd w:val="0"/>
              <w:snapToGrid w:val="0"/>
              <w:jc w:val="center"/>
              <w:rPr>
                <w:rFonts w:hint="eastAsia" w:ascii="宋体" w:hAnsi="宋体" w:eastAsia="宋体" w:cs="宋体"/>
                <w:color w:val="000000" w:themeColor="text1"/>
                <w:kern w:val="0"/>
                <w:sz w:val="21"/>
                <w:szCs w:val="21"/>
                <w:highlight w:val="none"/>
                <w:lang w:val="en-US" w:eastAsia="zh-Hans" w:bidi="ar-SA"/>
              </w:rPr>
            </w:pPr>
            <w:r>
              <w:rPr>
                <w:rFonts w:hint="eastAsia" w:ascii="宋体" w:hAnsi="宋体" w:eastAsia="宋体" w:cs="宋体"/>
                <w:color w:val="000000" w:themeColor="text1"/>
                <w:kern w:val="0"/>
                <w:sz w:val="21"/>
                <w:szCs w:val="21"/>
                <w:highlight w:val="none"/>
                <w:lang w:eastAsia="zh-Hans"/>
              </w:rPr>
              <w:t>符合</w:t>
            </w:r>
          </w:p>
        </w:tc>
      </w:tr>
      <w:tr w14:paraId="56446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0887C137">
            <w:pPr>
              <w:widowControl w:val="0"/>
              <w:numPr>
                <w:ilvl w:val="0"/>
                <w:numId w:val="66"/>
              </w:numPr>
              <w:adjustRightInd w:val="0"/>
              <w:snapToGrid w:val="0"/>
              <w:jc w:val="center"/>
              <w:rPr>
                <w:rFonts w:hint="eastAsia" w:ascii="宋体" w:hAnsi="宋体" w:eastAsia="宋体" w:cs="宋体"/>
                <w:color w:val="000000" w:themeColor="text1"/>
                <w:kern w:val="0"/>
                <w:sz w:val="21"/>
                <w:szCs w:val="21"/>
                <w:highlight w:val="none"/>
              </w:rPr>
            </w:pPr>
          </w:p>
        </w:tc>
        <w:tc>
          <w:tcPr>
            <w:tcW w:w="1889" w:type="pct"/>
            <w:noWrap w:val="0"/>
            <w:vAlign w:val="center"/>
          </w:tcPr>
          <w:p w14:paraId="2244BA4F">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安全生产监督管理部门、煤矿安全培训监管机构和生产经营单位应当制定安全培训的考核制度，建立考核管理档案备查。</w:t>
            </w:r>
          </w:p>
        </w:tc>
        <w:tc>
          <w:tcPr>
            <w:tcW w:w="994" w:type="pct"/>
            <w:noWrap w:val="0"/>
            <w:vAlign w:val="center"/>
          </w:tcPr>
          <w:p w14:paraId="5ECF8304">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《安全生产培训管理办法》第</w:t>
            </w:r>
            <w:r>
              <w:rPr>
                <w:rFonts w:hint="eastAsia" w:ascii="宋体" w:hAnsi="宋体" w:eastAsia="宋体" w:cs="宋体"/>
                <w:color w:val="000000" w:themeColor="text1"/>
                <w:kern w:val="0"/>
                <w:sz w:val="21"/>
                <w:szCs w:val="21"/>
                <w:highlight w:val="none"/>
                <w:lang w:val="en-US" w:eastAsia="zh-CN"/>
              </w:rPr>
              <w:t>21</w:t>
            </w:r>
            <w:r>
              <w:rPr>
                <w:rFonts w:hint="eastAsia" w:ascii="宋体" w:hAnsi="宋体" w:eastAsia="宋体" w:cs="宋体"/>
                <w:color w:val="000000" w:themeColor="text1"/>
                <w:kern w:val="0"/>
                <w:sz w:val="21"/>
                <w:szCs w:val="21"/>
                <w:highlight w:val="none"/>
              </w:rPr>
              <w:t>条</w:t>
            </w:r>
          </w:p>
        </w:tc>
        <w:tc>
          <w:tcPr>
            <w:tcW w:w="1378" w:type="pct"/>
            <w:noWrap w:val="0"/>
            <w:vAlign w:val="center"/>
          </w:tcPr>
          <w:p w14:paraId="587482B0">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制定</w:t>
            </w:r>
            <w:r>
              <w:rPr>
                <w:rFonts w:hint="eastAsia" w:ascii="宋体" w:hAnsi="宋体" w:eastAsia="宋体" w:cs="宋体"/>
                <w:color w:val="000000" w:themeColor="text1"/>
                <w:kern w:val="0"/>
                <w:sz w:val="21"/>
                <w:szCs w:val="21"/>
                <w:highlight w:val="none"/>
                <w:lang w:eastAsia="zh-CN"/>
              </w:rPr>
              <w:t>了</w:t>
            </w:r>
            <w:r>
              <w:rPr>
                <w:rFonts w:hint="eastAsia" w:ascii="宋体" w:hAnsi="宋体" w:eastAsia="宋体" w:cs="宋体"/>
                <w:i w:val="0"/>
                <w:iCs w:val="0"/>
                <w:color w:val="000000" w:themeColor="text1"/>
                <w:kern w:val="0"/>
                <w:sz w:val="21"/>
                <w:szCs w:val="21"/>
                <w:highlight w:val="none"/>
                <w:u w:val="none"/>
                <w:lang w:val="en-US" w:eastAsia="zh-CN" w:bidi="ar"/>
              </w:rPr>
              <w:t>安全三级教育培训制度，包含</w:t>
            </w:r>
            <w:r>
              <w:rPr>
                <w:rFonts w:hint="eastAsia" w:ascii="宋体" w:hAnsi="宋体" w:eastAsia="宋体" w:cs="宋体"/>
                <w:color w:val="000000" w:themeColor="text1"/>
                <w:kern w:val="0"/>
                <w:sz w:val="21"/>
                <w:szCs w:val="21"/>
                <w:highlight w:val="none"/>
              </w:rPr>
              <w:t>安全培训的考核</w:t>
            </w:r>
            <w:r>
              <w:rPr>
                <w:rFonts w:hint="eastAsia" w:ascii="宋体" w:hAnsi="宋体" w:eastAsia="宋体" w:cs="宋体"/>
                <w:color w:val="000000" w:themeColor="text1"/>
                <w:kern w:val="0"/>
                <w:sz w:val="21"/>
                <w:szCs w:val="21"/>
                <w:highlight w:val="none"/>
                <w:lang w:eastAsia="zh-CN"/>
              </w:rPr>
              <w:t>规定</w:t>
            </w:r>
            <w:r>
              <w:rPr>
                <w:rFonts w:hint="eastAsia" w:ascii="宋体" w:hAnsi="宋体" w:eastAsia="宋体" w:cs="宋体"/>
                <w:color w:val="000000" w:themeColor="text1"/>
                <w:kern w:val="0"/>
                <w:sz w:val="21"/>
                <w:szCs w:val="21"/>
                <w:highlight w:val="none"/>
              </w:rPr>
              <w:t>，建立</w:t>
            </w:r>
            <w:r>
              <w:rPr>
                <w:rFonts w:hint="eastAsia" w:ascii="宋体" w:hAnsi="宋体" w:eastAsia="宋体" w:cs="宋体"/>
                <w:color w:val="000000" w:themeColor="text1"/>
                <w:kern w:val="0"/>
                <w:sz w:val="21"/>
                <w:szCs w:val="21"/>
                <w:highlight w:val="none"/>
                <w:lang w:eastAsia="zh-CN"/>
              </w:rPr>
              <w:t>了</w:t>
            </w:r>
            <w:r>
              <w:rPr>
                <w:rFonts w:hint="eastAsia" w:ascii="宋体" w:hAnsi="宋体" w:eastAsia="宋体" w:cs="宋体"/>
                <w:color w:val="000000" w:themeColor="text1"/>
                <w:kern w:val="0"/>
                <w:sz w:val="21"/>
                <w:szCs w:val="21"/>
                <w:highlight w:val="none"/>
              </w:rPr>
              <w:t>考核管理档案。</w:t>
            </w:r>
          </w:p>
        </w:tc>
        <w:tc>
          <w:tcPr>
            <w:tcW w:w="371" w:type="pct"/>
            <w:noWrap w:val="0"/>
            <w:vAlign w:val="center"/>
          </w:tcPr>
          <w:p w14:paraId="67171E4E">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符合</w:t>
            </w:r>
          </w:p>
        </w:tc>
      </w:tr>
      <w:tr w14:paraId="77B79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5ADB6ED4">
            <w:pPr>
              <w:widowControl w:val="0"/>
              <w:numPr>
                <w:ilvl w:val="0"/>
                <w:numId w:val="66"/>
              </w:numPr>
              <w:adjustRightInd w:val="0"/>
              <w:snapToGrid w:val="0"/>
              <w:jc w:val="center"/>
              <w:rPr>
                <w:rFonts w:hint="eastAsia" w:ascii="宋体" w:hAnsi="宋体" w:eastAsia="宋体" w:cs="宋体"/>
                <w:color w:val="000000" w:themeColor="text1"/>
                <w:kern w:val="0"/>
                <w:sz w:val="21"/>
                <w:szCs w:val="21"/>
                <w:highlight w:val="none"/>
              </w:rPr>
            </w:pPr>
          </w:p>
        </w:tc>
        <w:tc>
          <w:tcPr>
            <w:tcW w:w="1889" w:type="pct"/>
            <w:noWrap w:val="0"/>
            <w:vAlign w:val="center"/>
          </w:tcPr>
          <w:p w14:paraId="6D2850FD">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安全生产监管执法证、煤矿安全监察执法证、安全合格证的有效期为3年。有效期届满需要延期的，应当于有效期届满30日前向原发证部门申请办理延期手续。</w:t>
            </w:r>
          </w:p>
          <w:p w14:paraId="1C084000">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特种作业人员的考核发证按照《特种作业人员安全技术培训考核管理规定》执行。</w:t>
            </w:r>
          </w:p>
        </w:tc>
        <w:tc>
          <w:tcPr>
            <w:tcW w:w="994" w:type="pct"/>
            <w:noWrap w:val="0"/>
            <w:vAlign w:val="center"/>
          </w:tcPr>
          <w:p w14:paraId="3A6A41BD">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《安全生产培训管理办法》第</w:t>
            </w:r>
            <w:r>
              <w:rPr>
                <w:rFonts w:hint="eastAsia" w:ascii="宋体" w:hAnsi="宋体" w:eastAsia="宋体" w:cs="宋体"/>
                <w:color w:val="000000" w:themeColor="text1"/>
                <w:kern w:val="0"/>
                <w:sz w:val="21"/>
                <w:szCs w:val="21"/>
                <w:highlight w:val="none"/>
                <w:lang w:val="en-US" w:eastAsia="zh-CN"/>
              </w:rPr>
              <w:t>25</w:t>
            </w:r>
            <w:r>
              <w:rPr>
                <w:rFonts w:hint="eastAsia" w:ascii="宋体" w:hAnsi="宋体" w:eastAsia="宋体" w:cs="宋体"/>
                <w:color w:val="000000" w:themeColor="text1"/>
                <w:kern w:val="0"/>
                <w:sz w:val="21"/>
                <w:szCs w:val="21"/>
                <w:highlight w:val="none"/>
              </w:rPr>
              <w:t>条</w:t>
            </w:r>
          </w:p>
        </w:tc>
        <w:tc>
          <w:tcPr>
            <w:tcW w:w="1378" w:type="pct"/>
            <w:noWrap w:val="0"/>
            <w:vAlign w:val="center"/>
          </w:tcPr>
          <w:p w14:paraId="1F4E7925">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安全生产管理人员合格证</w:t>
            </w:r>
            <w:r>
              <w:rPr>
                <w:rFonts w:hint="eastAsia" w:ascii="宋体" w:hAnsi="宋体" w:eastAsia="宋体" w:cs="宋体"/>
                <w:color w:val="000000" w:themeColor="text1"/>
                <w:kern w:val="0"/>
                <w:sz w:val="21"/>
                <w:szCs w:val="21"/>
                <w:highlight w:val="none"/>
                <w:lang w:eastAsia="zh-Hans"/>
              </w:rPr>
              <w:t>在有效期内。</w:t>
            </w:r>
          </w:p>
        </w:tc>
        <w:tc>
          <w:tcPr>
            <w:tcW w:w="371" w:type="pct"/>
            <w:noWrap w:val="0"/>
            <w:vAlign w:val="center"/>
          </w:tcPr>
          <w:p w14:paraId="5CCA7941">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Hans"/>
              </w:rPr>
              <w:t>符合</w:t>
            </w:r>
          </w:p>
        </w:tc>
      </w:tr>
      <w:tr w14:paraId="03B69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3DCA5B46">
            <w:pPr>
              <w:widowControl w:val="0"/>
              <w:numPr>
                <w:ilvl w:val="0"/>
                <w:numId w:val="66"/>
              </w:numPr>
              <w:adjustRightInd w:val="0"/>
              <w:snapToGrid w:val="0"/>
              <w:jc w:val="center"/>
              <w:rPr>
                <w:rFonts w:hint="eastAsia" w:ascii="宋体" w:hAnsi="宋体" w:eastAsia="宋体" w:cs="宋体"/>
                <w:color w:val="000000" w:themeColor="text1"/>
                <w:kern w:val="0"/>
                <w:sz w:val="21"/>
                <w:szCs w:val="21"/>
                <w:highlight w:val="none"/>
              </w:rPr>
            </w:pPr>
          </w:p>
        </w:tc>
        <w:tc>
          <w:tcPr>
            <w:tcW w:w="1889" w:type="pct"/>
            <w:noWrap w:val="0"/>
            <w:vAlign w:val="center"/>
          </w:tcPr>
          <w:p w14:paraId="7B733BDE">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生产经营单位的特种作业人员必须按照国家有关规定经专门的安全作业培训，取得相应资格，方可上岗作业。</w:t>
            </w:r>
          </w:p>
          <w:p w14:paraId="4EB5FE5C">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特种作业人员的范围由国务院应急管理部门会同国务院有关部门确定。</w:t>
            </w:r>
          </w:p>
        </w:tc>
        <w:tc>
          <w:tcPr>
            <w:tcW w:w="994" w:type="pct"/>
            <w:noWrap w:val="0"/>
            <w:vAlign w:val="center"/>
          </w:tcPr>
          <w:p w14:paraId="177793D1">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bidi="ar"/>
              </w:rPr>
              <w:t>《中华人民共和国安全生产法》</w:t>
            </w:r>
            <w:r>
              <w:rPr>
                <w:rFonts w:hint="eastAsia" w:ascii="宋体" w:hAnsi="宋体" w:eastAsia="宋体" w:cs="宋体"/>
                <w:color w:val="000000" w:themeColor="text1"/>
                <w:kern w:val="0"/>
                <w:sz w:val="21"/>
                <w:szCs w:val="21"/>
                <w:highlight w:val="none"/>
              </w:rPr>
              <w:t>第</w:t>
            </w:r>
            <w:r>
              <w:rPr>
                <w:rFonts w:hint="eastAsia" w:ascii="宋体" w:hAnsi="宋体" w:eastAsia="宋体" w:cs="宋体"/>
                <w:color w:val="000000" w:themeColor="text1"/>
                <w:kern w:val="0"/>
                <w:sz w:val="21"/>
                <w:szCs w:val="21"/>
                <w:highlight w:val="none"/>
                <w:lang w:val="en-US" w:eastAsia="zh-CN"/>
              </w:rPr>
              <w:t>30</w:t>
            </w:r>
            <w:r>
              <w:rPr>
                <w:rFonts w:hint="eastAsia" w:ascii="宋体" w:hAnsi="宋体" w:eastAsia="宋体" w:cs="宋体"/>
                <w:color w:val="000000" w:themeColor="text1"/>
                <w:kern w:val="0"/>
                <w:sz w:val="21"/>
                <w:szCs w:val="21"/>
                <w:highlight w:val="none"/>
              </w:rPr>
              <w:t>条</w:t>
            </w:r>
          </w:p>
        </w:tc>
        <w:tc>
          <w:tcPr>
            <w:tcW w:w="1378" w:type="pct"/>
            <w:noWrap w:val="0"/>
            <w:vAlign w:val="center"/>
          </w:tcPr>
          <w:p w14:paraId="4EBC6E10">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特种作业人员按照国家有关规定经专门的安全作业培训，取得相应资格。</w:t>
            </w:r>
          </w:p>
        </w:tc>
        <w:tc>
          <w:tcPr>
            <w:tcW w:w="371" w:type="pct"/>
            <w:noWrap w:val="0"/>
            <w:vAlign w:val="center"/>
          </w:tcPr>
          <w:p w14:paraId="01E26E8F">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Hans"/>
              </w:rPr>
              <w:t>符合</w:t>
            </w:r>
          </w:p>
        </w:tc>
      </w:tr>
      <w:tr w14:paraId="5B303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438E698E">
            <w:pPr>
              <w:widowControl w:val="0"/>
              <w:numPr>
                <w:ilvl w:val="0"/>
                <w:numId w:val="66"/>
              </w:numPr>
              <w:adjustRightInd w:val="0"/>
              <w:snapToGrid w:val="0"/>
              <w:jc w:val="center"/>
              <w:rPr>
                <w:rFonts w:hint="eastAsia" w:ascii="宋体" w:hAnsi="宋体" w:eastAsia="宋体" w:cs="宋体"/>
                <w:color w:val="000000" w:themeColor="text1"/>
                <w:kern w:val="0"/>
                <w:sz w:val="21"/>
                <w:szCs w:val="21"/>
                <w:highlight w:val="none"/>
              </w:rPr>
            </w:pPr>
          </w:p>
        </w:tc>
        <w:tc>
          <w:tcPr>
            <w:tcW w:w="1889" w:type="pct"/>
            <w:noWrap w:val="0"/>
            <w:vAlign w:val="center"/>
          </w:tcPr>
          <w:p w14:paraId="48875DC8">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特种作业操作证每3年复审1次。</w:t>
            </w:r>
          </w:p>
          <w:p w14:paraId="728C7738">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特种作业人员在特种作业操作证有效期内，连续从事本工种10年以上，严格遵守有关安全生产法律法规的，经原考核发证机关或者从业所在地考核发证机关同意，特种作业操作证的复审时间可以延长至每6年1次。</w:t>
            </w:r>
          </w:p>
        </w:tc>
        <w:tc>
          <w:tcPr>
            <w:tcW w:w="994" w:type="pct"/>
            <w:noWrap w:val="0"/>
            <w:vAlign w:val="center"/>
          </w:tcPr>
          <w:p w14:paraId="42705C6D">
            <w:pPr>
              <w:widowControl w:val="0"/>
              <w:adjustRightInd w:val="0"/>
              <w:snapToGrid w:val="0"/>
              <w:jc w:val="center"/>
              <w:rPr>
                <w:rFonts w:hint="eastAsia" w:ascii="宋体" w:hAnsi="宋体" w:eastAsia="宋体" w:cs="宋体"/>
                <w:color w:val="000000" w:themeColor="text1"/>
                <w:kern w:val="0"/>
                <w:sz w:val="21"/>
                <w:szCs w:val="21"/>
                <w:highlight w:val="none"/>
                <w:lang w:bidi="ar"/>
              </w:rPr>
            </w:pPr>
            <w:r>
              <w:rPr>
                <w:rFonts w:hint="eastAsia" w:ascii="宋体" w:hAnsi="宋体" w:eastAsia="宋体" w:cs="宋体"/>
                <w:color w:val="000000" w:themeColor="text1"/>
                <w:kern w:val="0"/>
                <w:sz w:val="21"/>
                <w:szCs w:val="21"/>
                <w:highlight w:val="none"/>
                <w:lang w:bidi="ar"/>
              </w:rPr>
              <w:t>《特种作业人员安全技术培训考核管理规定》安监总局令第30号</w:t>
            </w:r>
            <w:r>
              <w:rPr>
                <w:rFonts w:hint="eastAsia" w:ascii="宋体" w:hAnsi="宋体" w:eastAsia="宋体" w:cs="宋体"/>
                <w:color w:val="000000" w:themeColor="text1"/>
                <w:kern w:val="0"/>
                <w:sz w:val="21"/>
                <w:szCs w:val="21"/>
                <w:highlight w:val="none"/>
              </w:rPr>
              <w:t>第</w:t>
            </w:r>
            <w:r>
              <w:rPr>
                <w:rFonts w:hint="eastAsia" w:ascii="宋体" w:hAnsi="宋体" w:eastAsia="宋体" w:cs="宋体"/>
                <w:color w:val="000000" w:themeColor="text1"/>
                <w:kern w:val="0"/>
                <w:sz w:val="21"/>
                <w:szCs w:val="21"/>
                <w:highlight w:val="none"/>
                <w:lang w:val="en-US" w:eastAsia="zh-CN"/>
              </w:rPr>
              <w:t>21</w:t>
            </w:r>
            <w:r>
              <w:rPr>
                <w:rFonts w:hint="eastAsia" w:ascii="宋体" w:hAnsi="宋体" w:eastAsia="宋体" w:cs="宋体"/>
                <w:color w:val="000000" w:themeColor="text1"/>
                <w:kern w:val="0"/>
                <w:sz w:val="21"/>
                <w:szCs w:val="21"/>
                <w:highlight w:val="none"/>
              </w:rPr>
              <w:t>条</w:t>
            </w:r>
          </w:p>
          <w:p w14:paraId="1297F862">
            <w:pPr>
              <w:widowControl w:val="0"/>
              <w:adjustRightInd w:val="0"/>
              <w:snapToGrid w:val="0"/>
              <w:jc w:val="center"/>
              <w:rPr>
                <w:rFonts w:hint="eastAsia" w:ascii="宋体" w:hAnsi="宋体" w:eastAsia="宋体" w:cs="宋体"/>
                <w:color w:val="000000" w:themeColor="text1"/>
                <w:kern w:val="0"/>
                <w:sz w:val="21"/>
                <w:szCs w:val="21"/>
                <w:highlight w:val="none"/>
                <w:lang w:bidi="ar"/>
              </w:rPr>
            </w:pPr>
          </w:p>
        </w:tc>
        <w:tc>
          <w:tcPr>
            <w:tcW w:w="1378" w:type="pct"/>
            <w:noWrap w:val="0"/>
            <w:vAlign w:val="center"/>
          </w:tcPr>
          <w:p w14:paraId="73BDC253">
            <w:pPr>
              <w:widowControl w:val="0"/>
              <w:adjustRightInd w:val="0"/>
              <w:snapToGrid w:val="0"/>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特种作业操作证</w:t>
            </w:r>
            <w:r>
              <w:rPr>
                <w:rFonts w:hint="eastAsia" w:ascii="宋体" w:hAnsi="宋体" w:eastAsia="宋体" w:cs="宋体"/>
                <w:color w:val="000000" w:themeColor="text1"/>
                <w:kern w:val="0"/>
                <w:sz w:val="21"/>
                <w:szCs w:val="21"/>
                <w:highlight w:val="none"/>
                <w:lang w:eastAsia="zh-CN"/>
              </w:rPr>
              <w:t>按期复审</w:t>
            </w:r>
            <w:r>
              <w:rPr>
                <w:rFonts w:hint="eastAsia" w:ascii="宋体" w:hAnsi="宋体" w:eastAsia="宋体" w:cs="宋体"/>
                <w:color w:val="000000" w:themeColor="text1"/>
                <w:kern w:val="0"/>
                <w:sz w:val="21"/>
                <w:szCs w:val="21"/>
                <w:highlight w:val="none"/>
              </w:rPr>
              <w:t>。</w:t>
            </w:r>
          </w:p>
        </w:tc>
        <w:tc>
          <w:tcPr>
            <w:tcW w:w="371" w:type="pct"/>
            <w:noWrap w:val="0"/>
            <w:vAlign w:val="center"/>
          </w:tcPr>
          <w:p w14:paraId="58290E05">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符合</w:t>
            </w:r>
          </w:p>
        </w:tc>
      </w:tr>
      <w:tr w14:paraId="04CA0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6555D34F">
            <w:pPr>
              <w:widowControl w:val="0"/>
              <w:numPr>
                <w:ilvl w:val="0"/>
                <w:numId w:val="64"/>
              </w:numPr>
              <w:adjustRightInd w:val="0"/>
              <w:snapToGrid w:val="0"/>
              <w:ind w:left="0" w:firstLine="0"/>
              <w:jc w:val="center"/>
              <w:rPr>
                <w:rFonts w:hint="eastAsia" w:ascii="宋体" w:hAnsi="宋体" w:eastAsia="宋体" w:cs="宋体"/>
                <w:color w:val="000000" w:themeColor="text1"/>
                <w:kern w:val="0"/>
                <w:sz w:val="21"/>
                <w:szCs w:val="21"/>
                <w:highlight w:val="none"/>
              </w:rPr>
            </w:pPr>
          </w:p>
        </w:tc>
        <w:tc>
          <w:tcPr>
            <w:tcW w:w="4633" w:type="pct"/>
            <w:gridSpan w:val="4"/>
            <w:noWrap w:val="0"/>
            <w:vAlign w:val="center"/>
          </w:tcPr>
          <w:p w14:paraId="614D5030">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危险作业</w:t>
            </w:r>
          </w:p>
        </w:tc>
      </w:tr>
      <w:tr w14:paraId="7EFEC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4D46A527">
            <w:pPr>
              <w:widowControl w:val="0"/>
              <w:numPr>
                <w:ilvl w:val="0"/>
                <w:numId w:val="67"/>
              </w:numPr>
              <w:adjustRightInd w:val="0"/>
              <w:snapToGrid w:val="0"/>
              <w:jc w:val="center"/>
              <w:rPr>
                <w:rFonts w:hint="eastAsia" w:ascii="宋体" w:hAnsi="宋体" w:eastAsia="宋体" w:cs="宋体"/>
                <w:color w:val="000000" w:themeColor="text1"/>
                <w:kern w:val="0"/>
                <w:sz w:val="21"/>
                <w:szCs w:val="21"/>
                <w:highlight w:val="none"/>
              </w:rPr>
            </w:pPr>
          </w:p>
        </w:tc>
        <w:tc>
          <w:tcPr>
            <w:tcW w:w="1889" w:type="pct"/>
            <w:noWrap w:val="0"/>
            <w:vAlign w:val="center"/>
          </w:tcPr>
          <w:p w14:paraId="629BC249">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生产经营单位进行爆破、吊装、动火、临时用电以及国务院应急管理部门会同国务院有关部门规定的其他危险作业，应当安排专门人员进行现场安全管理，确保操作规程的遵守和安全措施的落实。</w:t>
            </w:r>
          </w:p>
        </w:tc>
        <w:tc>
          <w:tcPr>
            <w:tcW w:w="994" w:type="pct"/>
            <w:noWrap w:val="0"/>
            <w:vAlign w:val="center"/>
          </w:tcPr>
          <w:p w14:paraId="0E135890">
            <w:pPr>
              <w:widowControl w:val="0"/>
              <w:adjustRightInd w:val="0"/>
              <w:snapToGrid w:val="0"/>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bidi="ar"/>
              </w:rPr>
              <w:t>《中华人民共和国安全生产法》</w:t>
            </w:r>
            <w:r>
              <w:rPr>
                <w:rFonts w:hint="eastAsia" w:ascii="宋体" w:hAnsi="宋体" w:eastAsia="宋体" w:cs="宋体"/>
                <w:color w:val="000000" w:themeColor="text1"/>
                <w:kern w:val="0"/>
                <w:sz w:val="21"/>
                <w:szCs w:val="21"/>
                <w:highlight w:val="none"/>
              </w:rPr>
              <w:t>第</w:t>
            </w:r>
            <w:r>
              <w:rPr>
                <w:rFonts w:hint="eastAsia" w:ascii="宋体" w:hAnsi="宋体" w:eastAsia="宋体" w:cs="宋体"/>
                <w:color w:val="000000" w:themeColor="text1"/>
                <w:kern w:val="0"/>
                <w:sz w:val="21"/>
                <w:szCs w:val="21"/>
                <w:highlight w:val="none"/>
                <w:lang w:val="en-US" w:eastAsia="zh-CN"/>
              </w:rPr>
              <w:t>43</w:t>
            </w:r>
            <w:r>
              <w:rPr>
                <w:rFonts w:hint="eastAsia" w:ascii="宋体" w:hAnsi="宋体" w:eastAsia="宋体" w:cs="宋体"/>
                <w:color w:val="000000" w:themeColor="text1"/>
                <w:kern w:val="0"/>
                <w:sz w:val="21"/>
                <w:szCs w:val="21"/>
                <w:highlight w:val="none"/>
              </w:rPr>
              <w:t>条</w:t>
            </w:r>
          </w:p>
        </w:tc>
        <w:tc>
          <w:tcPr>
            <w:tcW w:w="1378" w:type="pct"/>
            <w:noWrap w:val="0"/>
            <w:vAlign w:val="center"/>
          </w:tcPr>
          <w:p w14:paraId="55053044">
            <w:pPr>
              <w:widowControl w:val="0"/>
              <w:adjustRightInd w:val="0"/>
              <w:snapToGrid w:val="0"/>
              <w:jc w:val="lef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危险作业安排专门人员进行现场安全管理</w:t>
            </w:r>
            <w:r>
              <w:rPr>
                <w:rFonts w:hint="eastAsia" w:ascii="宋体" w:hAnsi="宋体" w:eastAsia="宋体" w:cs="宋体"/>
                <w:color w:val="000000" w:themeColor="text1"/>
                <w:kern w:val="0"/>
                <w:sz w:val="21"/>
                <w:szCs w:val="21"/>
                <w:highlight w:val="none"/>
                <w:lang w:eastAsia="zh-CN"/>
              </w:rPr>
              <w:t>。</w:t>
            </w:r>
          </w:p>
        </w:tc>
        <w:tc>
          <w:tcPr>
            <w:tcW w:w="371" w:type="pct"/>
            <w:noWrap w:val="0"/>
            <w:vAlign w:val="center"/>
          </w:tcPr>
          <w:p w14:paraId="797D5962">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符合</w:t>
            </w:r>
          </w:p>
        </w:tc>
      </w:tr>
      <w:tr w14:paraId="6A5B2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5AD70377">
            <w:pPr>
              <w:widowControl w:val="0"/>
              <w:numPr>
                <w:ilvl w:val="0"/>
                <w:numId w:val="64"/>
              </w:numPr>
              <w:adjustRightInd w:val="0"/>
              <w:snapToGrid w:val="0"/>
              <w:ind w:left="0" w:firstLine="0"/>
              <w:jc w:val="center"/>
              <w:rPr>
                <w:rFonts w:hint="eastAsia" w:ascii="宋体" w:hAnsi="宋体" w:eastAsia="宋体" w:cs="宋体"/>
                <w:color w:val="000000" w:themeColor="text1"/>
                <w:kern w:val="0"/>
                <w:sz w:val="21"/>
                <w:szCs w:val="21"/>
                <w:highlight w:val="none"/>
              </w:rPr>
            </w:pPr>
          </w:p>
        </w:tc>
        <w:tc>
          <w:tcPr>
            <w:tcW w:w="4633" w:type="pct"/>
            <w:gridSpan w:val="4"/>
            <w:noWrap w:val="0"/>
            <w:vAlign w:val="center"/>
          </w:tcPr>
          <w:p w14:paraId="2A0BAD2B">
            <w:pPr>
              <w:widowControl w:val="0"/>
              <w:numPr>
                <w:ilvl w:val="-1"/>
                <w:numId w:val="0"/>
              </w:numPr>
              <w:adjustRightInd w:val="0"/>
              <w:snapToGrid w:val="0"/>
              <w:ind w:left="0" w:firstLine="0"/>
              <w:jc w:val="both"/>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bCs/>
                <w:color w:val="000000" w:themeColor="text1"/>
                <w:sz w:val="21"/>
                <w:szCs w:val="21"/>
                <w:highlight w:val="none"/>
              </w:rPr>
              <w:t>应急预案</w:t>
            </w:r>
          </w:p>
        </w:tc>
      </w:tr>
      <w:tr w14:paraId="21692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0C9E8C88">
            <w:pPr>
              <w:widowControl w:val="0"/>
              <w:numPr>
                <w:ilvl w:val="0"/>
                <w:numId w:val="68"/>
              </w:numPr>
              <w:adjustRightInd w:val="0"/>
              <w:snapToGrid w:val="0"/>
              <w:jc w:val="center"/>
              <w:rPr>
                <w:rFonts w:hint="eastAsia" w:ascii="宋体" w:hAnsi="宋体" w:eastAsia="宋体" w:cs="宋体"/>
                <w:color w:val="000000" w:themeColor="text1"/>
                <w:kern w:val="0"/>
                <w:sz w:val="21"/>
                <w:szCs w:val="21"/>
                <w:highlight w:val="none"/>
              </w:rPr>
            </w:pPr>
          </w:p>
        </w:tc>
        <w:tc>
          <w:tcPr>
            <w:tcW w:w="1889" w:type="pct"/>
            <w:noWrap w:val="0"/>
            <w:vAlign w:val="center"/>
          </w:tcPr>
          <w:p w14:paraId="65E69108">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矿山、金属冶炼企业和易燃易爆物品、危险化学品的生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p w14:paraId="75F53D99">
            <w:pPr>
              <w:widowControl w:val="0"/>
              <w:adjustRightInd w:val="0"/>
              <w:snapToGrid w:val="0"/>
              <w:jc w:val="left"/>
              <w:rPr>
                <w:rFonts w:hint="eastAsia" w:ascii="宋体" w:hAnsi="宋体" w:eastAsia="宋体" w:cs="宋体"/>
                <w:color w:val="000000" w:themeColor="text1"/>
                <w:kern w:val="0"/>
                <w:sz w:val="21"/>
                <w:szCs w:val="21"/>
                <w:highlight w:val="none"/>
              </w:rPr>
            </w:pPr>
            <w:r>
              <w:rPr>
                <w:rFonts w:hint="eastAsia" w:ascii="宋体" w:hAnsi="宋体" w:eastAsia="宋体" w:cs="宋体"/>
                <w:bCs/>
                <w:color w:val="000000" w:themeColor="text1"/>
                <w:sz w:val="21"/>
                <w:szCs w:val="21"/>
                <w:highlight w:val="none"/>
              </w:rPr>
              <w:t>前款规定以外的其他生产经营单位可以根据自身需要，对本单位编制的应急预案进行论证。</w:t>
            </w:r>
          </w:p>
        </w:tc>
        <w:tc>
          <w:tcPr>
            <w:tcW w:w="994" w:type="pct"/>
            <w:noWrap w:val="0"/>
            <w:vAlign w:val="center"/>
          </w:tcPr>
          <w:p w14:paraId="43FD2390">
            <w:pPr>
              <w:widowControl w:val="0"/>
              <w:adjustRightInd w:val="0"/>
              <w:snapToGrid w:val="0"/>
              <w:jc w:val="center"/>
              <w:rPr>
                <w:rFonts w:hint="eastAsia" w:ascii="宋体" w:hAnsi="宋体" w:eastAsia="宋体" w:cs="宋体"/>
                <w:color w:val="000000" w:themeColor="text1"/>
                <w:kern w:val="0"/>
                <w:sz w:val="21"/>
                <w:szCs w:val="21"/>
                <w:highlight w:val="none"/>
                <w:lang w:bidi="ar"/>
              </w:rPr>
            </w:pPr>
            <w:r>
              <w:rPr>
                <w:rFonts w:hint="eastAsia" w:ascii="宋体" w:hAnsi="宋体" w:eastAsia="宋体" w:cs="宋体"/>
                <w:bCs/>
                <w:color w:val="000000" w:themeColor="text1"/>
                <w:sz w:val="21"/>
                <w:szCs w:val="21"/>
                <w:highlight w:val="none"/>
              </w:rPr>
              <w:t>《生产安全事故应急预案管理办法》第</w:t>
            </w:r>
            <w:r>
              <w:rPr>
                <w:rFonts w:hint="eastAsia" w:ascii="宋体" w:hAnsi="宋体" w:eastAsia="宋体" w:cs="宋体"/>
                <w:bCs/>
                <w:color w:val="000000" w:themeColor="text1"/>
                <w:sz w:val="21"/>
                <w:szCs w:val="21"/>
                <w:highlight w:val="none"/>
                <w:lang w:val="en-US" w:eastAsia="zh-CN"/>
              </w:rPr>
              <w:t>21</w:t>
            </w:r>
            <w:r>
              <w:rPr>
                <w:rFonts w:hint="eastAsia" w:ascii="宋体" w:hAnsi="宋体" w:eastAsia="宋体" w:cs="宋体"/>
                <w:bCs/>
                <w:color w:val="000000" w:themeColor="text1"/>
                <w:sz w:val="21"/>
                <w:szCs w:val="21"/>
                <w:highlight w:val="none"/>
              </w:rPr>
              <w:t>条</w:t>
            </w:r>
          </w:p>
        </w:tc>
        <w:tc>
          <w:tcPr>
            <w:tcW w:w="1378" w:type="pct"/>
            <w:noWrap w:val="0"/>
            <w:vAlign w:val="center"/>
          </w:tcPr>
          <w:p w14:paraId="606962CF">
            <w:pPr>
              <w:widowControl w:val="0"/>
              <w:adjustRightInd w:val="0"/>
              <w:snapToGrid w:val="0"/>
              <w:jc w:val="lef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bCs/>
                <w:color w:val="000000" w:themeColor="text1"/>
                <w:sz w:val="21"/>
                <w:szCs w:val="21"/>
                <w:highlight w:val="none"/>
                <w:lang w:eastAsia="zh-CN"/>
              </w:rPr>
              <w:t>华美为</w:t>
            </w:r>
            <w:r>
              <w:rPr>
                <w:rFonts w:hint="eastAsia" w:ascii="宋体" w:hAnsi="宋体" w:eastAsia="宋体" w:cs="宋体"/>
                <w:bCs/>
                <w:color w:val="000000" w:themeColor="text1"/>
                <w:sz w:val="21"/>
                <w:szCs w:val="21"/>
                <w:highlight w:val="none"/>
              </w:rPr>
              <w:t>中型规模以上的其他生产经营单位</w:t>
            </w:r>
            <w:r>
              <w:rPr>
                <w:rFonts w:hint="eastAsia" w:ascii="宋体" w:hAnsi="宋体" w:eastAsia="宋体" w:cs="宋体"/>
                <w:bCs/>
                <w:color w:val="000000" w:themeColor="text1"/>
                <w:sz w:val="21"/>
                <w:szCs w:val="21"/>
                <w:highlight w:val="none"/>
                <w:lang w:eastAsia="zh-CN"/>
              </w:rPr>
              <w:t>，对生产安全事故应急预案进行了评审。</w:t>
            </w:r>
          </w:p>
        </w:tc>
        <w:tc>
          <w:tcPr>
            <w:tcW w:w="371" w:type="pct"/>
            <w:noWrap w:val="0"/>
            <w:vAlign w:val="center"/>
          </w:tcPr>
          <w:p w14:paraId="790FF066">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符合</w:t>
            </w:r>
          </w:p>
        </w:tc>
      </w:tr>
      <w:tr w14:paraId="243E9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3CB54BD6">
            <w:pPr>
              <w:widowControl w:val="0"/>
              <w:numPr>
                <w:ilvl w:val="0"/>
                <w:numId w:val="68"/>
              </w:numPr>
              <w:adjustRightInd w:val="0"/>
              <w:snapToGrid w:val="0"/>
              <w:jc w:val="center"/>
              <w:rPr>
                <w:rFonts w:hint="eastAsia" w:ascii="宋体" w:hAnsi="宋体" w:eastAsia="宋体" w:cs="宋体"/>
                <w:color w:val="000000" w:themeColor="text1"/>
                <w:kern w:val="0"/>
                <w:sz w:val="21"/>
                <w:szCs w:val="21"/>
                <w:highlight w:val="none"/>
              </w:rPr>
            </w:pPr>
          </w:p>
        </w:tc>
        <w:tc>
          <w:tcPr>
            <w:tcW w:w="1889" w:type="pct"/>
            <w:noWrap w:val="0"/>
            <w:vAlign w:val="center"/>
          </w:tcPr>
          <w:p w14:paraId="6F6F04D0">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应急预案演练结束后，应急预案演练组织单位应当对应急预案演练效果进行评估，撰写应急预案演练评估报告，分析存在的问题，并对应急预案提出修订意见。</w:t>
            </w:r>
          </w:p>
        </w:tc>
        <w:tc>
          <w:tcPr>
            <w:tcW w:w="994" w:type="pct"/>
            <w:noWrap w:val="0"/>
            <w:vAlign w:val="center"/>
          </w:tcPr>
          <w:p w14:paraId="2440F65E">
            <w:pPr>
              <w:widowControl w:val="0"/>
              <w:adjustRightInd w:val="0"/>
              <w:snapToGrid w:val="0"/>
              <w:jc w:val="center"/>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《生产安全事故应急预案管理办法》应急管理部令第2号第</w:t>
            </w:r>
            <w:r>
              <w:rPr>
                <w:rFonts w:hint="eastAsia" w:ascii="宋体" w:hAnsi="宋体" w:eastAsia="宋体" w:cs="宋体"/>
                <w:bCs/>
                <w:color w:val="000000" w:themeColor="text1"/>
                <w:sz w:val="21"/>
                <w:szCs w:val="21"/>
                <w:highlight w:val="none"/>
                <w:lang w:val="en-US" w:eastAsia="zh-CN"/>
              </w:rPr>
              <w:t>34</w:t>
            </w:r>
            <w:r>
              <w:rPr>
                <w:rFonts w:hint="eastAsia" w:ascii="宋体" w:hAnsi="宋体" w:eastAsia="宋体" w:cs="宋体"/>
                <w:bCs/>
                <w:color w:val="000000" w:themeColor="text1"/>
                <w:sz w:val="21"/>
                <w:szCs w:val="21"/>
                <w:highlight w:val="none"/>
              </w:rPr>
              <w:t>条</w:t>
            </w:r>
          </w:p>
        </w:tc>
        <w:tc>
          <w:tcPr>
            <w:tcW w:w="1378" w:type="pct"/>
            <w:noWrap w:val="0"/>
            <w:vAlign w:val="center"/>
          </w:tcPr>
          <w:p w14:paraId="41494CA5">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lang w:eastAsia="zh-CN"/>
              </w:rPr>
              <w:t>应急演练记录</w:t>
            </w:r>
            <w:r>
              <w:rPr>
                <w:rFonts w:hint="eastAsia" w:ascii="宋体" w:hAnsi="宋体" w:eastAsia="宋体" w:cs="宋体"/>
                <w:bCs/>
                <w:color w:val="000000" w:themeColor="text1"/>
                <w:sz w:val="21"/>
                <w:szCs w:val="21"/>
                <w:highlight w:val="none"/>
              </w:rPr>
              <w:t>有应急预案演练效果评估</w:t>
            </w:r>
            <w:r>
              <w:rPr>
                <w:rFonts w:hint="eastAsia" w:ascii="宋体" w:hAnsi="宋体" w:eastAsia="宋体" w:cs="宋体"/>
                <w:bCs/>
                <w:color w:val="000000" w:themeColor="text1"/>
                <w:sz w:val="21"/>
                <w:szCs w:val="21"/>
                <w:highlight w:val="none"/>
                <w:lang w:eastAsia="zh-CN"/>
              </w:rPr>
              <w:t>内容</w:t>
            </w:r>
            <w:r>
              <w:rPr>
                <w:rFonts w:hint="eastAsia" w:ascii="宋体" w:hAnsi="宋体" w:eastAsia="宋体" w:cs="宋体"/>
                <w:bCs/>
                <w:color w:val="000000" w:themeColor="text1"/>
                <w:sz w:val="21"/>
                <w:szCs w:val="21"/>
                <w:highlight w:val="none"/>
              </w:rPr>
              <w:t>。</w:t>
            </w:r>
          </w:p>
        </w:tc>
        <w:tc>
          <w:tcPr>
            <w:tcW w:w="371" w:type="pct"/>
            <w:noWrap w:val="0"/>
            <w:vAlign w:val="center"/>
          </w:tcPr>
          <w:p w14:paraId="29CF5688">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符合</w:t>
            </w:r>
          </w:p>
        </w:tc>
      </w:tr>
      <w:tr w14:paraId="29DFE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700DDC01">
            <w:pPr>
              <w:widowControl w:val="0"/>
              <w:numPr>
                <w:ilvl w:val="0"/>
                <w:numId w:val="64"/>
              </w:numPr>
              <w:adjustRightInd w:val="0"/>
              <w:snapToGrid w:val="0"/>
              <w:ind w:left="0" w:firstLine="0"/>
              <w:jc w:val="center"/>
              <w:rPr>
                <w:rFonts w:hint="eastAsia" w:ascii="宋体" w:hAnsi="宋体" w:eastAsia="宋体" w:cs="宋体"/>
                <w:color w:val="000000" w:themeColor="text1"/>
                <w:kern w:val="0"/>
                <w:sz w:val="21"/>
                <w:szCs w:val="21"/>
                <w:highlight w:val="none"/>
              </w:rPr>
            </w:pPr>
          </w:p>
        </w:tc>
        <w:tc>
          <w:tcPr>
            <w:tcW w:w="4633" w:type="pct"/>
            <w:gridSpan w:val="4"/>
            <w:noWrap w:val="0"/>
            <w:vAlign w:val="center"/>
          </w:tcPr>
          <w:p w14:paraId="11DE9D72">
            <w:pPr>
              <w:widowControl w:val="0"/>
              <w:adjustRightInd w:val="0"/>
              <w:snapToGrid w:val="0"/>
              <w:jc w:val="both"/>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sz w:val="21"/>
                <w:szCs w:val="21"/>
                <w:highlight w:val="none"/>
                <w:lang w:val="en-US"/>
              </w:rPr>
              <w:t>劳动防护用品</w:t>
            </w:r>
          </w:p>
        </w:tc>
      </w:tr>
      <w:tr w14:paraId="771A2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0A96D935">
            <w:pPr>
              <w:widowControl w:val="0"/>
              <w:numPr>
                <w:ilvl w:val="0"/>
                <w:numId w:val="69"/>
              </w:numPr>
              <w:adjustRightInd w:val="0"/>
              <w:snapToGrid w:val="0"/>
              <w:jc w:val="center"/>
              <w:rPr>
                <w:rFonts w:hint="eastAsia" w:ascii="宋体" w:hAnsi="宋体" w:eastAsia="宋体" w:cs="宋体"/>
                <w:color w:val="000000" w:themeColor="text1"/>
                <w:kern w:val="0"/>
                <w:sz w:val="21"/>
                <w:szCs w:val="21"/>
                <w:highlight w:val="none"/>
              </w:rPr>
            </w:pPr>
          </w:p>
        </w:tc>
        <w:tc>
          <w:tcPr>
            <w:tcW w:w="1889" w:type="pct"/>
            <w:noWrap w:val="0"/>
            <w:vAlign w:val="center"/>
          </w:tcPr>
          <w:p w14:paraId="0660D57E">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kern w:val="0"/>
                <w:sz w:val="21"/>
                <w:szCs w:val="21"/>
                <w:highlight w:val="none"/>
              </w:rPr>
              <w:t>生产经营单位必须为从业人员提供符合国家标准或者行业标准的劳动防护用品，并监督、教育从业人员按照使用规则佩戴、使用。</w:t>
            </w:r>
          </w:p>
        </w:tc>
        <w:tc>
          <w:tcPr>
            <w:tcW w:w="994" w:type="pct"/>
            <w:noWrap w:val="0"/>
            <w:vAlign w:val="center"/>
          </w:tcPr>
          <w:p w14:paraId="2AF72E6F">
            <w:pPr>
              <w:widowControl w:val="0"/>
              <w:adjustRightInd w:val="0"/>
              <w:snapToGrid w:val="0"/>
              <w:jc w:val="center"/>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kern w:val="0"/>
                <w:sz w:val="21"/>
                <w:szCs w:val="21"/>
                <w:highlight w:val="none"/>
                <w:lang w:bidi="ar"/>
              </w:rPr>
              <w:t>《中华人民共和国安全生产法》</w:t>
            </w:r>
            <w:r>
              <w:rPr>
                <w:rFonts w:hint="eastAsia" w:ascii="宋体" w:hAnsi="宋体" w:eastAsia="宋体" w:cs="宋体"/>
                <w:color w:val="000000" w:themeColor="text1"/>
                <w:kern w:val="0"/>
                <w:sz w:val="21"/>
                <w:szCs w:val="21"/>
                <w:highlight w:val="none"/>
              </w:rPr>
              <w:t>第</w:t>
            </w:r>
            <w:r>
              <w:rPr>
                <w:rFonts w:hint="eastAsia" w:ascii="宋体" w:hAnsi="宋体" w:eastAsia="宋体" w:cs="宋体"/>
                <w:color w:val="000000" w:themeColor="text1"/>
                <w:kern w:val="0"/>
                <w:sz w:val="21"/>
                <w:szCs w:val="21"/>
                <w:highlight w:val="none"/>
                <w:lang w:val="en-US" w:eastAsia="zh-CN"/>
              </w:rPr>
              <w:t>45</w:t>
            </w:r>
            <w:r>
              <w:rPr>
                <w:rFonts w:hint="eastAsia" w:ascii="宋体" w:hAnsi="宋体" w:eastAsia="宋体" w:cs="宋体"/>
                <w:color w:val="000000" w:themeColor="text1"/>
                <w:kern w:val="0"/>
                <w:sz w:val="21"/>
                <w:szCs w:val="21"/>
                <w:highlight w:val="none"/>
              </w:rPr>
              <w:t>条</w:t>
            </w:r>
          </w:p>
        </w:tc>
        <w:tc>
          <w:tcPr>
            <w:tcW w:w="1378" w:type="pct"/>
            <w:noWrap w:val="0"/>
            <w:vAlign w:val="center"/>
          </w:tcPr>
          <w:p w14:paraId="610FF8CD">
            <w:pPr>
              <w:widowControl w:val="0"/>
              <w:adjustRightInd w:val="0"/>
              <w:snapToGrid w:val="0"/>
              <w:jc w:val="left"/>
              <w:rPr>
                <w:rFonts w:hint="eastAsia" w:ascii="宋体" w:hAnsi="宋体" w:eastAsia="宋体" w:cs="宋体"/>
                <w:bCs/>
                <w:color w:val="000000" w:themeColor="text1"/>
                <w:sz w:val="21"/>
                <w:szCs w:val="21"/>
                <w:highlight w:val="none"/>
                <w:lang w:eastAsia="zh-CN"/>
              </w:rPr>
            </w:pPr>
            <w:r>
              <w:rPr>
                <w:rFonts w:hint="eastAsia" w:ascii="宋体" w:hAnsi="宋体" w:eastAsia="宋体" w:cs="宋体"/>
                <w:color w:val="000000" w:themeColor="text1"/>
                <w:kern w:val="0"/>
                <w:sz w:val="21"/>
                <w:szCs w:val="21"/>
                <w:highlight w:val="none"/>
              </w:rPr>
              <w:t>配备</w:t>
            </w:r>
            <w:r>
              <w:rPr>
                <w:rFonts w:hint="eastAsia" w:ascii="宋体" w:hAnsi="宋体" w:eastAsia="宋体" w:cs="宋体"/>
                <w:color w:val="000000" w:themeColor="text1"/>
                <w:kern w:val="0"/>
                <w:sz w:val="21"/>
                <w:szCs w:val="21"/>
                <w:highlight w:val="none"/>
                <w:lang w:eastAsia="zh-Hans"/>
              </w:rPr>
              <w:t>了</w:t>
            </w:r>
            <w:r>
              <w:rPr>
                <w:rFonts w:hint="eastAsia" w:ascii="宋体" w:hAnsi="宋体" w:eastAsia="宋体" w:cs="宋体"/>
                <w:color w:val="000000" w:themeColor="text1"/>
                <w:kern w:val="0"/>
                <w:sz w:val="21"/>
                <w:szCs w:val="21"/>
                <w:highlight w:val="none"/>
              </w:rPr>
              <w:t>个人防护装备。</w:t>
            </w:r>
          </w:p>
        </w:tc>
        <w:tc>
          <w:tcPr>
            <w:tcW w:w="371" w:type="pct"/>
            <w:noWrap w:val="0"/>
            <w:vAlign w:val="center"/>
          </w:tcPr>
          <w:p w14:paraId="723D5FC9">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Hans"/>
              </w:rPr>
              <w:t>符合</w:t>
            </w:r>
          </w:p>
        </w:tc>
      </w:tr>
      <w:tr w14:paraId="2E9C6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21E8DE7C">
            <w:pPr>
              <w:widowControl w:val="0"/>
              <w:numPr>
                <w:ilvl w:val="0"/>
                <w:numId w:val="69"/>
              </w:numPr>
              <w:adjustRightInd w:val="0"/>
              <w:snapToGrid w:val="0"/>
              <w:jc w:val="center"/>
              <w:rPr>
                <w:rFonts w:hint="eastAsia" w:ascii="宋体" w:hAnsi="宋体" w:eastAsia="宋体" w:cs="宋体"/>
                <w:color w:val="000000" w:themeColor="text1"/>
                <w:kern w:val="0"/>
                <w:sz w:val="21"/>
                <w:szCs w:val="21"/>
                <w:highlight w:val="none"/>
              </w:rPr>
            </w:pPr>
          </w:p>
        </w:tc>
        <w:tc>
          <w:tcPr>
            <w:tcW w:w="1889" w:type="pct"/>
            <w:noWrap w:val="0"/>
            <w:vAlign w:val="center"/>
          </w:tcPr>
          <w:p w14:paraId="067CC40D">
            <w:pPr>
              <w:widowControl w:val="0"/>
              <w:adjustRightInd w:val="0"/>
              <w:snapToGrid w:val="0"/>
              <w:jc w:val="left"/>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kern w:val="0"/>
                <w:sz w:val="21"/>
                <w:szCs w:val="21"/>
                <w:highlight w:val="none"/>
              </w:rPr>
              <w:t>用人单位应在本部分基础上结合所在行业个人防护装备配备国家标准进行个人防护装备的配备及管理；无所在行业个人防护装备配备国家标准时，应按照本部分要求进行个体防护装备的配备及管理，个人防护装备配备行业编号及相关编号参见附录A。</w:t>
            </w:r>
          </w:p>
        </w:tc>
        <w:tc>
          <w:tcPr>
            <w:tcW w:w="994" w:type="pct"/>
            <w:noWrap w:val="0"/>
            <w:vAlign w:val="center"/>
          </w:tcPr>
          <w:p w14:paraId="443C47C9">
            <w:pPr>
              <w:widowControl w:val="0"/>
              <w:adjustRightInd w:val="0"/>
              <w:snapToGrid w:val="0"/>
              <w:jc w:val="center"/>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kern w:val="0"/>
                <w:sz w:val="21"/>
                <w:szCs w:val="21"/>
                <w:highlight w:val="none"/>
              </w:rPr>
              <w:t>《个体防护装备配备规范第1部分：总则》第3.6条</w:t>
            </w:r>
          </w:p>
        </w:tc>
        <w:tc>
          <w:tcPr>
            <w:tcW w:w="1378" w:type="pct"/>
            <w:noWrap w:val="0"/>
            <w:vAlign w:val="center"/>
          </w:tcPr>
          <w:p w14:paraId="388A03C4">
            <w:pPr>
              <w:widowControl w:val="0"/>
              <w:adjustRightInd w:val="0"/>
              <w:snapToGrid w:val="0"/>
              <w:jc w:val="left"/>
              <w:rPr>
                <w:rFonts w:hint="eastAsia" w:ascii="宋体" w:hAnsi="宋体" w:eastAsia="宋体" w:cs="宋体"/>
                <w:bCs/>
                <w:color w:val="000000" w:themeColor="text1"/>
                <w:sz w:val="21"/>
                <w:szCs w:val="21"/>
                <w:highlight w:val="none"/>
                <w:lang w:eastAsia="zh-CN"/>
              </w:rPr>
            </w:pPr>
            <w:r>
              <w:rPr>
                <w:rFonts w:hint="eastAsia" w:ascii="宋体" w:hAnsi="宋体" w:eastAsia="宋体" w:cs="宋体"/>
                <w:color w:val="000000" w:themeColor="text1"/>
                <w:kern w:val="0"/>
                <w:sz w:val="21"/>
                <w:szCs w:val="21"/>
                <w:highlight w:val="none"/>
              </w:rPr>
              <w:t>配备</w:t>
            </w:r>
            <w:r>
              <w:rPr>
                <w:rFonts w:hint="eastAsia" w:ascii="宋体" w:hAnsi="宋体" w:eastAsia="宋体" w:cs="宋体"/>
                <w:color w:val="000000" w:themeColor="text1"/>
                <w:kern w:val="0"/>
                <w:sz w:val="21"/>
                <w:szCs w:val="21"/>
                <w:highlight w:val="none"/>
                <w:lang w:eastAsia="zh-Hans"/>
              </w:rPr>
              <w:t>了</w:t>
            </w:r>
            <w:r>
              <w:rPr>
                <w:rFonts w:hint="eastAsia" w:ascii="宋体" w:hAnsi="宋体" w:eastAsia="宋体" w:cs="宋体"/>
                <w:color w:val="000000" w:themeColor="text1"/>
                <w:kern w:val="0"/>
                <w:sz w:val="21"/>
                <w:szCs w:val="21"/>
                <w:highlight w:val="none"/>
              </w:rPr>
              <w:t>个人防护装备。</w:t>
            </w:r>
          </w:p>
        </w:tc>
        <w:tc>
          <w:tcPr>
            <w:tcW w:w="371" w:type="pct"/>
            <w:noWrap w:val="0"/>
            <w:vAlign w:val="center"/>
          </w:tcPr>
          <w:p w14:paraId="3DCADA5F">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Hans"/>
              </w:rPr>
              <w:t>符合</w:t>
            </w:r>
          </w:p>
        </w:tc>
      </w:tr>
      <w:tr w14:paraId="05AA5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13C0E5FA">
            <w:pPr>
              <w:widowControl w:val="0"/>
              <w:numPr>
                <w:ilvl w:val="0"/>
                <w:numId w:val="64"/>
              </w:numPr>
              <w:adjustRightInd w:val="0"/>
              <w:snapToGrid w:val="0"/>
              <w:ind w:left="0" w:firstLine="0"/>
              <w:jc w:val="center"/>
              <w:rPr>
                <w:rFonts w:hint="eastAsia" w:ascii="宋体" w:hAnsi="宋体" w:eastAsia="宋体" w:cs="宋体"/>
                <w:color w:val="000000" w:themeColor="text1"/>
                <w:kern w:val="0"/>
                <w:sz w:val="21"/>
                <w:szCs w:val="21"/>
                <w:highlight w:val="none"/>
              </w:rPr>
            </w:pPr>
          </w:p>
        </w:tc>
        <w:tc>
          <w:tcPr>
            <w:tcW w:w="1889" w:type="pct"/>
            <w:noWrap w:val="0"/>
            <w:vAlign w:val="center"/>
          </w:tcPr>
          <w:p w14:paraId="51E10409">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kern w:val="0"/>
                <w:sz w:val="21"/>
                <w:szCs w:val="21"/>
                <w:highlight w:val="none"/>
                <w:lang w:eastAsia="zh-CN"/>
              </w:rPr>
              <w:t>工伤保险</w:t>
            </w:r>
          </w:p>
        </w:tc>
        <w:tc>
          <w:tcPr>
            <w:tcW w:w="994" w:type="pct"/>
            <w:noWrap w:val="0"/>
            <w:vAlign w:val="center"/>
          </w:tcPr>
          <w:p w14:paraId="4DA79797">
            <w:pPr>
              <w:widowControl w:val="0"/>
              <w:adjustRightInd w:val="0"/>
              <w:snapToGrid w:val="0"/>
              <w:jc w:val="center"/>
              <w:rPr>
                <w:rFonts w:hint="eastAsia" w:ascii="宋体" w:hAnsi="宋体" w:eastAsia="宋体" w:cs="宋体"/>
                <w:bCs/>
                <w:color w:val="000000" w:themeColor="text1"/>
                <w:sz w:val="21"/>
                <w:szCs w:val="21"/>
                <w:highlight w:val="none"/>
              </w:rPr>
            </w:pPr>
          </w:p>
        </w:tc>
        <w:tc>
          <w:tcPr>
            <w:tcW w:w="1378" w:type="pct"/>
            <w:noWrap w:val="0"/>
            <w:vAlign w:val="center"/>
          </w:tcPr>
          <w:p w14:paraId="15F789E6">
            <w:pPr>
              <w:widowControl w:val="0"/>
              <w:adjustRightInd w:val="0"/>
              <w:snapToGrid w:val="0"/>
              <w:rPr>
                <w:rFonts w:hint="eastAsia" w:ascii="宋体" w:hAnsi="宋体" w:eastAsia="宋体" w:cs="宋体"/>
                <w:bCs/>
                <w:color w:val="000000" w:themeColor="text1"/>
                <w:sz w:val="21"/>
                <w:szCs w:val="21"/>
                <w:highlight w:val="none"/>
                <w:lang w:eastAsia="zh-CN"/>
              </w:rPr>
            </w:pPr>
          </w:p>
        </w:tc>
        <w:tc>
          <w:tcPr>
            <w:tcW w:w="371" w:type="pct"/>
            <w:noWrap w:val="0"/>
            <w:vAlign w:val="center"/>
          </w:tcPr>
          <w:p w14:paraId="4924FFFD">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p>
        </w:tc>
      </w:tr>
      <w:tr w14:paraId="19DCE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6" w:type="pct"/>
            <w:noWrap w:val="0"/>
            <w:vAlign w:val="center"/>
          </w:tcPr>
          <w:p w14:paraId="205094B3">
            <w:pPr>
              <w:widowControl w:val="0"/>
              <w:numPr>
                <w:ilvl w:val="0"/>
                <w:numId w:val="70"/>
              </w:numPr>
              <w:adjustRightInd w:val="0"/>
              <w:snapToGrid w:val="0"/>
              <w:jc w:val="center"/>
              <w:rPr>
                <w:rFonts w:hint="eastAsia" w:ascii="宋体" w:hAnsi="宋体" w:eastAsia="宋体" w:cs="宋体"/>
                <w:color w:val="000000" w:themeColor="text1"/>
                <w:kern w:val="0"/>
                <w:sz w:val="21"/>
                <w:szCs w:val="21"/>
                <w:highlight w:val="none"/>
              </w:rPr>
            </w:pPr>
          </w:p>
        </w:tc>
        <w:tc>
          <w:tcPr>
            <w:tcW w:w="1889" w:type="pct"/>
            <w:noWrap w:val="0"/>
            <w:vAlign w:val="center"/>
          </w:tcPr>
          <w:p w14:paraId="604FE26A">
            <w:pPr>
              <w:widowControl w:val="0"/>
              <w:adjustRightInd w:val="0"/>
              <w:snapToGrid w:val="0"/>
              <w:rPr>
                <w:rFonts w:hint="eastAsia" w:ascii="宋体" w:hAnsi="宋体" w:eastAsia="宋体" w:cs="宋体"/>
                <w:bCs/>
                <w:color w:val="000000" w:themeColor="text1"/>
                <w:sz w:val="21"/>
                <w:szCs w:val="21"/>
                <w:highlight w:val="none"/>
              </w:rPr>
            </w:pPr>
            <w:r>
              <w:rPr>
                <w:rFonts w:hint="eastAsia" w:ascii="宋体" w:hAnsi="宋体" w:eastAsia="宋体" w:cs="宋体"/>
                <w:bCs/>
                <w:color w:val="000000" w:themeColor="text1"/>
                <w:sz w:val="21"/>
                <w:szCs w:val="21"/>
                <w:highlight w:val="none"/>
              </w:rPr>
              <w:t>生产经营单位必须依法参加工伤保险，为从业人员缴纳保险费。</w:t>
            </w:r>
          </w:p>
        </w:tc>
        <w:tc>
          <w:tcPr>
            <w:tcW w:w="994" w:type="pct"/>
            <w:noWrap w:val="0"/>
            <w:vAlign w:val="center"/>
          </w:tcPr>
          <w:p w14:paraId="334F7997">
            <w:pPr>
              <w:widowControl w:val="0"/>
              <w:adjustRightInd w:val="0"/>
              <w:snapToGrid w:val="0"/>
              <w:jc w:val="center"/>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kern w:val="0"/>
                <w:sz w:val="21"/>
                <w:szCs w:val="21"/>
                <w:highlight w:val="none"/>
                <w:lang w:bidi="ar"/>
              </w:rPr>
              <w:t>《中华人民共和国安全生产法》</w:t>
            </w:r>
            <w:r>
              <w:rPr>
                <w:rFonts w:hint="eastAsia" w:ascii="宋体" w:hAnsi="宋体" w:eastAsia="宋体" w:cs="宋体"/>
                <w:bCs/>
                <w:color w:val="000000" w:themeColor="text1"/>
                <w:sz w:val="21"/>
                <w:szCs w:val="21"/>
                <w:highlight w:val="none"/>
              </w:rPr>
              <w:t>第</w:t>
            </w:r>
            <w:r>
              <w:rPr>
                <w:rFonts w:hint="eastAsia" w:ascii="宋体" w:hAnsi="宋体" w:eastAsia="宋体" w:cs="宋体"/>
                <w:bCs/>
                <w:color w:val="000000" w:themeColor="text1"/>
                <w:sz w:val="21"/>
                <w:szCs w:val="21"/>
                <w:highlight w:val="none"/>
                <w:lang w:val="en-US" w:eastAsia="zh-CN"/>
              </w:rPr>
              <w:t>51</w:t>
            </w:r>
            <w:r>
              <w:rPr>
                <w:rFonts w:hint="eastAsia" w:ascii="宋体" w:hAnsi="宋体" w:eastAsia="宋体" w:cs="宋体"/>
                <w:bCs/>
                <w:color w:val="000000" w:themeColor="text1"/>
                <w:sz w:val="21"/>
                <w:szCs w:val="21"/>
                <w:highlight w:val="none"/>
              </w:rPr>
              <w:t>条</w:t>
            </w:r>
          </w:p>
        </w:tc>
        <w:tc>
          <w:tcPr>
            <w:tcW w:w="1378" w:type="pct"/>
            <w:noWrap w:val="0"/>
            <w:vAlign w:val="center"/>
          </w:tcPr>
          <w:p w14:paraId="2F3FECA0">
            <w:pPr>
              <w:widowControl w:val="0"/>
              <w:adjustRightInd w:val="0"/>
              <w:snapToGrid w:val="0"/>
              <w:rPr>
                <w:rFonts w:hint="eastAsia" w:ascii="宋体" w:hAnsi="宋体" w:eastAsia="宋体" w:cs="宋体"/>
                <w:bCs/>
                <w:color w:val="000000" w:themeColor="text1"/>
                <w:sz w:val="21"/>
                <w:szCs w:val="21"/>
                <w:highlight w:val="none"/>
                <w:lang w:eastAsia="zh-CN"/>
              </w:rPr>
            </w:pPr>
            <w:r>
              <w:rPr>
                <w:rFonts w:hint="eastAsia" w:ascii="宋体" w:hAnsi="宋体" w:eastAsia="宋体" w:cs="宋体"/>
                <w:bCs/>
                <w:color w:val="000000" w:themeColor="text1"/>
                <w:sz w:val="21"/>
                <w:szCs w:val="21"/>
                <w:highlight w:val="none"/>
              </w:rPr>
              <w:t>依法参加工伤保险</w:t>
            </w:r>
            <w:r>
              <w:rPr>
                <w:rFonts w:hint="eastAsia" w:ascii="宋体" w:hAnsi="宋体" w:eastAsia="宋体" w:cs="宋体"/>
                <w:bCs/>
                <w:color w:val="000000" w:themeColor="text1"/>
                <w:sz w:val="21"/>
                <w:szCs w:val="21"/>
                <w:highlight w:val="none"/>
                <w:lang w:eastAsia="zh-CN"/>
              </w:rPr>
              <w:t>。</w:t>
            </w:r>
          </w:p>
        </w:tc>
        <w:tc>
          <w:tcPr>
            <w:tcW w:w="371" w:type="pct"/>
            <w:noWrap w:val="0"/>
            <w:vAlign w:val="center"/>
          </w:tcPr>
          <w:p w14:paraId="6AB21BC9">
            <w:pPr>
              <w:widowControl w:val="0"/>
              <w:adjustRightInd w:val="0"/>
              <w:snapToGrid w:val="0"/>
              <w:jc w:val="center"/>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eastAsia="zh-CN"/>
              </w:rPr>
              <w:t>符合</w:t>
            </w:r>
          </w:p>
        </w:tc>
      </w:tr>
    </w:tbl>
    <w:p w14:paraId="06686409">
      <w:pPr>
        <w:pStyle w:val="3"/>
        <w:widowControl w:val="0"/>
        <w:numPr>
          <w:ilvl w:val="-1"/>
          <w:numId w:val="0"/>
        </w:numPr>
        <w:adjustRightInd w:val="0"/>
        <w:snapToGrid w:val="0"/>
        <w:spacing w:beforeLines="50" w:after="0" w:line="360" w:lineRule="auto"/>
        <w:ind w:left="0" w:leftChars="0" w:firstLine="560" w:firstLineChars="200"/>
        <w:jc w:val="left"/>
        <w:rPr>
          <w:rFonts w:hint="eastAsia" w:ascii="宋体" w:hAnsi="宋体" w:cs="宋体"/>
          <w:color w:val="000000" w:themeColor="text1"/>
          <w:kern w:val="0"/>
          <w:sz w:val="28"/>
          <w:szCs w:val="28"/>
          <w:highlight w:val="none"/>
          <w:lang w:eastAsia="zh-CN"/>
        </w:rPr>
      </w:pPr>
      <w:r>
        <w:rPr>
          <w:color w:val="000000" w:themeColor="text1"/>
          <w:kern w:val="0"/>
          <w:sz w:val="28"/>
          <w:szCs w:val="28"/>
          <w:highlight w:val="none"/>
        </w:rPr>
        <w:t>评</w:t>
      </w:r>
      <w:r>
        <w:rPr>
          <w:rFonts w:hint="eastAsia"/>
          <w:color w:val="000000" w:themeColor="text1"/>
          <w:kern w:val="0"/>
          <w:sz w:val="28"/>
          <w:szCs w:val="28"/>
          <w:highlight w:val="none"/>
        </w:rPr>
        <w:t>价</w:t>
      </w:r>
      <w:r>
        <w:rPr>
          <w:color w:val="000000" w:themeColor="text1"/>
          <w:kern w:val="0"/>
          <w:sz w:val="28"/>
          <w:szCs w:val="28"/>
          <w:highlight w:val="none"/>
        </w:rPr>
        <w:t>小结</w:t>
      </w:r>
      <w:r>
        <w:rPr>
          <w:rFonts w:hint="eastAsia"/>
          <w:color w:val="000000" w:themeColor="text1"/>
          <w:kern w:val="0"/>
          <w:sz w:val="28"/>
          <w:szCs w:val="28"/>
          <w:highlight w:val="none"/>
        </w:rPr>
        <w:t>，经检查，</w:t>
      </w:r>
      <w:r>
        <w:rPr>
          <w:rFonts w:hint="eastAsia"/>
          <w:color w:val="000000" w:themeColor="text1"/>
          <w:kern w:val="0"/>
          <w:sz w:val="28"/>
          <w:szCs w:val="28"/>
          <w:highlight w:val="none"/>
          <w:lang w:eastAsia="zh-CN"/>
        </w:rPr>
        <w:t>本项目</w:t>
      </w:r>
      <w:r>
        <w:rPr>
          <w:rFonts w:hint="eastAsia" w:ascii="宋体" w:hAnsi="宋体" w:eastAsia="宋体" w:cs="宋体"/>
          <w:color w:val="000000" w:themeColor="text1"/>
          <w:kern w:val="0"/>
          <w:sz w:val="28"/>
          <w:szCs w:val="28"/>
          <w:highlight w:val="none"/>
        </w:rPr>
        <w:t>安全管理</w:t>
      </w:r>
      <w:r>
        <w:rPr>
          <w:rFonts w:hint="eastAsia" w:cs="宋体"/>
          <w:color w:val="000000" w:themeColor="text1"/>
          <w:kern w:val="0"/>
          <w:sz w:val="28"/>
          <w:szCs w:val="28"/>
          <w:highlight w:val="none"/>
          <w:lang w:eastAsia="zh-CN"/>
        </w:rPr>
        <w:t>符合</w:t>
      </w:r>
      <w:r>
        <w:rPr>
          <w:rFonts w:hint="eastAsia" w:ascii="宋体" w:hAnsi="宋体" w:cs="宋体"/>
          <w:color w:val="000000" w:themeColor="text1"/>
          <w:kern w:val="0"/>
          <w:sz w:val="28"/>
          <w:szCs w:val="28"/>
          <w:highlight w:val="none"/>
          <w:lang w:eastAsia="zh-CN"/>
        </w:rPr>
        <w:t>现行</w:t>
      </w:r>
      <w:r>
        <w:rPr>
          <w:rFonts w:hint="eastAsia" w:ascii="宋体" w:hAnsi="宋体" w:eastAsia="宋体" w:cs="宋体"/>
          <w:color w:val="000000" w:themeColor="text1"/>
          <w:kern w:val="0"/>
          <w:sz w:val="28"/>
          <w:szCs w:val="28"/>
          <w:highlight w:val="none"/>
        </w:rPr>
        <w:t>《中华人民共和国安全生产法</w:t>
      </w:r>
      <w:r>
        <w:rPr>
          <w:rFonts w:hint="eastAsia" w:cs="宋体"/>
          <w:color w:val="000000" w:themeColor="text1"/>
          <w:kern w:val="0"/>
          <w:sz w:val="28"/>
          <w:szCs w:val="28"/>
          <w:highlight w:val="none"/>
          <w:lang w:eastAsia="zh-CN"/>
        </w:rPr>
        <w:t>》、《</w:t>
      </w:r>
      <w:r>
        <w:rPr>
          <w:rFonts w:hint="eastAsia" w:hAnsi="宋体"/>
          <w:color w:val="000000" w:themeColor="text1"/>
          <w:sz w:val="28"/>
          <w:highlight w:val="none"/>
        </w:rPr>
        <w:t>生产安全事故应急预案管理办法</w:t>
      </w:r>
      <w:r>
        <w:rPr>
          <w:rFonts w:hint="eastAsia"/>
          <w:color w:val="000000" w:themeColor="text1"/>
          <w:sz w:val="28"/>
          <w:highlight w:val="none"/>
          <w:lang w:eastAsia="zh-CN"/>
        </w:rPr>
        <w:t>》、《</w:t>
      </w:r>
      <w:r>
        <w:rPr>
          <w:rFonts w:hint="eastAsia" w:ascii="宋体" w:hAnsi="宋体" w:eastAsia="宋体" w:cs="宋体"/>
          <w:color w:val="000000" w:themeColor="text1"/>
          <w:kern w:val="0"/>
          <w:sz w:val="28"/>
          <w:szCs w:val="28"/>
          <w:highlight w:val="none"/>
        </w:rPr>
        <w:t>生产经营单位安全培训规定</w:t>
      </w:r>
      <w:r>
        <w:rPr>
          <w:rFonts w:hint="eastAsia" w:cs="宋体"/>
          <w:color w:val="000000" w:themeColor="text1"/>
          <w:kern w:val="0"/>
          <w:sz w:val="28"/>
          <w:szCs w:val="28"/>
          <w:highlight w:val="none"/>
          <w:lang w:eastAsia="zh-CN"/>
        </w:rPr>
        <w:t>》、《</w:t>
      </w:r>
      <w:r>
        <w:rPr>
          <w:rFonts w:hint="eastAsia" w:ascii="宋体" w:hAnsi="宋体" w:eastAsia="宋体" w:cs="宋体"/>
          <w:color w:val="000000" w:themeColor="text1"/>
          <w:kern w:val="0"/>
          <w:sz w:val="28"/>
          <w:szCs w:val="28"/>
          <w:highlight w:val="none"/>
        </w:rPr>
        <w:t>安全生产培训管理办法》</w:t>
      </w:r>
      <w:r>
        <w:rPr>
          <w:rFonts w:hint="eastAsia" w:ascii="宋体" w:hAnsi="宋体" w:eastAsia="宋体" w:cs="宋体"/>
          <w:color w:val="000000" w:themeColor="text1"/>
          <w:sz w:val="28"/>
          <w:szCs w:val="28"/>
          <w:highlight w:val="none"/>
          <w:lang w:eastAsia="zh-CN"/>
        </w:rPr>
        <w:t>和</w:t>
      </w:r>
      <w:r>
        <w:rPr>
          <w:rFonts w:hint="eastAsia" w:ascii="宋体" w:hAnsi="宋体" w:eastAsia="宋体" w:cs="宋体"/>
          <w:color w:val="000000" w:themeColor="text1"/>
          <w:kern w:val="0"/>
          <w:sz w:val="28"/>
          <w:szCs w:val="28"/>
          <w:highlight w:val="none"/>
        </w:rPr>
        <w:t>《浙江省安全生产条例》</w:t>
      </w:r>
      <w:r>
        <w:rPr>
          <w:rFonts w:hint="eastAsia" w:ascii="宋体" w:hAnsi="宋体" w:eastAsia="宋体" w:cs="宋体"/>
          <w:color w:val="000000" w:themeColor="text1"/>
          <w:kern w:val="0"/>
          <w:sz w:val="28"/>
          <w:szCs w:val="28"/>
          <w:highlight w:val="none"/>
          <w:lang w:eastAsia="zh-CN"/>
        </w:rPr>
        <w:t>的</w:t>
      </w:r>
      <w:r>
        <w:rPr>
          <w:rFonts w:hint="eastAsia" w:ascii="宋体" w:hAnsi="宋体" w:eastAsia="宋体" w:cs="宋体"/>
          <w:color w:val="000000" w:themeColor="text1"/>
          <w:kern w:val="0"/>
          <w:sz w:val="28"/>
          <w:szCs w:val="28"/>
          <w:highlight w:val="none"/>
        </w:rPr>
        <w:t>要求</w:t>
      </w:r>
      <w:r>
        <w:rPr>
          <w:rFonts w:hint="eastAsia" w:ascii="宋体" w:hAnsi="宋体" w:cs="宋体"/>
          <w:color w:val="000000" w:themeColor="text1"/>
          <w:kern w:val="0"/>
          <w:sz w:val="28"/>
          <w:szCs w:val="28"/>
          <w:highlight w:val="none"/>
        </w:rPr>
        <w:t>。</w:t>
      </w:r>
    </w:p>
    <w:p w14:paraId="4289BEE2">
      <w:pPr>
        <w:pStyle w:val="6"/>
        <w:keepNext w:val="0"/>
        <w:keepLines w:val="0"/>
        <w:pageBreakBefore w:val="0"/>
        <w:widowControl w:val="0"/>
        <w:kinsoku/>
        <w:wordWrap/>
        <w:overflowPunct/>
        <w:topLinePunct w:val="0"/>
        <w:autoSpaceDE/>
        <w:autoSpaceDN/>
        <w:bidi w:val="0"/>
        <w:adjustRightInd w:val="0"/>
        <w:snapToGrid w:val="0"/>
        <w:textAlignment w:val="auto"/>
        <w:rPr>
          <w:color w:val="000000" w:themeColor="text1"/>
          <w:szCs w:val="28"/>
          <w:highlight w:val="none"/>
        </w:rPr>
      </w:pPr>
      <w:bookmarkStart w:id="923" w:name="_Toc17055"/>
      <w:bookmarkStart w:id="924" w:name="_Toc13593"/>
      <w:bookmarkStart w:id="925" w:name="_Toc11180"/>
      <w:bookmarkStart w:id="926" w:name="_Toc4066"/>
      <w:bookmarkStart w:id="927" w:name="_Toc12581"/>
      <w:bookmarkStart w:id="928" w:name="_Toc18198"/>
      <w:r>
        <w:rPr>
          <w:rFonts w:hint="eastAsia"/>
          <w:color w:val="000000" w:themeColor="text1"/>
          <w:szCs w:val="28"/>
          <w:highlight w:val="none"/>
        </w:rPr>
        <w:t>5.</w:t>
      </w:r>
      <w:r>
        <w:rPr>
          <w:color w:val="000000" w:themeColor="text1"/>
          <w:szCs w:val="28"/>
          <w:highlight w:val="none"/>
        </w:rPr>
        <w:t>2</w:t>
      </w:r>
      <w:r>
        <w:rPr>
          <w:rFonts w:hint="eastAsia"/>
          <w:color w:val="000000" w:themeColor="text1"/>
          <w:szCs w:val="28"/>
          <w:highlight w:val="none"/>
        </w:rPr>
        <w:t>作业条件危险性</w:t>
      </w:r>
      <w:r>
        <w:rPr>
          <w:rFonts w:hint="eastAsia"/>
          <w:color w:val="000000" w:themeColor="text1"/>
          <w:highlight w:val="none"/>
        </w:rPr>
        <w:t>评价</w:t>
      </w:r>
      <w:r>
        <w:rPr>
          <w:rFonts w:hint="eastAsia"/>
          <w:color w:val="000000" w:themeColor="text1"/>
          <w:szCs w:val="28"/>
          <w:highlight w:val="none"/>
        </w:rPr>
        <w:t>法</w:t>
      </w:r>
      <w:bookmarkEnd w:id="923"/>
      <w:bookmarkEnd w:id="924"/>
      <w:bookmarkEnd w:id="925"/>
      <w:bookmarkEnd w:id="926"/>
      <w:bookmarkEnd w:id="927"/>
      <w:bookmarkEnd w:id="928"/>
    </w:p>
    <w:p w14:paraId="29A9E6E6">
      <w:pPr>
        <w:widowControl w:val="0"/>
        <w:adjustRightInd w:val="0"/>
        <w:snapToGrid w:val="0"/>
        <w:spacing w:line="360" w:lineRule="auto"/>
        <w:ind w:firstLine="560" w:firstLineChars="200"/>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sz w:val="28"/>
          <w:szCs w:val="28"/>
          <w:highlight w:val="none"/>
        </w:rPr>
        <w:t>根据</w:t>
      </w:r>
      <w:r>
        <w:rPr>
          <w:rFonts w:hint="eastAsia"/>
          <w:color w:val="000000" w:themeColor="text1"/>
          <w:sz w:val="28"/>
          <w:highlight w:val="none"/>
        </w:rPr>
        <w:t>华美线业</w:t>
      </w:r>
      <w:r>
        <w:rPr>
          <w:color w:val="000000" w:themeColor="text1"/>
          <w:sz w:val="28"/>
          <w:highlight w:val="none"/>
        </w:rPr>
        <w:t>危险化学品</w:t>
      </w:r>
      <w:r>
        <w:rPr>
          <w:rFonts w:hint="eastAsia"/>
          <w:color w:val="000000" w:themeColor="text1"/>
          <w:sz w:val="28"/>
          <w:highlight w:val="none"/>
          <w:lang w:eastAsia="zh-CN"/>
        </w:rPr>
        <w:t>储存使用</w:t>
      </w:r>
      <w:r>
        <w:rPr>
          <w:rFonts w:hint="eastAsia" w:ascii="宋体" w:hAnsi="宋体" w:eastAsia="宋体" w:cs="宋体"/>
          <w:color w:val="000000" w:themeColor="text1"/>
          <w:sz w:val="28"/>
          <w:szCs w:val="28"/>
          <w:highlight w:val="none"/>
        </w:rPr>
        <w:t>实际情况，对事故发生的可能性及其严重程度用作业条件危险性进行评价。对</w:t>
      </w:r>
      <w:r>
        <w:rPr>
          <w:color w:val="000000" w:themeColor="text1"/>
          <w:sz w:val="28"/>
          <w:highlight w:val="none"/>
        </w:rPr>
        <w:t>危险化学品人工倒入作业</w:t>
      </w:r>
      <w:r>
        <w:rPr>
          <w:rFonts w:hint="eastAsia"/>
          <w:color w:val="000000" w:themeColor="text1"/>
          <w:sz w:val="28"/>
          <w:highlight w:val="none"/>
        </w:rPr>
        <w:t>、</w:t>
      </w:r>
      <w:r>
        <w:rPr>
          <w:color w:val="000000" w:themeColor="text1"/>
          <w:sz w:val="28"/>
          <w:highlight w:val="none"/>
        </w:rPr>
        <w:t>危险化学品储存装卸</w:t>
      </w:r>
      <w:r>
        <w:rPr>
          <w:rFonts w:hint="eastAsia"/>
          <w:color w:val="000000" w:themeColor="text1"/>
          <w:sz w:val="28"/>
          <w:highlight w:val="none"/>
        </w:rPr>
        <w:t>作业、机械维修作业和</w:t>
      </w:r>
      <w:r>
        <w:rPr>
          <w:color w:val="000000" w:themeColor="text1"/>
          <w:sz w:val="28"/>
          <w:highlight w:val="none"/>
        </w:rPr>
        <w:t>电气维修作业</w:t>
      </w:r>
      <w:r>
        <w:rPr>
          <w:rFonts w:hint="eastAsia" w:ascii="宋体" w:hAnsi="宋体" w:cs="宋体"/>
          <w:color w:val="000000" w:themeColor="text1"/>
          <w:kern w:val="0"/>
          <w:sz w:val="28"/>
          <w:szCs w:val="28"/>
          <w:highlight w:val="none"/>
          <w:lang w:eastAsia="zh-CN"/>
        </w:rPr>
        <w:t>进行</w:t>
      </w:r>
      <w:r>
        <w:rPr>
          <w:rFonts w:hint="eastAsia" w:ascii="宋体" w:hAnsi="宋体" w:eastAsia="宋体" w:cs="宋体"/>
          <w:color w:val="000000" w:themeColor="text1"/>
          <w:kern w:val="0"/>
          <w:sz w:val="28"/>
          <w:szCs w:val="28"/>
          <w:highlight w:val="none"/>
        </w:rPr>
        <w:t>作业条件危险性评价</w:t>
      </w:r>
      <w:r>
        <w:rPr>
          <w:rFonts w:hint="eastAsia" w:ascii="宋体" w:hAnsi="宋体" w:eastAsia="宋体" w:cs="宋体"/>
          <w:color w:val="000000" w:themeColor="text1"/>
          <w:sz w:val="28"/>
          <w:szCs w:val="28"/>
          <w:highlight w:val="none"/>
        </w:rPr>
        <w:t>。</w:t>
      </w:r>
      <w:r>
        <w:rPr>
          <w:rFonts w:hint="eastAsia" w:ascii="宋体" w:hAnsi="宋体" w:eastAsia="宋体" w:cs="宋体"/>
          <w:color w:val="000000" w:themeColor="text1"/>
          <w:kern w:val="0"/>
          <w:sz w:val="28"/>
          <w:szCs w:val="28"/>
          <w:highlight w:val="none"/>
        </w:rPr>
        <w:t>评价过程及结果如下：</w:t>
      </w:r>
    </w:p>
    <w:p w14:paraId="6A35D946">
      <w:pPr>
        <w:pStyle w:val="4"/>
        <w:keepNext w:val="0"/>
        <w:keepLines w:val="0"/>
        <w:pageBreakBefore w:val="0"/>
        <w:widowControl w:val="0"/>
        <w:kinsoku/>
        <w:wordWrap/>
        <w:topLinePunct w:val="0"/>
        <w:bidi w:val="0"/>
        <w:adjustRightInd w:val="0"/>
        <w:snapToGrid w:val="0"/>
        <w:spacing w:line="360" w:lineRule="auto"/>
        <w:ind w:firstLine="561"/>
        <w:rPr>
          <w:b/>
          <w:color w:val="000000" w:themeColor="text1"/>
          <w:sz w:val="28"/>
          <w:highlight w:val="none"/>
        </w:rPr>
      </w:pPr>
      <w:r>
        <w:rPr>
          <w:rFonts w:hint="eastAsia"/>
          <w:color w:val="000000" w:themeColor="text1"/>
          <w:sz w:val="28"/>
          <w:highlight w:val="none"/>
        </w:rPr>
        <w:t>（1）事故发生的可能性</w:t>
      </w:r>
    </w:p>
    <w:p w14:paraId="4DA6F01E">
      <w:pPr>
        <w:pStyle w:val="2"/>
        <w:widowControl w:val="0"/>
        <w:numPr>
          <w:ilvl w:val="-1"/>
          <w:numId w:val="0"/>
        </w:numPr>
        <w:adjustRightInd w:val="0"/>
        <w:snapToGrid w:val="0"/>
        <w:spacing w:line="360" w:lineRule="auto"/>
        <w:ind w:left="960" w:leftChars="400" w:firstLine="0" w:firstLineChars="0"/>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事故发生的可能性取值标准见表5.2-1。</w:t>
      </w:r>
    </w:p>
    <w:p w14:paraId="2DD29E2D">
      <w:pPr>
        <w:keepNext w:val="0"/>
        <w:keepLines w:val="0"/>
        <w:pageBreakBefore w:val="0"/>
        <w:widowControl w:val="0"/>
        <w:kinsoku/>
        <w:wordWrap/>
        <w:topLinePunct w:val="0"/>
        <w:bidi w:val="0"/>
        <w:adjustRightInd w:val="0"/>
        <w:snapToGrid w:val="0"/>
        <w:spacing w:line="360" w:lineRule="auto"/>
        <w:jc w:val="center"/>
        <w:rPr>
          <w:rFonts w:ascii="黑体" w:hAnsi="黑体" w:eastAsia="黑体"/>
          <w:b/>
          <w:bCs/>
          <w:color w:val="000000" w:themeColor="text1"/>
          <w:highlight w:val="none"/>
        </w:rPr>
      </w:pPr>
      <w:r>
        <w:rPr>
          <w:rFonts w:hint="eastAsia" w:ascii="黑体" w:hAnsi="黑体" w:eastAsia="黑体"/>
          <w:b/>
          <w:bCs/>
          <w:color w:val="000000" w:themeColor="text1"/>
          <w:highlight w:val="none"/>
        </w:rPr>
        <w:t>表5</w:t>
      </w:r>
      <w:r>
        <w:rPr>
          <w:rFonts w:hint="eastAsia" w:ascii="黑体" w:hAnsi="黑体" w:eastAsia="黑体"/>
          <w:b/>
          <w:bCs/>
          <w:color w:val="000000" w:themeColor="text1"/>
          <w:highlight w:val="none"/>
          <w:lang w:val="en-US" w:eastAsia="zh-CN"/>
        </w:rPr>
        <w:t>.2</w:t>
      </w:r>
      <w:r>
        <w:rPr>
          <w:rFonts w:hint="eastAsia" w:ascii="黑体" w:hAnsi="黑体" w:eastAsia="黑体"/>
          <w:b/>
          <w:bCs/>
          <w:color w:val="000000" w:themeColor="text1"/>
          <w:highlight w:val="none"/>
        </w:rPr>
        <w:t>-</w:t>
      </w:r>
      <w:r>
        <w:rPr>
          <w:rFonts w:hint="eastAsia" w:ascii="黑体" w:hAnsi="黑体" w:eastAsia="黑体"/>
          <w:b/>
          <w:bCs/>
          <w:color w:val="000000" w:themeColor="text1"/>
          <w:highlight w:val="none"/>
          <w:lang w:val="en-US" w:eastAsia="zh-CN"/>
        </w:rPr>
        <w:t>1</w:t>
      </w:r>
      <w:r>
        <w:rPr>
          <w:rFonts w:hint="eastAsia" w:ascii="黑体" w:hAnsi="黑体" w:eastAsia="黑体"/>
          <w:b/>
          <w:bCs/>
          <w:color w:val="000000" w:themeColor="text1"/>
          <w:highlight w:val="none"/>
        </w:rPr>
        <w:t xml:space="preserve"> 事故发生的可能性</w:t>
      </w:r>
      <w:r>
        <w:rPr>
          <w:rFonts w:hint="eastAsia" w:ascii="黑体" w:hAnsi="黑体" w:eastAsia="黑体"/>
          <w:b/>
          <w:bCs/>
          <w:color w:val="000000" w:themeColor="text1"/>
          <w:highlight w:val="none"/>
          <w:lang w:eastAsia="zh-CN"/>
        </w:rPr>
        <w:t>（</w:t>
      </w:r>
      <w:r>
        <w:rPr>
          <w:rFonts w:hint="eastAsia" w:ascii="黑体" w:hAnsi="黑体" w:eastAsia="黑体"/>
          <w:b/>
          <w:bCs/>
          <w:color w:val="000000" w:themeColor="text1"/>
          <w:highlight w:val="none"/>
        </w:rPr>
        <w:t>L</w:t>
      </w:r>
      <w:r>
        <w:rPr>
          <w:rFonts w:hint="eastAsia" w:ascii="黑体" w:hAnsi="黑体" w:eastAsia="黑体"/>
          <w:b/>
          <w:bCs/>
          <w:color w:val="000000" w:themeColor="text1"/>
          <w:highlight w:val="none"/>
          <w:lang w:eastAsia="zh-CN"/>
        </w:rPr>
        <w:t>）</w:t>
      </w:r>
    </w:p>
    <w:tbl>
      <w:tblPr>
        <w:tblStyle w:val="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3375"/>
        <w:gridCol w:w="1209"/>
        <w:gridCol w:w="3814"/>
      </w:tblGrid>
      <w:tr w14:paraId="6BEEC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03" w:type="dxa"/>
            <w:vAlign w:val="center"/>
          </w:tcPr>
          <w:p w14:paraId="4F5A68C5">
            <w:pPr>
              <w:keepNext w:val="0"/>
              <w:keepLines w:val="0"/>
              <w:pageBreakBefore w:val="0"/>
              <w:widowControl w:val="0"/>
              <w:kinsoku/>
              <w:wordWrap/>
              <w:topLinePunct w:val="0"/>
              <w:bidi w:val="0"/>
              <w:adjustRightInd w:val="0"/>
              <w:snapToGrid w:val="0"/>
              <w:jc w:val="center"/>
              <w:rPr>
                <w:b/>
                <w:bCs/>
                <w:color w:val="000000" w:themeColor="text1"/>
                <w:sz w:val="21"/>
                <w:szCs w:val="21"/>
                <w:highlight w:val="none"/>
              </w:rPr>
            </w:pPr>
            <w:r>
              <w:rPr>
                <w:rFonts w:hint="eastAsia"/>
                <w:b/>
                <w:bCs/>
                <w:color w:val="000000" w:themeColor="text1"/>
                <w:sz w:val="21"/>
                <w:szCs w:val="21"/>
                <w:highlight w:val="none"/>
              </w:rPr>
              <w:t>分数值</w:t>
            </w:r>
          </w:p>
        </w:tc>
        <w:tc>
          <w:tcPr>
            <w:tcW w:w="3375" w:type="dxa"/>
            <w:vAlign w:val="center"/>
          </w:tcPr>
          <w:p w14:paraId="4746821F">
            <w:pPr>
              <w:keepNext w:val="0"/>
              <w:keepLines w:val="0"/>
              <w:pageBreakBefore w:val="0"/>
              <w:widowControl w:val="0"/>
              <w:kinsoku/>
              <w:wordWrap/>
              <w:topLinePunct w:val="0"/>
              <w:bidi w:val="0"/>
              <w:adjustRightInd w:val="0"/>
              <w:snapToGrid w:val="0"/>
              <w:jc w:val="center"/>
              <w:rPr>
                <w:b/>
                <w:bCs/>
                <w:color w:val="000000" w:themeColor="text1"/>
                <w:sz w:val="21"/>
                <w:szCs w:val="21"/>
                <w:highlight w:val="none"/>
              </w:rPr>
            </w:pPr>
            <w:r>
              <w:rPr>
                <w:rFonts w:hint="eastAsia"/>
                <w:b/>
                <w:bCs/>
                <w:color w:val="000000" w:themeColor="text1"/>
                <w:sz w:val="21"/>
                <w:szCs w:val="21"/>
                <w:highlight w:val="none"/>
              </w:rPr>
              <w:t>事故发生的可能性</w:t>
            </w:r>
          </w:p>
        </w:tc>
        <w:tc>
          <w:tcPr>
            <w:tcW w:w="1209" w:type="dxa"/>
            <w:vAlign w:val="center"/>
          </w:tcPr>
          <w:p w14:paraId="59041D0E">
            <w:pPr>
              <w:keepNext w:val="0"/>
              <w:keepLines w:val="0"/>
              <w:pageBreakBefore w:val="0"/>
              <w:widowControl w:val="0"/>
              <w:kinsoku/>
              <w:wordWrap/>
              <w:topLinePunct w:val="0"/>
              <w:bidi w:val="0"/>
              <w:adjustRightInd w:val="0"/>
              <w:snapToGrid w:val="0"/>
              <w:jc w:val="center"/>
              <w:rPr>
                <w:b/>
                <w:bCs/>
                <w:color w:val="000000" w:themeColor="text1"/>
                <w:sz w:val="21"/>
                <w:szCs w:val="21"/>
                <w:highlight w:val="none"/>
              </w:rPr>
            </w:pPr>
            <w:r>
              <w:rPr>
                <w:rFonts w:hint="eastAsia"/>
                <w:b/>
                <w:bCs/>
                <w:color w:val="000000" w:themeColor="text1"/>
                <w:sz w:val="21"/>
                <w:szCs w:val="21"/>
                <w:highlight w:val="none"/>
              </w:rPr>
              <w:t>分数值</w:t>
            </w:r>
          </w:p>
        </w:tc>
        <w:tc>
          <w:tcPr>
            <w:tcW w:w="3814" w:type="dxa"/>
            <w:vAlign w:val="center"/>
          </w:tcPr>
          <w:p w14:paraId="28FEA848">
            <w:pPr>
              <w:keepNext w:val="0"/>
              <w:keepLines w:val="0"/>
              <w:pageBreakBefore w:val="0"/>
              <w:widowControl w:val="0"/>
              <w:kinsoku/>
              <w:wordWrap/>
              <w:topLinePunct w:val="0"/>
              <w:bidi w:val="0"/>
              <w:adjustRightInd w:val="0"/>
              <w:snapToGrid w:val="0"/>
              <w:jc w:val="center"/>
              <w:rPr>
                <w:b/>
                <w:bCs/>
                <w:color w:val="000000" w:themeColor="text1"/>
                <w:sz w:val="21"/>
                <w:szCs w:val="21"/>
                <w:highlight w:val="none"/>
              </w:rPr>
            </w:pPr>
            <w:r>
              <w:rPr>
                <w:rFonts w:hint="eastAsia"/>
                <w:b/>
                <w:bCs/>
                <w:color w:val="000000" w:themeColor="text1"/>
                <w:sz w:val="21"/>
                <w:szCs w:val="21"/>
                <w:highlight w:val="none"/>
              </w:rPr>
              <w:t>事故发生的可能性</w:t>
            </w:r>
          </w:p>
        </w:tc>
      </w:tr>
      <w:tr w14:paraId="1E0B2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03" w:type="dxa"/>
            <w:vAlign w:val="center"/>
          </w:tcPr>
          <w:p w14:paraId="48D91B23">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10</w:t>
            </w:r>
          </w:p>
        </w:tc>
        <w:tc>
          <w:tcPr>
            <w:tcW w:w="3375" w:type="dxa"/>
            <w:vAlign w:val="center"/>
          </w:tcPr>
          <w:p w14:paraId="7FF57DA1">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完全可以预料到</w:t>
            </w:r>
          </w:p>
        </w:tc>
        <w:tc>
          <w:tcPr>
            <w:tcW w:w="1209" w:type="dxa"/>
            <w:vAlign w:val="center"/>
          </w:tcPr>
          <w:p w14:paraId="41BD0CE2">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0.5</w:t>
            </w:r>
          </w:p>
        </w:tc>
        <w:tc>
          <w:tcPr>
            <w:tcW w:w="3814" w:type="dxa"/>
            <w:vAlign w:val="center"/>
          </w:tcPr>
          <w:p w14:paraId="7E707765">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很不可能，可以设想极不可能</w:t>
            </w:r>
          </w:p>
        </w:tc>
      </w:tr>
      <w:tr w14:paraId="329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03" w:type="dxa"/>
            <w:vAlign w:val="center"/>
          </w:tcPr>
          <w:p w14:paraId="2CB71EAB">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6</w:t>
            </w:r>
          </w:p>
        </w:tc>
        <w:tc>
          <w:tcPr>
            <w:tcW w:w="3375" w:type="dxa"/>
            <w:vAlign w:val="center"/>
          </w:tcPr>
          <w:p w14:paraId="4F31062D">
            <w:pPr>
              <w:pStyle w:val="81"/>
              <w:keepNext w:val="0"/>
              <w:keepLines w:val="0"/>
              <w:pageBreakBefore w:val="0"/>
              <w:widowControl w:val="0"/>
              <w:tabs>
                <w:tab w:val="clear" w:pos="277"/>
                <w:tab w:val="clear" w:pos="600"/>
                <w:tab w:val="clear" w:pos="780"/>
                <w:tab w:val="clear" w:pos="2517"/>
              </w:tabs>
              <w:kinsoku/>
              <w:wordWrap/>
              <w:topLinePunct w:val="0"/>
              <w:bidi w:val="0"/>
              <w:adjustRightInd w:val="0"/>
              <w:snapToGrid w:val="0"/>
              <w:spacing w:before="0"/>
              <w:textAlignment w:val="auto"/>
              <w:rPr>
                <w:color w:val="000000" w:themeColor="text1"/>
                <w:sz w:val="21"/>
                <w:szCs w:val="21"/>
                <w:highlight w:val="none"/>
              </w:rPr>
            </w:pPr>
            <w:r>
              <w:rPr>
                <w:rFonts w:hint="eastAsia"/>
                <w:color w:val="000000" w:themeColor="text1"/>
                <w:sz w:val="21"/>
                <w:szCs w:val="21"/>
                <w:highlight w:val="none"/>
              </w:rPr>
              <w:t>相当可能</w:t>
            </w:r>
          </w:p>
        </w:tc>
        <w:tc>
          <w:tcPr>
            <w:tcW w:w="1209" w:type="dxa"/>
            <w:vAlign w:val="center"/>
          </w:tcPr>
          <w:p w14:paraId="2B4C428A">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0.2</w:t>
            </w:r>
          </w:p>
        </w:tc>
        <w:tc>
          <w:tcPr>
            <w:tcW w:w="3814" w:type="dxa"/>
            <w:vAlign w:val="center"/>
          </w:tcPr>
          <w:p w14:paraId="3F04AFC8">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极不可能</w:t>
            </w:r>
          </w:p>
        </w:tc>
      </w:tr>
      <w:tr w14:paraId="1D74E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03" w:type="dxa"/>
            <w:vAlign w:val="center"/>
          </w:tcPr>
          <w:p w14:paraId="2808E812">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3</w:t>
            </w:r>
          </w:p>
        </w:tc>
        <w:tc>
          <w:tcPr>
            <w:tcW w:w="3375" w:type="dxa"/>
            <w:vAlign w:val="center"/>
          </w:tcPr>
          <w:p w14:paraId="2895B7C9">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可能，但不经常</w:t>
            </w:r>
          </w:p>
        </w:tc>
        <w:tc>
          <w:tcPr>
            <w:tcW w:w="1209" w:type="dxa"/>
            <w:vAlign w:val="center"/>
          </w:tcPr>
          <w:p w14:paraId="16F3C2B2">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0.1</w:t>
            </w:r>
          </w:p>
        </w:tc>
        <w:tc>
          <w:tcPr>
            <w:tcW w:w="3814" w:type="dxa"/>
            <w:vAlign w:val="center"/>
          </w:tcPr>
          <w:p w14:paraId="53B58D4E">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实际不可能</w:t>
            </w:r>
          </w:p>
        </w:tc>
      </w:tr>
      <w:tr w14:paraId="39990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03" w:type="dxa"/>
            <w:vAlign w:val="center"/>
          </w:tcPr>
          <w:p w14:paraId="48773D6C">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1</w:t>
            </w:r>
          </w:p>
        </w:tc>
        <w:tc>
          <w:tcPr>
            <w:tcW w:w="3375" w:type="dxa"/>
            <w:vAlign w:val="center"/>
          </w:tcPr>
          <w:p w14:paraId="6318885F">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可能性小，完全意外</w:t>
            </w:r>
          </w:p>
        </w:tc>
        <w:tc>
          <w:tcPr>
            <w:tcW w:w="1209" w:type="dxa"/>
            <w:vAlign w:val="center"/>
          </w:tcPr>
          <w:p w14:paraId="30C76464">
            <w:pPr>
              <w:keepNext w:val="0"/>
              <w:keepLines w:val="0"/>
              <w:pageBreakBefore w:val="0"/>
              <w:widowControl w:val="0"/>
              <w:kinsoku/>
              <w:wordWrap/>
              <w:topLinePunct w:val="0"/>
              <w:bidi w:val="0"/>
              <w:adjustRightInd w:val="0"/>
              <w:snapToGrid w:val="0"/>
              <w:ind w:firstLine="561"/>
              <w:jc w:val="center"/>
              <w:rPr>
                <w:color w:val="000000" w:themeColor="text1"/>
                <w:sz w:val="21"/>
                <w:szCs w:val="21"/>
                <w:highlight w:val="none"/>
              </w:rPr>
            </w:pPr>
          </w:p>
        </w:tc>
        <w:tc>
          <w:tcPr>
            <w:tcW w:w="3814" w:type="dxa"/>
            <w:vAlign w:val="center"/>
          </w:tcPr>
          <w:p w14:paraId="61BBA742">
            <w:pPr>
              <w:keepNext w:val="0"/>
              <w:keepLines w:val="0"/>
              <w:pageBreakBefore w:val="0"/>
              <w:widowControl w:val="0"/>
              <w:kinsoku/>
              <w:wordWrap/>
              <w:topLinePunct w:val="0"/>
              <w:bidi w:val="0"/>
              <w:adjustRightInd w:val="0"/>
              <w:snapToGrid w:val="0"/>
              <w:ind w:firstLine="561"/>
              <w:jc w:val="center"/>
              <w:rPr>
                <w:color w:val="000000" w:themeColor="text1"/>
                <w:sz w:val="21"/>
                <w:szCs w:val="21"/>
                <w:highlight w:val="none"/>
              </w:rPr>
            </w:pPr>
          </w:p>
        </w:tc>
      </w:tr>
    </w:tbl>
    <w:p w14:paraId="5029A825">
      <w:pPr>
        <w:pStyle w:val="4"/>
        <w:keepNext w:val="0"/>
        <w:keepLines w:val="0"/>
        <w:pageBreakBefore w:val="0"/>
        <w:widowControl w:val="0"/>
        <w:kinsoku/>
        <w:wordWrap/>
        <w:overflowPunct/>
        <w:topLinePunct w:val="0"/>
        <w:autoSpaceDE/>
        <w:autoSpaceDN/>
        <w:bidi w:val="0"/>
        <w:adjustRightInd w:val="0"/>
        <w:snapToGrid w:val="0"/>
        <w:spacing w:before="219" w:beforeLines="50" w:line="360" w:lineRule="auto"/>
        <w:ind w:firstLine="560" w:firstLineChars="200"/>
        <w:textAlignment w:val="auto"/>
        <w:rPr>
          <w:color w:val="000000" w:themeColor="text1"/>
          <w:sz w:val="28"/>
          <w:highlight w:val="none"/>
        </w:rPr>
      </w:pPr>
      <w:r>
        <w:rPr>
          <w:rFonts w:hint="eastAsia"/>
          <w:color w:val="000000" w:themeColor="text1"/>
          <w:sz w:val="28"/>
          <w:highlight w:val="none"/>
        </w:rPr>
        <w:t>根据上表及华美线业实际情况，我们选定</w:t>
      </w:r>
      <w:r>
        <w:rPr>
          <w:color w:val="000000" w:themeColor="text1"/>
          <w:sz w:val="28"/>
          <w:highlight w:val="none"/>
        </w:rPr>
        <w:t>危险化学品人工倒入作业</w:t>
      </w:r>
      <w:r>
        <w:rPr>
          <w:rFonts w:hint="eastAsia"/>
          <w:color w:val="000000" w:themeColor="text1"/>
          <w:sz w:val="28"/>
          <w:highlight w:val="none"/>
        </w:rPr>
        <w:t>、</w:t>
      </w:r>
      <w:r>
        <w:rPr>
          <w:color w:val="000000" w:themeColor="text1"/>
          <w:sz w:val="28"/>
          <w:highlight w:val="none"/>
        </w:rPr>
        <w:t>危险化学品储存装卸</w:t>
      </w:r>
      <w:r>
        <w:rPr>
          <w:rFonts w:hint="eastAsia"/>
          <w:color w:val="000000" w:themeColor="text1"/>
          <w:sz w:val="28"/>
          <w:highlight w:val="none"/>
        </w:rPr>
        <w:t>作业、机械维修作业和</w:t>
      </w:r>
      <w:r>
        <w:rPr>
          <w:color w:val="000000" w:themeColor="text1"/>
          <w:sz w:val="28"/>
          <w:highlight w:val="none"/>
        </w:rPr>
        <w:t>电气维修作业</w:t>
      </w:r>
      <w:r>
        <w:rPr>
          <w:rFonts w:hint="eastAsia"/>
          <w:color w:val="000000" w:themeColor="text1"/>
          <w:sz w:val="28"/>
          <w:highlight w:val="none"/>
        </w:rPr>
        <w:t>的L取值为1。</w:t>
      </w:r>
    </w:p>
    <w:p w14:paraId="6281FFF2">
      <w:pPr>
        <w:pStyle w:val="4"/>
        <w:keepNext w:val="0"/>
        <w:keepLines w:val="0"/>
        <w:pageBreakBefore w:val="0"/>
        <w:widowControl w:val="0"/>
        <w:kinsoku/>
        <w:wordWrap/>
        <w:topLinePunct w:val="0"/>
        <w:bidi w:val="0"/>
        <w:adjustRightInd w:val="0"/>
        <w:snapToGrid w:val="0"/>
        <w:spacing w:line="360" w:lineRule="auto"/>
        <w:ind w:firstLine="561"/>
        <w:rPr>
          <w:rFonts w:ascii="黑体" w:eastAsia="黑体"/>
          <w:b/>
          <w:color w:val="000000" w:themeColor="text1"/>
          <w:sz w:val="28"/>
          <w:szCs w:val="28"/>
          <w:highlight w:val="none"/>
        </w:rPr>
      </w:pPr>
      <w:r>
        <w:rPr>
          <w:rFonts w:hint="eastAsia"/>
          <w:color w:val="000000" w:themeColor="text1"/>
          <w:sz w:val="28"/>
          <w:highlight w:val="none"/>
        </w:rPr>
        <w:t>（2）人员暴露于危险环境的频繁程度</w:t>
      </w:r>
    </w:p>
    <w:p w14:paraId="1426611D">
      <w:pPr>
        <w:pStyle w:val="2"/>
        <w:widowControl w:val="0"/>
        <w:numPr>
          <w:ilvl w:val="-1"/>
          <w:numId w:val="0"/>
        </w:numPr>
        <w:adjustRightInd w:val="0"/>
        <w:snapToGrid w:val="0"/>
        <w:spacing w:after="0" w:line="360" w:lineRule="auto"/>
        <w:ind w:left="0" w:leftChars="0" w:firstLine="560" w:firstLineChars="200"/>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人员暴露于危险环境的频繁程度取值标准见表5.2-2。</w:t>
      </w:r>
    </w:p>
    <w:p w14:paraId="2CAB82AB">
      <w:pPr>
        <w:keepNext w:val="0"/>
        <w:keepLines w:val="0"/>
        <w:pageBreakBefore w:val="0"/>
        <w:widowControl w:val="0"/>
        <w:kinsoku/>
        <w:wordWrap/>
        <w:topLinePunct w:val="0"/>
        <w:bidi w:val="0"/>
        <w:adjustRightInd w:val="0"/>
        <w:snapToGrid w:val="0"/>
        <w:spacing w:line="360" w:lineRule="auto"/>
        <w:jc w:val="center"/>
        <w:rPr>
          <w:rFonts w:ascii="黑体" w:hAnsi="黑体" w:eastAsia="黑体"/>
          <w:b/>
          <w:bCs/>
          <w:color w:val="000000" w:themeColor="text1"/>
          <w:highlight w:val="none"/>
        </w:rPr>
      </w:pPr>
      <w:r>
        <w:rPr>
          <w:rFonts w:hint="eastAsia" w:ascii="黑体" w:hAnsi="黑体" w:eastAsia="黑体"/>
          <w:b/>
          <w:bCs/>
          <w:color w:val="000000" w:themeColor="text1"/>
          <w:highlight w:val="none"/>
        </w:rPr>
        <w:t>表5</w:t>
      </w:r>
      <w:r>
        <w:rPr>
          <w:rFonts w:hint="eastAsia" w:ascii="黑体" w:hAnsi="黑体" w:eastAsia="黑体"/>
          <w:b/>
          <w:bCs/>
          <w:color w:val="000000" w:themeColor="text1"/>
          <w:highlight w:val="none"/>
          <w:lang w:val="en-US" w:eastAsia="zh-CN"/>
        </w:rPr>
        <w:t>.2</w:t>
      </w:r>
      <w:r>
        <w:rPr>
          <w:rFonts w:hint="eastAsia" w:ascii="黑体" w:hAnsi="黑体" w:eastAsia="黑体"/>
          <w:b/>
          <w:bCs/>
          <w:color w:val="000000" w:themeColor="text1"/>
          <w:highlight w:val="none"/>
        </w:rPr>
        <w:t>-</w:t>
      </w:r>
      <w:r>
        <w:rPr>
          <w:rFonts w:hint="eastAsia" w:ascii="黑体" w:hAnsi="黑体" w:eastAsia="黑体"/>
          <w:b/>
          <w:bCs/>
          <w:color w:val="000000" w:themeColor="text1"/>
          <w:highlight w:val="none"/>
          <w:lang w:val="en-US" w:eastAsia="zh-CN"/>
        </w:rPr>
        <w:t>2</w:t>
      </w:r>
      <w:r>
        <w:rPr>
          <w:rFonts w:hint="eastAsia" w:ascii="黑体" w:hAnsi="黑体" w:eastAsia="黑体"/>
          <w:b/>
          <w:bCs/>
          <w:color w:val="000000" w:themeColor="text1"/>
          <w:highlight w:val="none"/>
        </w:rPr>
        <w:t xml:space="preserve">  人员暴露于危险环境的频繁程度</w:t>
      </w:r>
      <w:r>
        <w:rPr>
          <w:rFonts w:hint="eastAsia" w:ascii="黑体" w:hAnsi="黑体" w:eastAsia="黑体"/>
          <w:b/>
          <w:bCs/>
          <w:color w:val="000000" w:themeColor="text1"/>
          <w:highlight w:val="none"/>
          <w:lang w:eastAsia="zh-CN"/>
        </w:rPr>
        <w:t>（</w:t>
      </w:r>
      <w:r>
        <w:rPr>
          <w:rFonts w:hint="eastAsia" w:ascii="黑体" w:hAnsi="黑体" w:eastAsia="黑体"/>
          <w:b/>
          <w:bCs/>
          <w:color w:val="000000" w:themeColor="text1"/>
          <w:highlight w:val="none"/>
        </w:rPr>
        <w:t>E</w:t>
      </w:r>
      <w:r>
        <w:rPr>
          <w:rFonts w:hint="eastAsia" w:ascii="黑体" w:hAnsi="黑体" w:eastAsia="黑体"/>
          <w:b/>
          <w:bCs/>
          <w:color w:val="000000" w:themeColor="text1"/>
          <w:highlight w:val="none"/>
          <w:lang w:eastAsia="zh-CN"/>
        </w:rPr>
        <w:t>）</w:t>
      </w:r>
    </w:p>
    <w:tbl>
      <w:tblPr>
        <w:tblStyle w:val="787"/>
        <w:tblW w:w="0" w:type="auto"/>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none" w:color="auto" w:sz="0" w:space="0"/>
          <w:insideV w:val="none" w:color="auto" w:sz="0" w:space="0"/>
        </w:tblBorders>
        <w:tblLayout w:type="fixed"/>
        <w:tblCellMar>
          <w:top w:w="0" w:type="dxa"/>
          <w:left w:w="108" w:type="dxa"/>
          <w:bottom w:w="0" w:type="dxa"/>
          <w:right w:w="108" w:type="dxa"/>
        </w:tblCellMar>
      </w:tblPr>
      <w:tblGrid>
        <w:gridCol w:w="1007"/>
        <w:gridCol w:w="3774"/>
        <w:gridCol w:w="1007"/>
        <w:gridCol w:w="3613"/>
      </w:tblGrid>
      <w:tr w14:paraId="4457E39F">
        <w:tblPrEx>
          <w:tblBorders>
            <w:top w:val="single" w:color="000000" w:themeColor="text1" w:sz="8" w:space="0"/>
            <w:left w:val="single" w:color="000000" w:themeColor="text1" w:sz="8" w:space="0"/>
            <w:bottom w:val="single" w:color="000000" w:themeColor="text1" w:sz="8" w:space="0"/>
            <w:right w:val="single" w:color="000000" w:themeColor="text1" w:sz="8"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07" w:type="dxa"/>
            <w:tcBorders>
              <w:top w:val="single" w:color="000000" w:themeColor="text1" w:sz="8" w:space="0"/>
              <w:left w:val="single" w:color="000000" w:themeColor="text1" w:sz="8" w:space="0"/>
              <w:bottom w:val="single" w:color="000000" w:themeColor="text1" w:sz="8" w:space="0"/>
              <w:right w:val="single" w:color="000000" w:themeColor="text1" w:sz="8" w:space="0"/>
              <w:insideH w:val="single" w:sz="8" w:space="0"/>
              <w:insideV w:val="single" w:sz="8" w:space="0"/>
            </w:tcBorders>
            <w:vAlign w:val="center"/>
          </w:tcPr>
          <w:p w14:paraId="19F13AF2">
            <w:pPr>
              <w:keepNext w:val="0"/>
              <w:keepLines w:val="0"/>
              <w:pageBreakBefore w:val="0"/>
              <w:widowControl w:val="0"/>
              <w:kinsoku/>
              <w:wordWrap/>
              <w:topLinePunct w:val="0"/>
              <w:bidi w:val="0"/>
              <w:adjustRightInd w:val="0"/>
              <w:snapToGrid w:val="0"/>
              <w:jc w:val="center"/>
              <w:rPr>
                <w:b/>
                <w:bCs/>
                <w:color w:val="000000" w:themeColor="text1"/>
                <w:sz w:val="21"/>
                <w:szCs w:val="21"/>
                <w:highlight w:val="none"/>
              </w:rPr>
            </w:pPr>
            <w:r>
              <w:rPr>
                <w:rFonts w:hint="eastAsia"/>
                <w:b/>
                <w:bCs/>
                <w:color w:val="000000" w:themeColor="text1"/>
                <w:sz w:val="21"/>
                <w:szCs w:val="21"/>
                <w:highlight w:val="none"/>
              </w:rPr>
              <w:t>分数值</w:t>
            </w:r>
          </w:p>
        </w:tc>
        <w:tc>
          <w:tcPr>
            <w:tcW w:w="3774" w:type="dxa"/>
            <w:tcBorders>
              <w:top w:val="single" w:color="000000" w:themeColor="text1" w:sz="8" w:space="0"/>
              <w:bottom w:val="single" w:color="000000" w:themeColor="text1" w:sz="8" w:space="0"/>
              <w:insideH w:val="single" w:sz="8" w:space="0"/>
            </w:tcBorders>
            <w:vAlign w:val="center"/>
          </w:tcPr>
          <w:p w14:paraId="58CCD2F3">
            <w:pPr>
              <w:keepNext w:val="0"/>
              <w:keepLines w:val="0"/>
              <w:pageBreakBefore w:val="0"/>
              <w:widowControl w:val="0"/>
              <w:kinsoku/>
              <w:wordWrap/>
              <w:topLinePunct w:val="0"/>
              <w:bidi w:val="0"/>
              <w:adjustRightInd w:val="0"/>
              <w:snapToGrid w:val="0"/>
              <w:jc w:val="center"/>
              <w:rPr>
                <w:b/>
                <w:bCs/>
                <w:color w:val="000000" w:themeColor="text1"/>
                <w:sz w:val="21"/>
                <w:szCs w:val="21"/>
                <w:highlight w:val="none"/>
              </w:rPr>
            </w:pPr>
            <w:r>
              <w:rPr>
                <w:rFonts w:hint="eastAsia"/>
                <w:b/>
                <w:bCs/>
                <w:color w:val="000000" w:themeColor="text1"/>
                <w:sz w:val="21"/>
                <w:szCs w:val="21"/>
                <w:highlight w:val="none"/>
              </w:rPr>
              <w:t>人员暴露于危险环境的频繁程度</w:t>
            </w:r>
          </w:p>
        </w:tc>
        <w:tc>
          <w:tcPr>
            <w:tcW w:w="1007" w:type="dxa"/>
            <w:tcBorders>
              <w:top w:val="single" w:color="000000" w:themeColor="text1" w:sz="8" w:space="0"/>
              <w:left w:val="single" w:color="000000" w:themeColor="text1" w:sz="8" w:space="0"/>
              <w:bottom w:val="single" w:color="000000" w:themeColor="text1" w:sz="8" w:space="0"/>
              <w:right w:val="single" w:color="000000" w:themeColor="text1" w:sz="8" w:space="0"/>
              <w:insideH w:val="single" w:sz="8" w:space="0"/>
              <w:insideV w:val="single" w:sz="8" w:space="0"/>
            </w:tcBorders>
            <w:vAlign w:val="center"/>
          </w:tcPr>
          <w:p w14:paraId="44DB97AD">
            <w:pPr>
              <w:keepNext w:val="0"/>
              <w:keepLines w:val="0"/>
              <w:pageBreakBefore w:val="0"/>
              <w:widowControl w:val="0"/>
              <w:kinsoku/>
              <w:wordWrap/>
              <w:topLinePunct w:val="0"/>
              <w:bidi w:val="0"/>
              <w:adjustRightInd w:val="0"/>
              <w:snapToGrid w:val="0"/>
              <w:jc w:val="center"/>
              <w:rPr>
                <w:b/>
                <w:bCs/>
                <w:color w:val="000000" w:themeColor="text1"/>
                <w:sz w:val="21"/>
                <w:szCs w:val="21"/>
                <w:highlight w:val="none"/>
              </w:rPr>
            </w:pPr>
            <w:r>
              <w:rPr>
                <w:rFonts w:hint="eastAsia"/>
                <w:b/>
                <w:bCs/>
                <w:color w:val="000000" w:themeColor="text1"/>
                <w:sz w:val="21"/>
                <w:szCs w:val="21"/>
                <w:highlight w:val="none"/>
              </w:rPr>
              <w:t>分数值</w:t>
            </w:r>
          </w:p>
        </w:tc>
        <w:tc>
          <w:tcPr>
            <w:tcW w:w="3613" w:type="dxa"/>
            <w:tcBorders>
              <w:top w:val="single" w:color="000000" w:themeColor="text1" w:sz="8" w:space="0"/>
              <w:bottom w:val="single" w:color="000000" w:themeColor="text1" w:sz="8" w:space="0"/>
              <w:right w:val="single" w:color="000000" w:themeColor="text1" w:sz="8" w:space="0"/>
              <w:insideH w:val="single" w:sz="8" w:space="0"/>
            </w:tcBorders>
            <w:vAlign w:val="center"/>
          </w:tcPr>
          <w:p w14:paraId="3B875ABD">
            <w:pPr>
              <w:keepNext w:val="0"/>
              <w:keepLines w:val="0"/>
              <w:pageBreakBefore w:val="0"/>
              <w:widowControl w:val="0"/>
              <w:kinsoku/>
              <w:wordWrap/>
              <w:topLinePunct w:val="0"/>
              <w:bidi w:val="0"/>
              <w:adjustRightInd w:val="0"/>
              <w:snapToGrid w:val="0"/>
              <w:jc w:val="center"/>
              <w:rPr>
                <w:b/>
                <w:bCs/>
                <w:color w:val="000000" w:themeColor="text1"/>
                <w:sz w:val="21"/>
                <w:szCs w:val="21"/>
                <w:highlight w:val="none"/>
              </w:rPr>
            </w:pPr>
            <w:r>
              <w:rPr>
                <w:rFonts w:hint="eastAsia"/>
                <w:b/>
                <w:bCs/>
                <w:color w:val="000000" w:themeColor="text1"/>
                <w:sz w:val="21"/>
                <w:szCs w:val="21"/>
                <w:highlight w:val="none"/>
              </w:rPr>
              <w:t>人员暴露于危险环境的频繁程度</w:t>
            </w:r>
          </w:p>
        </w:tc>
      </w:tr>
      <w:tr w14:paraId="3600988E">
        <w:tblPrEx>
          <w:tblBorders>
            <w:top w:val="single" w:color="000000" w:themeColor="text1" w:sz="8" w:space="0"/>
            <w:left w:val="single" w:color="000000" w:themeColor="text1" w:sz="8" w:space="0"/>
            <w:bottom w:val="single" w:color="000000" w:themeColor="text1" w:sz="8" w:space="0"/>
            <w:right w:val="single" w:color="000000" w:themeColor="text1" w:sz="8"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07" w:type="dxa"/>
            <w:tcBorders>
              <w:left w:val="single" w:color="000000" w:themeColor="text1" w:sz="8" w:space="0"/>
              <w:right w:val="single" w:color="000000" w:themeColor="text1" w:sz="8" w:space="0"/>
              <w:insideV w:val="single" w:sz="8" w:space="0"/>
            </w:tcBorders>
            <w:vAlign w:val="center"/>
          </w:tcPr>
          <w:p w14:paraId="2BBF6A81">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10</w:t>
            </w:r>
          </w:p>
        </w:tc>
        <w:tc>
          <w:tcPr>
            <w:tcW w:w="3774" w:type="dxa"/>
            <w:vAlign w:val="center"/>
          </w:tcPr>
          <w:p w14:paraId="491DC554">
            <w:pPr>
              <w:pStyle w:val="81"/>
              <w:keepNext w:val="0"/>
              <w:keepLines w:val="0"/>
              <w:pageBreakBefore w:val="0"/>
              <w:widowControl w:val="0"/>
              <w:tabs>
                <w:tab w:val="clear" w:pos="277"/>
                <w:tab w:val="clear" w:pos="600"/>
                <w:tab w:val="clear" w:pos="780"/>
                <w:tab w:val="clear" w:pos="2517"/>
              </w:tabs>
              <w:kinsoku/>
              <w:wordWrap/>
              <w:topLinePunct w:val="0"/>
              <w:bidi w:val="0"/>
              <w:adjustRightInd w:val="0"/>
              <w:snapToGrid w:val="0"/>
              <w:spacing w:before="0"/>
              <w:textAlignment w:val="auto"/>
              <w:rPr>
                <w:color w:val="000000" w:themeColor="text1"/>
                <w:sz w:val="21"/>
                <w:szCs w:val="21"/>
                <w:highlight w:val="none"/>
              </w:rPr>
            </w:pPr>
            <w:r>
              <w:rPr>
                <w:rFonts w:hint="eastAsia"/>
                <w:color w:val="000000" w:themeColor="text1"/>
                <w:sz w:val="21"/>
                <w:szCs w:val="21"/>
                <w:highlight w:val="none"/>
              </w:rPr>
              <w:t>连续暴露</w:t>
            </w:r>
          </w:p>
        </w:tc>
        <w:tc>
          <w:tcPr>
            <w:tcW w:w="1007" w:type="dxa"/>
            <w:tcBorders>
              <w:left w:val="single" w:color="000000" w:themeColor="text1" w:sz="8" w:space="0"/>
              <w:right w:val="single" w:color="000000" w:themeColor="text1" w:sz="8" w:space="0"/>
              <w:insideV w:val="single" w:sz="8" w:space="0"/>
            </w:tcBorders>
            <w:vAlign w:val="center"/>
          </w:tcPr>
          <w:p w14:paraId="74953E9E">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2</w:t>
            </w:r>
          </w:p>
        </w:tc>
        <w:tc>
          <w:tcPr>
            <w:tcW w:w="3613" w:type="dxa"/>
            <w:vAlign w:val="center"/>
          </w:tcPr>
          <w:p w14:paraId="730E04E7">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每月一次暴露</w:t>
            </w:r>
          </w:p>
        </w:tc>
      </w:tr>
      <w:tr w14:paraId="3EC325FA">
        <w:tblPrEx>
          <w:tblBorders>
            <w:top w:val="single" w:color="000000" w:themeColor="text1" w:sz="8" w:space="0"/>
            <w:left w:val="single" w:color="000000" w:themeColor="text1" w:sz="8" w:space="0"/>
            <w:bottom w:val="single" w:color="000000" w:themeColor="text1" w:sz="8" w:space="0"/>
            <w:right w:val="single" w:color="000000" w:themeColor="text1" w:sz="8"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07" w:type="dxa"/>
            <w:tcBorders>
              <w:top w:val="single" w:color="000000" w:themeColor="text1" w:sz="8" w:space="0"/>
              <w:left w:val="single" w:color="000000" w:themeColor="text1" w:sz="8" w:space="0"/>
              <w:bottom w:val="single" w:color="000000" w:themeColor="text1" w:sz="8" w:space="0"/>
              <w:right w:val="single" w:color="000000" w:themeColor="text1" w:sz="8" w:space="0"/>
              <w:insideH w:val="single" w:sz="8" w:space="0"/>
              <w:insideV w:val="single" w:sz="8" w:space="0"/>
            </w:tcBorders>
            <w:vAlign w:val="center"/>
          </w:tcPr>
          <w:p w14:paraId="5A55443F">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6</w:t>
            </w:r>
          </w:p>
        </w:tc>
        <w:tc>
          <w:tcPr>
            <w:tcW w:w="3774" w:type="dxa"/>
            <w:tcBorders>
              <w:top w:val="single" w:color="000000" w:themeColor="text1" w:sz="8" w:space="0"/>
              <w:bottom w:val="single" w:color="000000" w:themeColor="text1" w:sz="8" w:space="0"/>
              <w:insideH w:val="single" w:sz="8" w:space="0"/>
            </w:tcBorders>
            <w:vAlign w:val="center"/>
          </w:tcPr>
          <w:p w14:paraId="32275DC8">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每天工作时间内暴露</w:t>
            </w:r>
          </w:p>
        </w:tc>
        <w:tc>
          <w:tcPr>
            <w:tcW w:w="1007" w:type="dxa"/>
            <w:tcBorders>
              <w:top w:val="single" w:color="000000" w:themeColor="text1" w:sz="8" w:space="0"/>
              <w:left w:val="single" w:color="000000" w:themeColor="text1" w:sz="8" w:space="0"/>
              <w:bottom w:val="single" w:color="000000" w:themeColor="text1" w:sz="8" w:space="0"/>
              <w:right w:val="single" w:color="000000" w:themeColor="text1" w:sz="8" w:space="0"/>
              <w:insideH w:val="single" w:sz="8" w:space="0"/>
              <w:insideV w:val="single" w:sz="8" w:space="0"/>
            </w:tcBorders>
            <w:vAlign w:val="center"/>
          </w:tcPr>
          <w:p w14:paraId="45D93BC8">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1</w:t>
            </w:r>
          </w:p>
        </w:tc>
        <w:tc>
          <w:tcPr>
            <w:tcW w:w="3613" w:type="dxa"/>
            <w:tcBorders>
              <w:top w:val="single" w:color="000000" w:themeColor="text1" w:sz="8" w:space="0"/>
              <w:bottom w:val="single" w:color="000000" w:themeColor="text1" w:sz="8" w:space="0"/>
              <w:right w:val="single" w:color="000000" w:themeColor="text1" w:sz="8" w:space="0"/>
              <w:insideH w:val="single" w:sz="8" w:space="0"/>
            </w:tcBorders>
            <w:vAlign w:val="center"/>
          </w:tcPr>
          <w:p w14:paraId="4F164FCE">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每年几次暴露</w:t>
            </w:r>
          </w:p>
        </w:tc>
      </w:tr>
      <w:tr w14:paraId="7156BEC6">
        <w:tblPrEx>
          <w:tblBorders>
            <w:top w:val="single" w:color="000000" w:themeColor="text1" w:sz="8" w:space="0"/>
            <w:left w:val="single" w:color="000000" w:themeColor="text1" w:sz="8" w:space="0"/>
            <w:bottom w:val="single" w:color="000000" w:themeColor="text1" w:sz="8" w:space="0"/>
            <w:right w:val="single" w:color="000000" w:themeColor="text1" w:sz="8"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07" w:type="dxa"/>
            <w:tcBorders>
              <w:left w:val="single" w:color="000000" w:themeColor="text1" w:sz="8" w:space="0"/>
              <w:bottom w:val="single" w:color="000000" w:themeColor="text1" w:sz="8" w:space="0"/>
              <w:right w:val="single" w:color="000000" w:themeColor="text1" w:sz="8" w:space="0"/>
              <w:insideV w:val="single" w:sz="8" w:space="0"/>
            </w:tcBorders>
            <w:vAlign w:val="center"/>
          </w:tcPr>
          <w:p w14:paraId="7FD57FAD">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3</w:t>
            </w:r>
          </w:p>
        </w:tc>
        <w:tc>
          <w:tcPr>
            <w:tcW w:w="3774" w:type="dxa"/>
            <w:vAlign w:val="center"/>
          </w:tcPr>
          <w:p w14:paraId="0E2EC645">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每周一次，或偶然暴露</w:t>
            </w:r>
          </w:p>
        </w:tc>
        <w:tc>
          <w:tcPr>
            <w:tcW w:w="1007" w:type="dxa"/>
            <w:tcBorders>
              <w:left w:val="single" w:color="000000" w:themeColor="text1" w:sz="8" w:space="0"/>
              <w:bottom w:val="single" w:color="000000" w:themeColor="text1" w:sz="8" w:space="0"/>
              <w:right w:val="single" w:color="000000" w:themeColor="text1" w:sz="8" w:space="0"/>
              <w:insideV w:val="single" w:sz="8" w:space="0"/>
            </w:tcBorders>
            <w:vAlign w:val="center"/>
          </w:tcPr>
          <w:p w14:paraId="6AC81C21">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0.5</w:t>
            </w:r>
          </w:p>
        </w:tc>
        <w:tc>
          <w:tcPr>
            <w:tcW w:w="3613" w:type="dxa"/>
            <w:vAlign w:val="center"/>
          </w:tcPr>
          <w:p w14:paraId="73636E21">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非常罕见的暴露</w:t>
            </w:r>
          </w:p>
        </w:tc>
      </w:tr>
    </w:tbl>
    <w:p w14:paraId="6188059C">
      <w:pPr>
        <w:pStyle w:val="4"/>
        <w:keepNext w:val="0"/>
        <w:keepLines w:val="0"/>
        <w:pageBreakBefore w:val="0"/>
        <w:widowControl w:val="0"/>
        <w:kinsoku/>
        <w:wordWrap/>
        <w:topLinePunct w:val="0"/>
        <w:bidi w:val="0"/>
        <w:adjustRightInd w:val="0"/>
        <w:snapToGrid w:val="0"/>
        <w:spacing w:beforeLines="100" w:line="360" w:lineRule="auto"/>
        <w:ind w:firstLine="560" w:firstLineChars="200"/>
        <w:rPr>
          <w:rFonts w:hint="eastAsia"/>
          <w:color w:val="000000" w:themeColor="text1"/>
          <w:sz w:val="28"/>
          <w:highlight w:val="none"/>
        </w:rPr>
      </w:pPr>
      <w:r>
        <w:rPr>
          <w:rFonts w:hint="eastAsia"/>
          <w:color w:val="000000" w:themeColor="text1"/>
          <w:sz w:val="28"/>
          <w:highlight w:val="none"/>
        </w:rPr>
        <w:t>人员暴露于危险环境中的时间越多，受到伤害的可能性越大，相应的危险性也越大。</w:t>
      </w:r>
    </w:p>
    <w:p w14:paraId="03C449A6">
      <w:pPr>
        <w:pStyle w:val="4"/>
        <w:keepNext w:val="0"/>
        <w:keepLines w:val="0"/>
        <w:pageBreakBefore w:val="0"/>
        <w:widowControl w:val="0"/>
        <w:kinsoku/>
        <w:wordWrap/>
        <w:topLinePunct w:val="0"/>
        <w:bidi w:val="0"/>
        <w:adjustRightInd w:val="0"/>
        <w:snapToGrid w:val="0"/>
        <w:spacing w:beforeLines="100" w:line="360" w:lineRule="auto"/>
        <w:ind w:firstLine="560" w:firstLineChars="200"/>
        <w:rPr>
          <w:color w:val="000000" w:themeColor="text1"/>
          <w:sz w:val="28"/>
          <w:highlight w:val="none"/>
        </w:rPr>
      </w:pPr>
      <w:r>
        <w:rPr>
          <w:rFonts w:hint="eastAsia"/>
          <w:color w:val="000000" w:themeColor="text1"/>
          <w:sz w:val="28"/>
          <w:highlight w:val="none"/>
        </w:rPr>
        <w:t>根据上表及华美线业生产过程的实际情况，我们选择</w:t>
      </w:r>
      <w:r>
        <w:rPr>
          <w:color w:val="000000" w:themeColor="text1"/>
          <w:sz w:val="28"/>
          <w:highlight w:val="none"/>
        </w:rPr>
        <w:t>危险化学品人工倒入作业</w:t>
      </w:r>
      <w:r>
        <w:rPr>
          <w:rFonts w:hint="eastAsia"/>
          <w:color w:val="000000" w:themeColor="text1"/>
          <w:sz w:val="28"/>
          <w:highlight w:val="none"/>
        </w:rPr>
        <w:t>、</w:t>
      </w:r>
      <w:r>
        <w:rPr>
          <w:color w:val="000000" w:themeColor="text1"/>
          <w:sz w:val="28"/>
          <w:highlight w:val="none"/>
        </w:rPr>
        <w:t>危险化学品储存装卸</w:t>
      </w:r>
      <w:r>
        <w:rPr>
          <w:rFonts w:hint="eastAsia"/>
          <w:color w:val="000000" w:themeColor="text1"/>
          <w:sz w:val="28"/>
          <w:highlight w:val="none"/>
        </w:rPr>
        <w:t>作业的E的取值6。机械维修作业、电气维修作业的E的取值3。</w:t>
      </w:r>
    </w:p>
    <w:p w14:paraId="570F0620">
      <w:pPr>
        <w:pStyle w:val="4"/>
        <w:keepNext w:val="0"/>
        <w:keepLines w:val="0"/>
        <w:pageBreakBefore w:val="0"/>
        <w:widowControl w:val="0"/>
        <w:kinsoku/>
        <w:wordWrap/>
        <w:topLinePunct w:val="0"/>
        <w:bidi w:val="0"/>
        <w:adjustRightInd w:val="0"/>
        <w:snapToGrid w:val="0"/>
        <w:spacing w:line="360" w:lineRule="auto"/>
        <w:ind w:firstLine="561"/>
        <w:rPr>
          <w:color w:val="000000" w:themeColor="text1"/>
          <w:sz w:val="28"/>
          <w:highlight w:val="none"/>
        </w:rPr>
      </w:pPr>
      <w:r>
        <w:rPr>
          <w:rFonts w:hint="eastAsia"/>
          <w:color w:val="000000" w:themeColor="text1"/>
          <w:sz w:val="28"/>
          <w:highlight w:val="none"/>
        </w:rPr>
        <w:t>（3）发生事故可能造成的后果</w:t>
      </w:r>
    </w:p>
    <w:p w14:paraId="7405A1BD">
      <w:pPr>
        <w:pStyle w:val="744"/>
        <w:widowControl w:val="0"/>
        <w:numPr>
          <w:ilvl w:val="255"/>
          <w:numId w:val="0"/>
        </w:numPr>
        <w:adjustRightInd w:val="0"/>
        <w:snapToGrid w:val="0"/>
        <w:spacing w:line="360" w:lineRule="auto"/>
        <w:ind w:left="0" w:firstLine="560" w:firstLineChars="200"/>
        <w:rPr>
          <w:rFonts w:hint="eastAsia" w:ascii="宋体" w:hAnsi="宋体" w:eastAsia="宋体" w:cs="宋体"/>
          <w:color w:val="000000" w:themeColor="text1"/>
          <w:sz w:val="28"/>
          <w:szCs w:val="28"/>
          <w:highlight w:val="none"/>
        </w:rPr>
      </w:pPr>
      <w:r>
        <w:rPr>
          <w:rFonts w:hint="eastAsia" w:ascii="宋体" w:hAnsi="宋体" w:eastAsia="宋体" w:cs="宋体"/>
          <w:color w:val="000000" w:themeColor="text1"/>
          <w:sz w:val="28"/>
          <w:szCs w:val="28"/>
          <w:highlight w:val="none"/>
        </w:rPr>
        <w:t>发生事故可能造成的后果的取值标准见表5.2-3。</w:t>
      </w:r>
    </w:p>
    <w:p w14:paraId="39ED06A3">
      <w:pPr>
        <w:keepNext w:val="0"/>
        <w:keepLines w:val="0"/>
        <w:pageBreakBefore w:val="0"/>
        <w:widowControl w:val="0"/>
        <w:kinsoku/>
        <w:wordWrap/>
        <w:topLinePunct w:val="0"/>
        <w:bidi w:val="0"/>
        <w:adjustRightInd w:val="0"/>
        <w:snapToGrid w:val="0"/>
        <w:spacing w:line="360" w:lineRule="auto"/>
        <w:jc w:val="center"/>
        <w:rPr>
          <w:rFonts w:ascii="黑体" w:hAnsi="黑体" w:eastAsia="黑体"/>
          <w:b/>
          <w:bCs/>
          <w:color w:val="000000" w:themeColor="text1"/>
          <w:highlight w:val="none"/>
        </w:rPr>
      </w:pPr>
      <w:r>
        <w:rPr>
          <w:rFonts w:hint="eastAsia" w:ascii="黑体" w:hAnsi="黑体" w:eastAsia="黑体"/>
          <w:b/>
          <w:bCs/>
          <w:color w:val="000000" w:themeColor="text1"/>
          <w:highlight w:val="none"/>
        </w:rPr>
        <w:t>表5</w:t>
      </w:r>
      <w:r>
        <w:rPr>
          <w:rFonts w:hint="eastAsia" w:ascii="黑体" w:hAnsi="黑体" w:eastAsia="黑体"/>
          <w:b/>
          <w:bCs/>
          <w:color w:val="000000" w:themeColor="text1"/>
          <w:highlight w:val="none"/>
          <w:lang w:val="en-US" w:eastAsia="zh-CN"/>
        </w:rPr>
        <w:t>.2</w:t>
      </w:r>
      <w:r>
        <w:rPr>
          <w:rFonts w:hint="eastAsia" w:ascii="黑体" w:hAnsi="黑体" w:eastAsia="黑体"/>
          <w:b/>
          <w:bCs/>
          <w:color w:val="000000" w:themeColor="text1"/>
          <w:highlight w:val="none"/>
        </w:rPr>
        <w:t>-</w:t>
      </w:r>
      <w:r>
        <w:rPr>
          <w:rFonts w:hint="eastAsia" w:ascii="黑体" w:hAnsi="黑体" w:eastAsia="黑体"/>
          <w:b/>
          <w:bCs/>
          <w:color w:val="000000" w:themeColor="text1"/>
          <w:highlight w:val="none"/>
          <w:lang w:val="en-US" w:eastAsia="zh-CN"/>
        </w:rPr>
        <w:t>3</w:t>
      </w:r>
      <w:r>
        <w:rPr>
          <w:rFonts w:hint="eastAsia" w:ascii="黑体" w:hAnsi="黑体" w:eastAsia="黑体"/>
          <w:b/>
          <w:bCs/>
          <w:color w:val="000000" w:themeColor="text1"/>
          <w:highlight w:val="none"/>
        </w:rPr>
        <w:t xml:space="preserve"> 发生事故可能造成的后果</w:t>
      </w:r>
      <w:r>
        <w:rPr>
          <w:rFonts w:hint="eastAsia" w:ascii="黑体" w:hAnsi="黑体" w:eastAsia="黑体"/>
          <w:b/>
          <w:bCs/>
          <w:color w:val="000000" w:themeColor="text1"/>
          <w:highlight w:val="none"/>
          <w:lang w:eastAsia="zh-CN"/>
        </w:rPr>
        <w:t>（</w:t>
      </w:r>
      <w:r>
        <w:rPr>
          <w:rFonts w:hint="eastAsia" w:ascii="黑体" w:hAnsi="黑体" w:eastAsia="黑体"/>
          <w:b/>
          <w:bCs/>
          <w:color w:val="000000" w:themeColor="text1"/>
          <w:highlight w:val="none"/>
        </w:rPr>
        <w:t>C</w:t>
      </w:r>
      <w:r>
        <w:rPr>
          <w:rFonts w:hint="eastAsia" w:ascii="黑体" w:hAnsi="黑体" w:eastAsia="黑体"/>
          <w:b/>
          <w:bCs/>
          <w:color w:val="000000" w:themeColor="text1"/>
          <w:highlight w:val="none"/>
          <w:lang w:eastAsia="zh-CN"/>
        </w:rPr>
        <w:t>）</w:t>
      </w:r>
    </w:p>
    <w:tbl>
      <w:tblPr>
        <w:tblStyle w:val="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4400"/>
        <w:gridCol w:w="733"/>
        <w:gridCol w:w="3464"/>
      </w:tblGrid>
      <w:tr w14:paraId="6856B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4" w:type="dxa"/>
            <w:vAlign w:val="center"/>
          </w:tcPr>
          <w:p w14:paraId="2BD581D6">
            <w:pPr>
              <w:keepNext w:val="0"/>
              <w:keepLines w:val="0"/>
              <w:pageBreakBefore w:val="0"/>
              <w:widowControl w:val="0"/>
              <w:kinsoku/>
              <w:wordWrap/>
              <w:topLinePunct w:val="0"/>
              <w:bidi w:val="0"/>
              <w:adjustRightInd w:val="0"/>
              <w:snapToGrid w:val="0"/>
              <w:jc w:val="center"/>
              <w:rPr>
                <w:b/>
                <w:bCs/>
                <w:color w:val="000000" w:themeColor="text1"/>
                <w:sz w:val="21"/>
                <w:szCs w:val="21"/>
                <w:highlight w:val="none"/>
              </w:rPr>
            </w:pPr>
            <w:r>
              <w:rPr>
                <w:rFonts w:hint="eastAsia"/>
                <w:b/>
                <w:bCs/>
                <w:color w:val="000000" w:themeColor="text1"/>
                <w:sz w:val="21"/>
                <w:szCs w:val="21"/>
                <w:highlight w:val="none"/>
              </w:rPr>
              <w:t>数值</w:t>
            </w:r>
          </w:p>
        </w:tc>
        <w:tc>
          <w:tcPr>
            <w:tcW w:w="4400" w:type="dxa"/>
            <w:vAlign w:val="center"/>
          </w:tcPr>
          <w:p w14:paraId="59125EC5">
            <w:pPr>
              <w:keepNext w:val="0"/>
              <w:keepLines w:val="0"/>
              <w:pageBreakBefore w:val="0"/>
              <w:widowControl w:val="0"/>
              <w:kinsoku/>
              <w:wordWrap/>
              <w:topLinePunct w:val="0"/>
              <w:bidi w:val="0"/>
              <w:adjustRightInd w:val="0"/>
              <w:snapToGrid w:val="0"/>
              <w:jc w:val="center"/>
              <w:rPr>
                <w:b/>
                <w:bCs/>
                <w:color w:val="000000" w:themeColor="text1"/>
                <w:sz w:val="21"/>
                <w:szCs w:val="21"/>
                <w:highlight w:val="none"/>
              </w:rPr>
            </w:pPr>
            <w:r>
              <w:rPr>
                <w:rFonts w:hint="eastAsia"/>
                <w:b/>
                <w:bCs/>
                <w:color w:val="000000" w:themeColor="text1"/>
                <w:sz w:val="21"/>
                <w:szCs w:val="21"/>
                <w:highlight w:val="none"/>
              </w:rPr>
              <w:t>发生事故可能造成的后果</w:t>
            </w:r>
          </w:p>
        </w:tc>
        <w:tc>
          <w:tcPr>
            <w:tcW w:w="733" w:type="dxa"/>
            <w:vAlign w:val="center"/>
          </w:tcPr>
          <w:p w14:paraId="109AA8FD">
            <w:pPr>
              <w:keepNext w:val="0"/>
              <w:keepLines w:val="0"/>
              <w:pageBreakBefore w:val="0"/>
              <w:widowControl w:val="0"/>
              <w:kinsoku/>
              <w:wordWrap/>
              <w:topLinePunct w:val="0"/>
              <w:bidi w:val="0"/>
              <w:adjustRightInd w:val="0"/>
              <w:snapToGrid w:val="0"/>
              <w:jc w:val="center"/>
              <w:rPr>
                <w:b/>
                <w:bCs/>
                <w:color w:val="000000" w:themeColor="text1"/>
                <w:sz w:val="21"/>
                <w:szCs w:val="21"/>
                <w:highlight w:val="none"/>
              </w:rPr>
            </w:pPr>
            <w:r>
              <w:rPr>
                <w:rFonts w:hint="eastAsia"/>
                <w:b/>
                <w:bCs/>
                <w:color w:val="000000" w:themeColor="text1"/>
                <w:sz w:val="21"/>
                <w:szCs w:val="21"/>
                <w:highlight w:val="none"/>
              </w:rPr>
              <w:t>数值</w:t>
            </w:r>
          </w:p>
        </w:tc>
        <w:tc>
          <w:tcPr>
            <w:tcW w:w="3464" w:type="dxa"/>
            <w:vAlign w:val="center"/>
          </w:tcPr>
          <w:p w14:paraId="795E9834">
            <w:pPr>
              <w:keepNext w:val="0"/>
              <w:keepLines w:val="0"/>
              <w:pageBreakBefore w:val="0"/>
              <w:widowControl w:val="0"/>
              <w:kinsoku/>
              <w:wordWrap/>
              <w:topLinePunct w:val="0"/>
              <w:bidi w:val="0"/>
              <w:adjustRightInd w:val="0"/>
              <w:snapToGrid w:val="0"/>
              <w:jc w:val="center"/>
              <w:rPr>
                <w:b/>
                <w:bCs/>
                <w:color w:val="000000" w:themeColor="text1"/>
                <w:sz w:val="21"/>
                <w:szCs w:val="21"/>
                <w:highlight w:val="none"/>
              </w:rPr>
            </w:pPr>
            <w:r>
              <w:rPr>
                <w:rFonts w:hint="eastAsia"/>
                <w:b/>
                <w:bCs/>
                <w:color w:val="000000" w:themeColor="text1"/>
                <w:sz w:val="21"/>
                <w:szCs w:val="21"/>
                <w:highlight w:val="none"/>
              </w:rPr>
              <w:t>发生事故可能造成的后果</w:t>
            </w:r>
          </w:p>
        </w:tc>
      </w:tr>
      <w:tr w14:paraId="560F7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4" w:type="dxa"/>
            <w:vAlign w:val="center"/>
          </w:tcPr>
          <w:p w14:paraId="63412C99">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100</w:t>
            </w:r>
          </w:p>
        </w:tc>
        <w:tc>
          <w:tcPr>
            <w:tcW w:w="4400" w:type="dxa"/>
            <w:vAlign w:val="center"/>
          </w:tcPr>
          <w:p w14:paraId="71A76DA0">
            <w:pPr>
              <w:pStyle w:val="81"/>
              <w:keepNext w:val="0"/>
              <w:keepLines w:val="0"/>
              <w:pageBreakBefore w:val="0"/>
              <w:widowControl w:val="0"/>
              <w:tabs>
                <w:tab w:val="clear" w:pos="277"/>
                <w:tab w:val="clear" w:pos="600"/>
                <w:tab w:val="clear" w:pos="780"/>
                <w:tab w:val="clear" w:pos="2517"/>
              </w:tabs>
              <w:kinsoku/>
              <w:wordWrap/>
              <w:topLinePunct w:val="0"/>
              <w:bidi w:val="0"/>
              <w:adjustRightInd w:val="0"/>
              <w:snapToGrid w:val="0"/>
              <w:spacing w:before="0"/>
              <w:textAlignment w:val="auto"/>
              <w:rPr>
                <w:color w:val="000000" w:themeColor="text1"/>
                <w:sz w:val="21"/>
                <w:szCs w:val="21"/>
                <w:highlight w:val="none"/>
              </w:rPr>
            </w:pPr>
            <w:r>
              <w:rPr>
                <w:rFonts w:hint="eastAsia"/>
                <w:color w:val="000000" w:themeColor="text1"/>
                <w:sz w:val="21"/>
                <w:szCs w:val="21"/>
                <w:highlight w:val="none"/>
              </w:rPr>
              <w:t>大灾难，许多人死亡，或造成重大财产损失</w:t>
            </w:r>
          </w:p>
        </w:tc>
        <w:tc>
          <w:tcPr>
            <w:tcW w:w="733" w:type="dxa"/>
            <w:vAlign w:val="center"/>
          </w:tcPr>
          <w:p w14:paraId="520F6492">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7</w:t>
            </w:r>
          </w:p>
        </w:tc>
        <w:tc>
          <w:tcPr>
            <w:tcW w:w="3464" w:type="dxa"/>
            <w:vAlign w:val="center"/>
          </w:tcPr>
          <w:p w14:paraId="52901378">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严重，重伤，或较小的财产损失</w:t>
            </w:r>
          </w:p>
        </w:tc>
      </w:tr>
      <w:tr w14:paraId="4D643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4" w:type="dxa"/>
            <w:vAlign w:val="center"/>
          </w:tcPr>
          <w:p w14:paraId="65017267">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40</w:t>
            </w:r>
          </w:p>
        </w:tc>
        <w:tc>
          <w:tcPr>
            <w:tcW w:w="4400" w:type="dxa"/>
            <w:vAlign w:val="center"/>
          </w:tcPr>
          <w:p w14:paraId="74255B75">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灾难，数人死亡，或造成很大财产损失</w:t>
            </w:r>
          </w:p>
        </w:tc>
        <w:tc>
          <w:tcPr>
            <w:tcW w:w="733" w:type="dxa"/>
            <w:vAlign w:val="center"/>
          </w:tcPr>
          <w:p w14:paraId="00E70748">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3</w:t>
            </w:r>
          </w:p>
        </w:tc>
        <w:tc>
          <w:tcPr>
            <w:tcW w:w="3464" w:type="dxa"/>
            <w:vAlign w:val="center"/>
          </w:tcPr>
          <w:p w14:paraId="03EA52FA">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重大、致残或很小的财产损失</w:t>
            </w:r>
          </w:p>
        </w:tc>
      </w:tr>
      <w:tr w14:paraId="3177B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4" w:type="dxa"/>
            <w:vAlign w:val="center"/>
          </w:tcPr>
          <w:p w14:paraId="719F818A">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15</w:t>
            </w:r>
          </w:p>
        </w:tc>
        <w:tc>
          <w:tcPr>
            <w:tcW w:w="4400" w:type="dxa"/>
            <w:vAlign w:val="center"/>
          </w:tcPr>
          <w:p w14:paraId="1F3B1854">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非常严重，一人死亡或造成一定的财产损失</w:t>
            </w:r>
          </w:p>
        </w:tc>
        <w:tc>
          <w:tcPr>
            <w:tcW w:w="733" w:type="dxa"/>
            <w:vAlign w:val="center"/>
          </w:tcPr>
          <w:p w14:paraId="3443BAC4">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1</w:t>
            </w:r>
          </w:p>
        </w:tc>
        <w:tc>
          <w:tcPr>
            <w:tcW w:w="3464" w:type="dxa"/>
            <w:vAlign w:val="center"/>
          </w:tcPr>
          <w:p w14:paraId="2702FC69">
            <w:pPr>
              <w:keepNext w:val="0"/>
              <w:keepLines w:val="0"/>
              <w:pageBreakBefore w:val="0"/>
              <w:widowControl w:val="0"/>
              <w:kinsoku/>
              <w:wordWrap/>
              <w:topLinePunct w:val="0"/>
              <w:bidi w:val="0"/>
              <w:adjustRightInd w:val="0"/>
              <w:snapToGrid w:val="0"/>
              <w:jc w:val="center"/>
              <w:rPr>
                <w:color w:val="000000" w:themeColor="text1"/>
                <w:sz w:val="21"/>
                <w:szCs w:val="21"/>
                <w:highlight w:val="none"/>
              </w:rPr>
            </w:pPr>
            <w:r>
              <w:rPr>
                <w:rFonts w:hint="eastAsia"/>
                <w:color w:val="000000" w:themeColor="text1"/>
                <w:sz w:val="21"/>
                <w:szCs w:val="21"/>
                <w:highlight w:val="none"/>
              </w:rPr>
              <w:t>引人注目，不利于基本的安全要求</w:t>
            </w:r>
          </w:p>
        </w:tc>
      </w:tr>
    </w:tbl>
    <w:p w14:paraId="09BA4C8A">
      <w:pPr>
        <w:pStyle w:val="4"/>
        <w:keepNext w:val="0"/>
        <w:keepLines w:val="0"/>
        <w:pageBreakBefore w:val="0"/>
        <w:widowControl w:val="0"/>
        <w:kinsoku/>
        <w:wordWrap/>
        <w:overflowPunct/>
        <w:topLinePunct w:val="0"/>
        <w:autoSpaceDE/>
        <w:autoSpaceDN/>
        <w:bidi w:val="0"/>
        <w:adjustRightInd w:val="0"/>
        <w:snapToGrid w:val="0"/>
        <w:spacing w:before="219" w:beforeLines="50" w:line="360" w:lineRule="auto"/>
        <w:ind w:firstLine="560" w:firstLineChars="200"/>
        <w:textAlignment w:val="auto"/>
        <w:rPr>
          <w:rFonts w:hint="eastAsia"/>
          <w:color w:val="000000" w:themeColor="text1"/>
          <w:sz w:val="28"/>
          <w:highlight w:val="none"/>
          <w:lang w:val="en-US" w:eastAsia="zh-CN"/>
        </w:rPr>
      </w:pPr>
      <w:r>
        <w:rPr>
          <w:rFonts w:hint="eastAsia"/>
          <w:color w:val="000000" w:themeColor="text1"/>
          <w:sz w:val="28"/>
          <w:highlight w:val="none"/>
        </w:rPr>
        <w:t>事故造成的人员伤害和财产损失的范围变化很大，所以规定分数值为1～100。把需要治疗的轻微伤害或较小财产损失的分数规定为1，把造成许多人死亡或重大财产损失的分数规定为100，其他情况的数值在1～100之间</w:t>
      </w:r>
      <w:r>
        <w:rPr>
          <w:rFonts w:hint="eastAsia"/>
          <w:color w:val="000000" w:themeColor="text1"/>
          <w:sz w:val="28"/>
          <w:highlight w:val="none"/>
          <w:lang w:eastAsia="zh-CN"/>
        </w:rPr>
        <w:t>。</w:t>
      </w:r>
      <w:r>
        <w:rPr>
          <w:rFonts w:hint="eastAsia"/>
          <w:color w:val="000000" w:themeColor="text1"/>
          <w:sz w:val="28"/>
          <w:highlight w:val="none"/>
          <w:lang w:val="en-US" w:eastAsia="zh-CN"/>
        </w:rPr>
        <w:t xml:space="preserve">  </w:t>
      </w:r>
    </w:p>
    <w:p w14:paraId="705B4372">
      <w:pPr>
        <w:pStyle w:val="4"/>
        <w:keepNext w:val="0"/>
        <w:keepLines w:val="0"/>
        <w:pageBreakBefore w:val="0"/>
        <w:widowControl w:val="0"/>
        <w:kinsoku/>
        <w:wordWrap/>
        <w:topLinePunct w:val="0"/>
        <w:bidi w:val="0"/>
        <w:adjustRightInd w:val="0"/>
        <w:snapToGrid w:val="0"/>
        <w:spacing w:line="360" w:lineRule="auto"/>
        <w:ind w:firstLine="560" w:firstLineChars="200"/>
        <w:rPr>
          <w:color w:val="000000" w:themeColor="text1"/>
          <w:sz w:val="28"/>
          <w:highlight w:val="none"/>
        </w:rPr>
      </w:pPr>
      <w:r>
        <w:rPr>
          <w:rFonts w:hint="eastAsia"/>
          <w:color w:val="000000" w:themeColor="text1"/>
          <w:sz w:val="28"/>
          <w:highlight w:val="none"/>
        </w:rPr>
        <w:t>根据华美线业的实际情况，分析得出</w:t>
      </w:r>
      <w:r>
        <w:rPr>
          <w:color w:val="000000" w:themeColor="text1"/>
          <w:sz w:val="28"/>
          <w:highlight w:val="none"/>
        </w:rPr>
        <w:t>危险化学品人工倒入作业</w:t>
      </w:r>
      <w:r>
        <w:rPr>
          <w:rFonts w:hint="eastAsia"/>
          <w:color w:val="000000" w:themeColor="text1"/>
          <w:sz w:val="28"/>
          <w:highlight w:val="none"/>
        </w:rPr>
        <w:t>、</w:t>
      </w:r>
      <w:r>
        <w:rPr>
          <w:color w:val="000000" w:themeColor="text1"/>
          <w:sz w:val="28"/>
          <w:highlight w:val="none"/>
        </w:rPr>
        <w:t>危险化学品储存装卸</w:t>
      </w:r>
      <w:r>
        <w:rPr>
          <w:rFonts w:hint="eastAsia"/>
          <w:color w:val="000000" w:themeColor="text1"/>
          <w:sz w:val="28"/>
          <w:highlight w:val="none"/>
        </w:rPr>
        <w:t>作业和</w:t>
      </w:r>
      <w:r>
        <w:rPr>
          <w:color w:val="000000" w:themeColor="text1"/>
          <w:sz w:val="28"/>
          <w:highlight w:val="none"/>
        </w:rPr>
        <w:t>电气维修作业</w:t>
      </w:r>
      <w:r>
        <w:rPr>
          <w:rFonts w:hint="eastAsia"/>
          <w:color w:val="000000" w:themeColor="text1"/>
          <w:sz w:val="28"/>
          <w:highlight w:val="none"/>
        </w:rPr>
        <w:t>C的取值为7，机械维修作业的C取值为3。</w:t>
      </w:r>
    </w:p>
    <w:p w14:paraId="74865F9D">
      <w:pPr>
        <w:keepNext w:val="0"/>
        <w:keepLines w:val="0"/>
        <w:pageBreakBefore w:val="0"/>
        <w:widowControl w:val="0"/>
        <w:kinsoku/>
        <w:wordWrap/>
        <w:topLinePunct w:val="0"/>
        <w:bidi w:val="0"/>
        <w:adjustRightInd w:val="0"/>
        <w:snapToGrid w:val="0"/>
        <w:spacing w:line="360" w:lineRule="auto"/>
        <w:ind w:firstLine="561"/>
        <w:rPr>
          <w:b/>
          <w:bCs/>
          <w:color w:val="000000" w:themeColor="text1"/>
          <w:sz w:val="28"/>
          <w:szCs w:val="28"/>
          <w:highlight w:val="none"/>
        </w:rPr>
      </w:pPr>
      <w:r>
        <w:rPr>
          <w:rFonts w:hint="eastAsia"/>
          <w:color w:val="000000" w:themeColor="text1"/>
          <w:sz w:val="28"/>
          <w:highlight w:val="none"/>
        </w:rPr>
        <w:t>（4）</w:t>
      </w:r>
      <w:r>
        <w:rPr>
          <w:color w:val="000000" w:themeColor="text1"/>
          <w:sz w:val="28"/>
          <w:highlight w:val="none"/>
        </w:rPr>
        <w:t>危险性等级划分及评价结果</w:t>
      </w:r>
    </w:p>
    <w:p w14:paraId="6AAE520C">
      <w:pPr>
        <w:widowControl w:val="0"/>
        <w:adjustRightInd w:val="0"/>
        <w:snapToGrid w:val="0"/>
        <w:spacing w:line="360" w:lineRule="auto"/>
        <w:ind w:firstLine="560" w:firstLineChars="200"/>
        <w:rPr>
          <w:rFonts w:hint="eastAsia" w:ascii="宋体" w:hAnsi="宋体" w:eastAsia="宋体" w:cs="宋体"/>
          <w:color w:val="000000" w:themeColor="text1"/>
          <w:kern w:val="0"/>
          <w:sz w:val="28"/>
          <w:szCs w:val="28"/>
          <w:highlight w:val="none"/>
          <w:lang w:eastAsia="zh-CN"/>
        </w:rPr>
      </w:pPr>
      <w:r>
        <w:rPr>
          <w:rFonts w:hint="eastAsia" w:ascii="宋体" w:hAnsi="宋体" w:eastAsia="宋体" w:cs="宋体"/>
          <w:color w:val="000000" w:themeColor="text1"/>
          <w:kern w:val="0"/>
          <w:sz w:val="28"/>
          <w:szCs w:val="28"/>
          <w:highlight w:val="none"/>
        </w:rPr>
        <w:t>按危险性分值划分危险性等级的标准见表5.2-4</w:t>
      </w:r>
      <w:r>
        <w:rPr>
          <w:rFonts w:hint="eastAsia" w:ascii="宋体" w:hAnsi="宋体" w:eastAsia="宋体" w:cs="宋体"/>
          <w:color w:val="000000" w:themeColor="text1"/>
          <w:kern w:val="0"/>
          <w:sz w:val="28"/>
          <w:szCs w:val="28"/>
          <w:highlight w:val="none"/>
          <w:lang w:eastAsia="zh-CN"/>
        </w:rPr>
        <w:t>。</w:t>
      </w:r>
    </w:p>
    <w:p w14:paraId="667D0F37">
      <w:pPr>
        <w:widowControl w:val="0"/>
        <w:adjustRightInd w:val="0"/>
        <w:snapToGrid w:val="0"/>
        <w:spacing w:line="360" w:lineRule="auto"/>
        <w:ind w:firstLine="0" w:firstLineChars="0"/>
        <w:jc w:val="center"/>
        <w:rPr>
          <w:rFonts w:ascii="黑体" w:hAnsi="黑体" w:eastAsia="黑体"/>
          <w:b/>
          <w:bCs/>
          <w:color w:val="000000" w:themeColor="text1"/>
          <w:kern w:val="0"/>
          <w:sz w:val="24"/>
          <w:szCs w:val="24"/>
          <w:highlight w:val="none"/>
        </w:rPr>
      </w:pPr>
      <w:r>
        <w:rPr>
          <w:rFonts w:hint="eastAsia" w:ascii="黑体" w:hAnsi="黑体" w:eastAsia="黑体"/>
          <w:b/>
          <w:bCs/>
          <w:color w:val="000000" w:themeColor="text1"/>
          <w:kern w:val="0"/>
          <w:sz w:val="24"/>
          <w:szCs w:val="24"/>
          <w:highlight w:val="none"/>
        </w:rPr>
        <w:t>表5.</w:t>
      </w:r>
      <w:r>
        <w:rPr>
          <w:rFonts w:ascii="黑体" w:hAnsi="黑体" w:eastAsia="黑体"/>
          <w:b/>
          <w:bCs/>
          <w:color w:val="000000" w:themeColor="text1"/>
          <w:kern w:val="0"/>
          <w:sz w:val="24"/>
          <w:szCs w:val="24"/>
          <w:highlight w:val="none"/>
        </w:rPr>
        <w:t>2</w:t>
      </w:r>
      <w:r>
        <w:rPr>
          <w:rFonts w:hint="eastAsia" w:ascii="黑体" w:hAnsi="黑体" w:eastAsia="黑体"/>
          <w:b/>
          <w:bCs/>
          <w:color w:val="000000" w:themeColor="text1"/>
          <w:kern w:val="0"/>
          <w:sz w:val="24"/>
          <w:szCs w:val="24"/>
          <w:highlight w:val="none"/>
        </w:rPr>
        <w:t>-4危险性等级划分标准</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5"/>
        <w:gridCol w:w="3276"/>
        <w:gridCol w:w="1386"/>
        <w:gridCol w:w="3371"/>
      </w:tblGrid>
      <w:tr w14:paraId="1041A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pct"/>
            <w:vAlign w:val="center"/>
          </w:tcPr>
          <w:p w14:paraId="65D4DCFF">
            <w:pPr>
              <w:widowControl w:val="0"/>
              <w:adjustRightInd w:val="0"/>
              <w:snapToGrid w:val="0"/>
              <w:jc w:val="center"/>
              <w:rPr>
                <w:rFonts w:ascii="宋体" w:hAnsi="宋体"/>
                <w:b/>
                <w:bCs/>
                <w:color w:val="000000" w:themeColor="text1"/>
                <w:kern w:val="0"/>
                <w:sz w:val="21"/>
                <w:szCs w:val="21"/>
                <w:highlight w:val="none"/>
              </w:rPr>
            </w:pPr>
            <w:r>
              <w:rPr>
                <w:rFonts w:hint="eastAsia" w:ascii="宋体" w:hAnsi="宋体"/>
                <w:b/>
                <w:bCs/>
                <w:color w:val="000000" w:themeColor="text1"/>
                <w:kern w:val="0"/>
                <w:sz w:val="21"/>
                <w:szCs w:val="21"/>
                <w:highlight w:val="none"/>
              </w:rPr>
              <w:t>D值</w:t>
            </w:r>
          </w:p>
        </w:tc>
        <w:tc>
          <w:tcPr>
            <w:tcW w:w="1742" w:type="pct"/>
            <w:vAlign w:val="center"/>
          </w:tcPr>
          <w:p w14:paraId="3291F0CC">
            <w:pPr>
              <w:widowControl w:val="0"/>
              <w:adjustRightInd w:val="0"/>
              <w:snapToGrid w:val="0"/>
              <w:jc w:val="center"/>
              <w:rPr>
                <w:rFonts w:ascii="宋体" w:hAnsi="宋体"/>
                <w:b/>
                <w:bCs/>
                <w:color w:val="000000" w:themeColor="text1"/>
                <w:kern w:val="0"/>
                <w:sz w:val="21"/>
                <w:szCs w:val="21"/>
                <w:highlight w:val="none"/>
              </w:rPr>
            </w:pPr>
            <w:r>
              <w:rPr>
                <w:rFonts w:hint="eastAsia" w:ascii="宋体" w:hAnsi="宋体"/>
                <w:b/>
                <w:bCs/>
                <w:color w:val="000000" w:themeColor="text1"/>
                <w:kern w:val="0"/>
                <w:sz w:val="21"/>
                <w:szCs w:val="21"/>
                <w:highlight w:val="none"/>
              </w:rPr>
              <w:t>危险程度</w:t>
            </w:r>
          </w:p>
        </w:tc>
        <w:tc>
          <w:tcPr>
            <w:tcW w:w="737" w:type="pct"/>
            <w:vAlign w:val="center"/>
          </w:tcPr>
          <w:p w14:paraId="55F08F9A">
            <w:pPr>
              <w:widowControl w:val="0"/>
              <w:adjustRightInd w:val="0"/>
              <w:snapToGrid w:val="0"/>
              <w:jc w:val="center"/>
              <w:rPr>
                <w:rFonts w:ascii="宋体" w:hAnsi="宋体"/>
                <w:b/>
                <w:bCs/>
                <w:color w:val="000000" w:themeColor="text1"/>
                <w:kern w:val="0"/>
                <w:sz w:val="21"/>
                <w:szCs w:val="21"/>
                <w:highlight w:val="none"/>
              </w:rPr>
            </w:pPr>
            <w:r>
              <w:rPr>
                <w:rFonts w:hint="eastAsia" w:ascii="宋体" w:hAnsi="宋体"/>
                <w:b/>
                <w:bCs/>
                <w:color w:val="000000" w:themeColor="text1"/>
                <w:kern w:val="0"/>
                <w:sz w:val="21"/>
                <w:szCs w:val="21"/>
                <w:highlight w:val="none"/>
              </w:rPr>
              <w:t>D值</w:t>
            </w:r>
          </w:p>
        </w:tc>
        <w:tc>
          <w:tcPr>
            <w:tcW w:w="1792" w:type="pct"/>
            <w:vAlign w:val="center"/>
          </w:tcPr>
          <w:p w14:paraId="60919A40">
            <w:pPr>
              <w:widowControl w:val="0"/>
              <w:adjustRightInd w:val="0"/>
              <w:snapToGrid w:val="0"/>
              <w:jc w:val="center"/>
              <w:rPr>
                <w:rFonts w:ascii="宋体" w:hAnsi="宋体"/>
                <w:b/>
                <w:bCs/>
                <w:color w:val="000000" w:themeColor="text1"/>
                <w:kern w:val="0"/>
                <w:sz w:val="21"/>
                <w:szCs w:val="21"/>
                <w:highlight w:val="none"/>
              </w:rPr>
            </w:pPr>
            <w:r>
              <w:rPr>
                <w:rFonts w:hint="eastAsia" w:ascii="宋体" w:hAnsi="宋体"/>
                <w:b/>
                <w:bCs/>
                <w:color w:val="000000" w:themeColor="text1"/>
                <w:kern w:val="0"/>
                <w:sz w:val="21"/>
                <w:szCs w:val="21"/>
                <w:highlight w:val="none"/>
              </w:rPr>
              <w:t>危险程度</w:t>
            </w:r>
          </w:p>
        </w:tc>
      </w:tr>
      <w:tr w14:paraId="5BE24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pct"/>
            <w:vAlign w:val="center"/>
          </w:tcPr>
          <w:p w14:paraId="309DB2F6">
            <w:pPr>
              <w:widowControl w:val="0"/>
              <w:adjustRightInd w:val="0"/>
              <w:snapToGrid w:val="0"/>
              <w:jc w:val="center"/>
              <w:rPr>
                <w:rFonts w:ascii="宋体" w:hAnsi="宋体"/>
                <w:color w:val="000000" w:themeColor="text1"/>
                <w:kern w:val="0"/>
                <w:sz w:val="21"/>
                <w:szCs w:val="21"/>
                <w:highlight w:val="none"/>
              </w:rPr>
            </w:pPr>
            <w:r>
              <w:rPr>
                <w:rFonts w:hint="eastAsia" w:ascii="宋体" w:hAnsi="宋体"/>
                <w:color w:val="000000" w:themeColor="text1"/>
                <w:kern w:val="0"/>
                <w:sz w:val="21"/>
                <w:szCs w:val="21"/>
                <w:highlight w:val="none"/>
              </w:rPr>
              <w:t>&gt;320</w:t>
            </w:r>
          </w:p>
        </w:tc>
        <w:tc>
          <w:tcPr>
            <w:tcW w:w="1742" w:type="pct"/>
            <w:vAlign w:val="center"/>
          </w:tcPr>
          <w:p w14:paraId="00F0AC3E">
            <w:pPr>
              <w:widowControl w:val="0"/>
              <w:adjustRightInd w:val="0"/>
              <w:snapToGrid w:val="0"/>
              <w:jc w:val="center"/>
              <w:rPr>
                <w:rFonts w:ascii="宋体" w:hAnsi="宋体"/>
                <w:color w:val="000000" w:themeColor="text1"/>
                <w:kern w:val="0"/>
                <w:sz w:val="21"/>
                <w:szCs w:val="21"/>
                <w:highlight w:val="none"/>
              </w:rPr>
            </w:pPr>
            <w:r>
              <w:rPr>
                <w:rFonts w:hint="eastAsia" w:ascii="宋体" w:hAnsi="宋体"/>
                <w:color w:val="000000" w:themeColor="text1"/>
                <w:kern w:val="0"/>
                <w:sz w:val="21"/>
                <w:szCs w:val="21"/>
                <w:highlight w:val="none"/>
              </w:rPr>
              <w:t>极度危险，不能继续作业</w:t>
            </w:r>
          </w:p>
        </w:tc>
        <w:tc>
          <w:tcPr>
            <w:tcW w:w="737" w:type="pct"/>
            <w:vAlign w:val="center"/>
          </w:tcPr>
          <w:p w14:paraId="41DEA977">
            <w:pPr>
              <w:widowControl w:val="0"/>
              <w:adjustRightInd w:val="0"/>
              <w:snapToGrid w:val="0"/>
              <w:jc w:val="center"/>
              <w:rPr>
                <w:rFonts w:ascii="宋体" w:hAnsi="宋体"/>
                <w:color w:val="000000" w:themeColor="text1"/>
                <w:kern w:val="0"/>
                <w:sz w:val="21"/>
                <w:szCs w:val="21"/>
                <w:highlight w:val="none"/>
              </w:rPr>
            </w:pPr>
            <w:r>
              <w:rPr>
                <w:rFonts w:hint="eastAsia" w:ascii="宋体" w:hAnsi="宋体"/>
                <w:color w:val="000000" w:themeColor="text1"/>
                <w:kern w:val="0"/>
                <w:sz w:val="21"/>
                <w:szCs w:val="21"/>
                <w:highlight w:val="none"/>
              </w:rPr>
              <w:t>20～70</w:t>
            </w:r>
          </w:p>
        </w:tc>
        <w:tc>
          <w:tcPr>
            <w:tcW w:w="1792" w:type="pct"/>
            <w:vAlign w:val="center"/>
          </w:tcPr>
          <w:p w14:paraId="0BE22DE5">
            <w:pPr>
              <w:widowControl w:val="0"/>
              <w:adjustRightInd w:val="0"/>
              <w:snapToGrid w:val="0"/>
              <w:jc w:val="center"/>
              <w:rPr>
                <w:rFonts w:ascii="宋体" w:hAnsi="宋体"/>
                <w:color w:val="000000" w:themeColor="text1"/>
                <w:kern w:val="0"/>
                <w:sz w:val="21"/>
                <w:szCs w:val="21"/>
                <w:highlight w:val="none"/>
              </w:rPr>
            </w:pPr>
            <w:r>
              <w:rPr>
                <w:rFonts w:hint="eastAsia" w:ascii="宋体" w:hAnsi="宋体"/>
                <w:color w:val="000000" w:themeColor="text1"/>
                <w:kern w:val="0"/>
                <w:sz w:val="21"/>
                <w:szCs w:val="21"/>
                <w:highlight w:val="none"/>
              </w:rPr>
              <w:t>比较危险，需要注意</w:t>
            </w:r>
          </w:p>
        </w:tc>
      </w:tr>
      <w:tr w14:paraId="0522C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pct"/>
            <w:vAlign w:val="center"/>
          </w:tcPr>
          <w:p w14:paraId="4E68F254">
            <w:pPr>
              <w:widowControl w:val="0"/>
              <w:adjustRightInd w:val="0"/>
              <w:snapToGrid w:val="0"/>
              <w:jc w:val="center"/>
              <w:rPr>
                <w:rFonts w:ascii="宋体" w:hAnsi="宋体"/>
                <w:color w:val="000000" w:themeColor="text1"/>
                <w:kern w:val="0"/>
                <w:sz w:val="21"/>
                <w:szCs w:val="21"/>
                <w:highlight w:val="none"/>
              </w:rPr>
            </w:pPr>
            <w:r>
              <w:rPr>
                <w:rFonts w:hint="eastAsia" w:ascii="宋体" w:hAnsi="宋体"/>
                <w:color w:val="000000" w:themeColor="text1"/>
                <w:kern w:val="0"/>
                <w:sz w:val="21"/>
                <w:szCs w:val="21"/>
                <w:highlight w:val="none"/>
              </w:rPr>
              <w:t>160～320</w:t>
            </w:r>
          </w:p>
        </w:tc>
        <w:tc>
          <w:tcPr>
            <w:tcW w:w="1742" w:type="pct"/>
            <w:vAlign w:val="center"/>
          </w:tcPr>
          <w:p w14:paraId="6B796C78">
            <w:pPr>
              <w:widowControl w:val="0"/>
              <w:adjustRightInd w:val="0"/>
              <w:snapToGrid w:val="0"/>
              <w:jc w:val="center"/>
              <w:rPr>
                <w:rFonts w:ascii="宋体" w:hAnsi="宋体"/>
                <w:color w:val="000000" w:themeColor="text1"/>
                <w:kern w:val="0"/>
                <w:sz w:val="21"/>
                <w:szCs w:val="21"/>
                <w:highlight w:val="none"/>
              </w:rPr>
            </w:pPr>
            <w:r>
              <w:rPr>
                <w:rFonts w:hint="eastAsia" w:ascii="宋体" w:hAnsi="宋体"/>
                <w:color w:val="000000" w:themeColor="text1"/>
                <w:kern w:val="0"/>
                <w:sz w:val="21"/>
                <w:szCs w:val="21"/>
                <w:highlight w:val="none"/>
              </w:rPr>
              <w:t>高度危险，需立即整改</w:t>
            </w:r>
          </w:p>
        </w:tc>
        <w:tc>
          <w:tcPr>
            <w:tcW w:w="737" w:type="pct"/>
            <w:vAlign w:val="center"/>
          </w:tcPr>
          <w:p w14:paraId="6142A5BC">
            <w:pPr>
              <w:widowControl w:val="0"/>
              <w:adjustRightInd w:val="0"/>
              <w:snapToGrid w:val="0"/>
              <w:jc w:val="center"/>
              <w:rPr>
                <w:rFonts w:ascii="宋体" w:hAnsi="宋体"/>
                <w:color w:val="000000" w:themeColor="text1"/>
                <w:kern w:val="0"/>
                <w:sz w:val="21"/>
                <w:szCs w:val="21"/>
                <w:highlight w:val="none"/>
              </w:rPr>
            </w:pPr>
            <w:r>
              <w:rPr>
                <w:rFonts w:hint="eastAsia" w:ascii="宋体" w:hAnsi="宋体"/>
                <w:color w:val="000000" w:themeColor="text1"/>
                <w:kern w:val="0"/>
                <w:sz w:val="21"/>
                <w:szCs w:val="21"/>
                <w:highlight w:val="none"/>
              </w:rPr>
              <w:t>&lt;20</w:t>
            </w:r>
          </w:p>
        </w:tc>
        <w:tc>
          <w:tcPr>
            <w:tcW w:w="1792" w:type="pct"/>
            <w:vAlign w:val="center"/>
          </w:tcPr>
          <w:p w14:paraId="3D79DEE7">
            <w:pPr>
              <w:widowControl w:val="0"/>
              <w:adjustRightInd w:val="0"/>
              <w:snapToGrid w:val="0"/>
              <w:jc w:val="center"/>
              <w:rPr>
                <w:rFonts w:ascii="宋体" w:hAnsi="宋体"/>
                <w:color w:val="000000" w:themeColor="text1"/>
                <w:kern w:val="0"/>
                <w:sz w:val="21"/>
                <w:szCs w:val="21"/>
                <w:highlight w:val="none"/>
              </w:rPr>
            </w:pPr>
            <w:r>
              <w:rPr>
                <w:rFonts w:hint="eastAsia" w:ascii="宋体" w:hAnsi="宋体"/>
                <w:color w:val="000000" w:themeColor="text1"/>
                <w:kern w:val="0"/>
                <w:sz w:val="21"/>
                <w:szCs w:val="21"/>
                <w:highlight w:val="none"/>
              </w:rPr>
              <w:t>稍有危险，可以接受</w:t>
            </w:r>
          </w:p>
        </w:tc>
      </w:tr>
      <w:tr w14:paraId="7A430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6" w:type="pct"/>
            <w:vAlign w:val="center"/>
          </w:tcPr>
          <w:p w14:paraId="7A03F527">
            <w:pPr>
              <w:widowControl w:val="0"/>
              <w:adjustRightInd w:val="0"/>
              <w:snapToGrid w:val="0"/>
              <w:jc w:val="center"/>
              <w:rPr>
                <w:rFonts w:ascii="宋体" w:hAnsi="宋体"/>
                <w:color w:val="000000" w:themeColor="text1"/>
                <w:kern w:val="0"/>
                <w:sz w:val="21"/>
                <w:szCs w:val="21"/>
                <w:highlight w:val="none"/>
              </w:rPr>
            </w:pPr>
            <w:r>
              <w:rPr>
                <w:rFonts w:hint="eastAsia" w:ascii="宋体" w:hAnsi="宋体"/>
                <w:color w:val="000000" w:themeColor="text1"/>
                <w:kern w:val="0"/>
                <w:sz w:val="21"/>
                <w:szCs w:val="21"/>
                <w:highlight w:val="none"/>
              </w:rPr>
              <w:t>70～160</w:t>
            </w:r>
          </w:p>
        </w:tc>
        <w:tc>
          <w:tcPr>
            <w:tcW w:w="1742" w:type="pct"/>
            <w:vAlign w:val="center"/>
          </w:tcPr>
          <w:p w14:paraId="5B2F2F09">
            <w:pPr>
              <w:widowControl w:val="0"/>
              <w:adjustRightInd w:val="0"/>
              <w:snapToGrid w:val="0"/>
              <w:jc w:val="center"/>
              <w:rPr>
                <w:rFonts w:ascii="宋体" w:hAnsi="宋体"/>
                <w:color w:val="000000" w:themeColor="text1"/>
                <w:kern w:val="0"/>
                <w:sz w:val="21"/>
                <w:szCs w:val="21"/>
                <w:highlight w:val="none"/>
              </w:rPr>
            </w:pPr>
            <w:r>
              <w:rPr>
                <w:rFonts w:hint="eastAsia" w:ascii="宋体" w:hAnsi="宋体"/>
                <w:color w:val="000000" w:themeColor="text1"/>
                <w:kern w:val="0"/>
                <w:sz w:val="21"/>
                <w:szCs w:val="21"/>
                <w:highlight w:val="none"/>
              </w:rPr>
              <w:t>显著危险，需要整改</w:t>
            </w:r>
          </w:p>
        </w:tc>
        <w:tc>
          <w:tcPr>
            <w:tcW w:w="737" w:type="pct"/>
            <w:vAlign w:val="center"/>
          </w:tcPr>
          <w:p w14:paraId="05E5AFD8">
            <w:pPr>
              <w:widowControl w:val="0"/>
              <w:adjustRightInd w:val="0"/>
              <w:snapToGrid w:val="0"/>
              <w:jc w:val="center"/>
              <w:rPr>
                <w:rFonts w:ascii="宋体" w:hAnsi="宋体"/>
                <w:color w:val="000000" w:themeColor="text1"/>
                <w:kern w:val="0"/>
                <w:sz w:val="21"/>
                <w:szCs w:val="21"/>
                <w:highlight w:val="none"/>
              </w:rPr>
            </w:pPr>
          </w:p>
        </w:tc>
        <w:tc>
          <w:tcPr>
            <w:tcW w:w="1792" w:type="pct"/>
            <w:vAlign w:val="center"/>
          </w:tcPr>
          <w:p w14:paraId="5E658050">
            <w:pPr>
              <w:widowControl w:val="0"/>
              <w:adjustRightInd w:val="0"/>
              <w:snapToGrid w:val="0"/>
              <w:jc w:val="center"/>
              <w:rPr>
                <w:rFonts w:ascii="宋体" w:hAnsi="宋体"/>
                <w:color w:val="000000" w:themeColor="text1"/>
                <w:kern w:val="0"/>
                <w:sz w:val="21"/>
                <w:szCs w:val="21"/>
                <w:highlight w:val="none"/>
              </w:rPr>
            </w:pPr>
          </w:p>
        </w:tc>
      </w:tr>
    </w:tbl>
    <w:p w14:paraId="053F191A">
      <w:pPr>
        <w:keepNext w:val="0"/>
        <w:keepLines w:val="0"/>
        <w:pageBreakBefore w:val="0"/>
        <w:widowControl w:val="0"/>
        <w:kinsoku/>
        <w:wordWrap/>
        <w:overflowPunct/>
        <w:topLinePunct w:val="0"/>
        <w:autoSpaceDE/>
        <w:autoSpaceDN/>
        <w:bidi w:val="0"/>
        <w:adjustRightInd w:val="0"/>
        <w:snapToGrid w:val="0"/>
        <w:spacing w:before="219" w:beforeLines="50" w:line="360" w:lineRule="auto"/>
        <w:ind w:firstLine="560" w:firstLineChars="200"/>
        <w:jc w:val="left"/>
        <w:textAlignment w:val="auto"/>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根据经验，危险性分值在20分以下为低危险性，一般可以被人们接受；危险性分值在20～70时，需要加以注意；如果危险性分值在70～160之间，有显著的危险性，需要采取措施整改：如果危险性分值在160～320之间，有高度危险性，必须立即整改；如果危险性分值大于320，极度危险，应立即停止作业，彻底整改。</w:t>
      </w:r>
    </w:p>
    <w:p w14:paraId="0FAB7EF6">
      <w:pPr>
        <w:widowControl w:val="0"/>
        <w:adjustRightInd w:val="0"/>
        <w:snapToGrid w:val="0"/>
        <w:spacing w:line="360" w:lineRule="auto"/>
        <w:ind w:firstLine="560" w:firstLineChars="200"/>
        <w:jc w:val="left"/>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根据上述L、E、C取值，计算得出危险性分值并按照危险性等级划分标准得出</w:t>
      </w:r>
      <w:r>
        <w:rPr>
          <w:color w:val="000000" w:themeColor="text1"/>
          <w:sz w:val="28"/>
          <w:highlight w:val="none"/>
        </w:rPr>
        <w:t>危险化学品人工倒入作业</w:t>
      </w:r>
      <w:r>
        <w:rPr>
          <w:rFonts w:hint="eastAsia"/>
          <w:color w:val="000000" w:themeColor="text1"/>
          <w:sz w:val="28"/>
          <w:highlight w:val="none"/>
        </w:rPr>
        <w:t>、</w:t>
      </w:r>
      <w:r>
        <w:rPr>
          <w:color w:val="000000" w:themeColor="text1"/>
          <w:sz w:val="28"/>
          <w:highlight w:val="none"/>
        </w:rPr>
        <w:t>危险化学品储存装卸</w:t>
      </w:r>
      <w:r>
        <w:rPr>
          <w:rFonts w:hint="eastAsia"/>
          <w:color w:val="000000" w:themeColor="text1"/>
          <w:sz w:val="28"/>
          <w:highlight w:val="none"/>
        </w:rPr>
        <w:t>作业、机械维修作业和</w:t>
      </w:r>
      <w:r>
        <w:rPr>
          <w:color w:val="000000" w:themeColor="text1"/>
          <w:sz w:val="28"/>
          <w:highlight w:val="none"/>
        </w:rPr>
        <w:t>电气维修作业</w:t>
      </w:r>
      <w:r>
        <w:rPr>
          <w:rFonts w:hint="eastAsia" w:ascii="宋体" w:hAnsi="宋体" w:eastAsia="宋体" w:cs="宋体"/>
          <w:color w:val="000000" w:themeColor="text1"/>
          <w:kern w:val="0"/>
          <w:sz w:val="28"/>
          <w:szCs w:val="28"/>
          <w:highlight w:val="none"/>
        </w:rPr>
        <w:t>的作业条件危险性评价结果，具体结果如下。</w:t>
      </w:r>
    </w:p>
    <w:p w14:paraId="385CC235">
      <w:pPr>
        <w:keepNext w:val="0"/>
        <w:keepLines w:val="0"/>
        <w:pageBreakBefore w:val="0"/>
        <w:widowControl w:val="0"/>
        <w:kinsoku/>
        <w:wordWrap/>
        <w:topLinePunct w:val="0"/>
        <w:bidi w:val="0"/>
        <w:adjustRightInd w:val="0"/>
        <w:snapToGrid w:val="0"/>
        <w:spacing w:line="360" w:lineRule="auto"/>
        <w:jc w:val="center"/>
        <w:rPr>
          <w:rFonts w:ascii="黑体" w:hAnsi="黑体" w:eastAsia="黑体"/>
          <w:b/>
          <w:bCs/>
          <w:color w:val="000000" w:themeColor="text1"/>
          <w:highlight w:val="none"/>
        </w:rPr>
      </w:pPr>
      <w:r>
        <w:rPr>
          <w:rFonts w:hint="eastAsia" w:ascii="黑体" w:hAnsi="黑体" w:eastAsia="黑体"/>
          <w:b/>
          <w:bCs/>
          <w:color w:val="000000" w:themeColor="text1"/>
          <w:highlight w:val="none"/>
        </w:rPr>
        <w:t>表5</w:t>
      </w:r>
      <w:r>
        <w:rPr>
          <w:rFonts w:hint="eastAsia" w:ascii="黑体" w:hAnsi="黑体" w:eastAsia="黑体"/>
          <w:b/>
          <w:bCs/>
          <w:color w:val="000000" w:themeColor="text1"/>
          <w:highlight w:val="none"/>
          <w:lang w:val="en-US" w:eastAsia="zh-CN"/>
        </w:rPr>
        <w:t>.2</w:t>
      </w:r>
      <w:r>
        <w:rPr>
          <w:rFonts w:hint="eastAsia" w:ascii="黑体" w:hAnsi="黑体" w:eastAsia="黑体"/>
          <w:b/>
          <w:bCs/>
          <w:color w:val="000000" w:themeColor="text1"/>
          <w:highlight w:val="none"/>
        </w:rPr>
        <w:t>-</w:t>
      </w:r>
      <w:r>
        <w:rPr>
          <w:rFonts w:hint="eastAsia" w:ascii="黑体" w:hAnsi="黑体" w:eastAsia="黑体"/>
          <w:b/>
          <w:bCs/>
          <w:color w:val="000000" w:themeColor="text1"/>
          <w:highlight w:val="none"/>
          <w:lang w:val="en-US" w:eastAsia="zh-CN"/>
        </w:rPr>
        <w:t>5</w:t>
      </w:r>
      <w:r>
        <w:rPr>
          <w:rFonts w:hint="eastAsia" w:ascii="黑体" w:hAnsi="黑体" w:eastAsia="黑体"/>
          <w:b/>
          <w:bCs/>
          <w:color w:val="000000" w:themeColor="text1"/>
          <w:highlight w:val="none"/>
        </w:rPr>
        <w:t xml:space="preserve">  作业条件危险性评价表</w:t>
      </w:r>
    </w:p>
    <w:tbl>
      <w:tblPr>
        <w:tblStyle w:val="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914"/>
        <w:gridCol w:w="715"/>
        <w:gridCol w:w="715"/>
        <w:gridCol w:w="715"/>
        <w:gridCol w:w="715"/>
        <w:gridCol w:w="2500"/>
      </w:tblGrid>
      <w:tr w14:paraId="490A0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7" w:type="dxa"/>
            <w:vMerge w:val="restart"/>
            <w:vAlign w:val="center"/>
          </w:tcPr>
          <w:p w14:paraId="619F1371">
            <w:pPr>
              <w:keepNext w:val="0"/>
              <w:keepLines w:val="0"/>
              <w:pageBreakBefore w:val="0"/>
              <w:widowControl w:val="0"/>
              <w:kinsoku/>
              <w:wordWrap/>
              <w:topLinePunct w:val="0"/>
              <w:bidi w:val="0"/>
              <w:adjustRightInd w:val="0"/>
              <w:snapToGrid w:val="0"/>
              <w:spacing w:line="240" w:lineRule="auto"/>
              <w:jc w:val="center"/>
              <w:rPr>
                <w:b/>
                <w:bCs/>
                <w:color w:val="000000" w:themeColor="text1"/>
                <w:sz w:val="21"/>
                <w:szCs w:val="21"/>
                <w:highlight w:val="none"/>
              </w:rPr>
            </w:pPr>
            <w:r>
              <w:rPr>
                <w:rFonts w:hint="eastAsia"/>
                <w:b/>
                <w:bCs/>
                <w:color w:val="000000" w:themeColor="text1"/>
                <w:sz w:val="21"/>
                <w:szCs w:val="21"/>
                <w:highlight w:val="none"/>
              </w:rPr>
              <w:t>评价对象</w:t>
            </w:r>
          </w:p>
        </w:tc>
        <w:tc>
          <w:tcPr>
            <w:tcW w:w="1914" w:type="dxa"/>
            <w:vMerge w:val="restart"/>
            <w:vAlign w:val="center"/>
          </w:tcPr>
          <w:p w14:paraId="491F8611">
            <w:pPr>
              <w:keepNext w:val="0"/>
              <w:keepLines w:val="0"/>
              <w:pageBreakBefore w:val="0"/>
              <w:widowControl w:val="0"/>
              <w:kinsoku/>
              <w:wordWrap/>
              <w:topLinePunct w:val="0"/>
              <w:bidi w:val="0"/>
              <w:adjustRightInd w:val="0"/>
              <w:snapToGrid w:val="0"/>
              <w:spacing w:line="240" w:lineRule="auto"/>
              <w:jc w:val="center"/>
              <w:rPr>
                <w:b/>
                <w:bCs/>
                <w:color w:val="000000" w:themeColor="text1"/>
                <w:sz w:val="21"/>
                <w:szCs w:val="21"/>
                <w:highlight w:val="none"/>
              </w:rPr>
            </w:pPr>
            <w:r>
              <w:rPr>
                <w:rFonts w:hint="eastAsia"/>
                <w:b/>
                <w:bCs/>
                <w:color w:val="000000" w:themeColor="text1"/>
                <w:sz w:val="21"/>
                <w:szCs w:val="21"/>
                <w:highlight w:val="none"/>
              </w:rPr>
              <w:t>危险源及潜在风险</w:t>
            </w:r>
          </w:p>
        </w:tc>
        <w:tc>
          <w:tcPr>
            <w:tcW w:w="2860" w:type="dxa"/>
            <w:gridSpan w:val="4"/>
            <w:vAlign w:val="center"/>
          </w:tcPr>
          <w:p w14:paraId="12562A6B">
            <w:pPr>
              <w:keepNext w:val="0"/>
              <w:keepLines w:val="0"/>
              <w:pageBreakBefore w:val="0"/>
              <w:widowControl w:val="0"/>
              <w:kinsoku/>
              <w:wordWrap/>
              <w:topLinePunct w:val="0"/>
              <w:bidi w:val="0"/>
              <w:adjustRightInd w:val="0"/>
              <w:snapToGrid w:val="0"/>
              <w:spacing w:line="240" w:lineRule="auto"/>
              <w:jc w:val="center"/>
              <w:rPr>
                <w:b/>
                <w:bCs/>
                <w:color w:val="000000" w:themeColor="text1"/>
                <w:sz w:val="21"/>
                <w:szCs w:val="21"/>
                <w:highlight w:val="none"/>
              </w:rPr>
            </w:pPr>
            <w:r>
              <w:rPr>
                <w:rFonts w:hint="eastAsia"/>
                <w:b/>
                <w:bCs/>
                <w:color w:val="000000" w:themeColor="text1"/>
                <w:sz w:val="21"/>
                <w:szCs w:val="21"/>
                <w:highlight w:val="none"/>
              </w:rPr>
              <w:t>风险值(D=L×E×C)</w:t>
            </w:r>
          </w:p>
        </w:tc>
        <w:tc>
          <w:tcPr>
            <w:tcW w:w="2500" w:type="dxa"/>
            <w:vMerge w:val="restart"/>
            <w:vAlign w:val="center"/>
          </w:tcPr>
          <w:p w14:paraId="6CC65C5E">
            <w:pPr>
              <w:keepNext w:val="0"/>
              <w:keepLines w:val="0"/>
              <w:pageBreakBefore w:val="0"/>
              <w:widowControl w:val="0"/>
              <w:kinsoku/>
              <w:wordWrap/>
              <w:topLinePunct w:val="0"/>
              <w:bidi w:val="0"/>
              <w:adjustRightInd w:val="0"/>
              <w:snapToGrid w:val="0"/>
              <w:spacing w:line="240" w:lineRule="auto"/>
              <w:jc w:val="center"/>
              <w:rPr>
                <w:b/>
                <w:bCs/>
                <w:color w:val="000000" w:themeColor="text1"/>
                <w:sz w:val="21"/>
                <w:szCs w:val="21"/>
                <w:highlight w:val="none"/>
              </w:rPr>
            </w:pPr>
            <w:r>
              <w:rPr>
                <w:rFonts w:hint="eastAsia"/>
                <w:b/>
                <w:bCs/>
                <w:color w:val="000000" w:themeColor="text1"/>
                <w:sz w:val="21"/>
                <w:szCs w:val="21"/>
                <w:highlight w:val="none"/>
              </w:rPr>
              <w:t>结论</w:t>
            </w:r>
          </w:p>
        </w:tc>
      </w:tr>
      <w:tr w14:paraId="6DD0F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7" w:type="dxa"/>
            <w:vMerge w:val="continue"/>
            <w:vAlign w:val="center"/>
          </w:tcPr>
          <w:p w14:paraId="3BDA1083">
            <w:pPr>
              <w:keepNext w:val="0"/>
              <w:keepLines w:val="0"/>
              <w:pageBreakBefore w:val="0"/>
              <w:widowControl w:val="0"/>
              <w:kinsoku/>
              <w:wordWrap/>
              <w:topLinePunct w:val="0"/>
              <w:bidi w:val="0"/>
              <w:adjustRightInd w:val="0"/>
              <w:snapToGrid w:val="0"/>
              <w:spacing w:line="240" w:lineRule="auto"/>
              <w:ind w:firstLine="561"/>
              <w:jc w:val="center"/>
              <w:rPr>
                <w:color w:val="000000" w:themeColor="text1"/>
                <w:sz w:val="21"/>
                <w:szCs w:val="21"/>
                <w:highlight w:val="none"/>
              </w:rPr>
            </w:pPr>
          </w:p>
        </w:tc>
        <w:tc>
          <w:tcPr>
            <w:tcW w:w="1914" w:type="dxa"/>
            <w:vMerge w:val="continue"/>
            <w:vAlign w:val="center"/>
          </w:tcPr>
          <w:p w14:paraId="0C808EC8">
            <w:pPr>
              <w:keepNext w:val="0"/>
              <w:keepLines w:val="0"/>
              <w:pageBreakBefore w:val="0"/>
              <w:widowControl w:val="0"/>
              <w:kinsoku/>
              <w:wordWrap/>
              <w:topLinePunct w:val="0"/>
              <w:bidi w:val="0"/>
              <w:adjustRightInd w:val="0"/>
              <w:snapToGrid w:val="0"/>
              <w:spacing w:line="240" w:lineRule="auto"/>
              <w:ind w:firstLine="561"/>
              <w:jc w:val="center"/>
              <w:rPr>
                <w:color w:val="000000" w:themeColor="text1"/>
                <w:sz w:val="21"/>
                <w:szCs w:val="21"/>
                <w:highlight w:val="none"/>
              </w:rPr>
            </w:pPr>
          </w:p>
        </w:tc>
        <w:tc>
          <w:tcPr>
            <w:tcW w:w="715" w:type="dxa"/>
            <w:vAlign w:val="center"/>
          </w:tcPr>
          <w:p w14:paraId="6DAAB302">
            <w:pPr>
              <w:keepNext w:val="0"/>
              <w:keepLines w:val="0"/>
              <w:pageBreakBefore w:val="0"/>
              <w:widowControl w:val="0"/>
              <w:kinsoku/>
              <w:wordWrap/>
              <w:topLinePunct w:val="0"/>
              <w:bidi w:val="0"/>
              <w:adjustRightInd w:val="0"/>
              <w:snapToGrid w:val="0"/>
              <w:spacing w:line="240" w:lineRule="auto"/>
              <w:jc w:val="center"/>
              <w:rPr>
                <w:b/>
                <w:bCs/>
                <w:color w:val="000000" w:themeColor="text1"/>
                <w:sz w:val="21"/>
                <w:szCs w:val="21"/>
                <w:highlight w:val="none"/>
              </w:rPr>
            </w:pPr>
            <w:r>
              <w:rPr>
                <w:rFonts w:hint="eastAsia"/>
                <w:b/>
                <w:bCs/>
                <w:color w:val="000000" w:themeColor="text1"/>
                <w:sz w:val="21"/>
                <w:szCs w:val="21"/>
                <w:highlight w:val="none"/>
              </w:rPr>
              <w:t>L</w:t>
            </w:r>
          </w:p>
        </w:tc>
        <w:tc>
          <w:tcPr>
            <w:tcW w:w="715" w:type="dxa"/>
            <w:vAlign w:val="center"/>
          </w:tcPr>
          <w:p w14:paraId="70472A6A">
            <w:pPr>
              <w:keepNext w:val="0"/>
              <w:keepLines w:val="0"/>
              <w:pageBreakBefore w:val="0"/>
              <w:widowControl w:val="0"/>
              <w:kinsoku/>
              <w:wordWrap/>
              <w:topLinePunct w:val="0"/>
              <w:bidi w:val="0"/>
              <w:adjustRightInd w:val="0"/>
              <w:snapToGrid w:val="0"/>
              <w:spacing w:line="240" w:lineRule="auto"/>
              <w:jc w:val="center"/>
              <w:rPr>
                <w:b/>
                <w:bCs/>
                <w:color w:val="000000" w:themeColor="text1"/>
                <w:sz w:val="21"/>
                <w:szCs w:val="21"/>
                <w:highlight w:val="none"/>
              </w:rPr>
            </w:pPr>
            <w:r>
              <w:rPr>
                <w:rFonts w:hint="eastAsia"/>
                <w:b/>
                <w:bCs/>
                <w:color w:val="000000" w:themeColor="text1"/>
                <w:sz w:val="21"/>
                <w:szCs w:val="21"/>
                <w:highlight w:val="none"/>
              </w:rPr>
              <w:t>E</w:t>
            </w:r>
          </w:p>
        </w:tc>
        <w:tc>
          <w:tcPr>
            <w:tcW w:w="715" w:type="dxa"/>
            <w:vAlign w:val="center"/>
          </w:tcPr>
          <w:p w14:paraId="44912025">
            <w:pPr>
              <w:keepNext w:val="0"/>
              <w:keepLines w:val="0"/>
              <w:pageBreakBefore w:val="0"/>
              <w:widowControl w:val="0"/>
              <w:kinsoku/>
              <w:wordWrap/>
              <w:topLinePunct w:val="0"/>
              <w:bidi w:val="0"/>
              <w:adjustRightInd w:val="0"/>
              <w:snapToGrid w:val="0"/>
              <w:spacing w:line="240" w:lineRule="auto"/>
              <w:jc w:val="center"/>
              <w:rPr>
                <w:b/>
                <w:bCs/>
                <w:color w:val="000000" w:themeColor="text1"/>
                <w:sz w:val="21"/>
                <w:szCs w:val="21"/>
                <w:highlight w:val="none"/>
              </w:rPr>
            </w:pPr>
            <w:r>
              <w:rPr>
                <w:rFonts w:hint="eastAsia"/>
                <w:b/>
                <w:bCs/>
                <w:color w:val="000000" w:themeColor="text1"/>
                <w:sz w:val="21"/>
                <w:szCs w:val="21"/>
                <w:highlight w:val="none"/>
              </w:rPr>
              <w:t>C</w:t>
            </w:r>
          </w:p>
        </w:tc>
        <w:tc>
          <w:tcPr>
            <w:tcW w:w="715" w:type="dxa"/>
            <w:vAlign w:val="center"/>
          </w:tcPr>
          <w:p w14:paraId="60BF1C45">
            <w:pPr>
              <w:keepNext w:val="0"/>
              <w:keepLines w:val="0"/>
              <w:pageBreakBefore w:val="0"/>
              <w:widowControl w:val="0"/>
              <w:kinsoku/>
              <w:wordWrap/>
              <w:topLinePunct w:val="0"/>
              <w:bidi w:val="0"/>
              <w:adjustRightInd w:val="0"/>
              <w:snapToGrid w:val="0"/>
              <w:spacing w:line="240" w:lineRule="auto"/>
              <w:jc w:val="center"/>
              <w:rPr>
                <w:b/>
                <w:bCs/>
                <w:color w:val="000000" w:themeColor="text1"/>
                <w:sz w:val="21"/>
                <w:szCs w:val="21"/>
                <w:highlight w:val="none"/>
              </w:rPr>
            </w:pPr>
            <w:r>
              <w:rPr>
                <w:rFonts w:hint="eastAsia"/>
                <w:b/>
                <w:bCs/>
                <w:color w:val="000000" w:themeColor="text1"/>
                <w:sz w:val="21"/>
                <w:szCs w:val="21"/>
                <w:highlight w:val="none"/>
              </w:rPr>
              <w:t>D</w:t>
            </w:r>
          </w:p>
        </w:tc>
        <w:tc>
          <w:tcPr>
            <w:tcW w:w="2500" w:type="dxa"/>
            <w:vMerge w:val="continue"/>
            <w:vAlign w:val="center"/>
          </w:tcPr>
          <w:p w14:paraId="474142F6">
            <w:pPr>
              <w:keepNext w:val="0"/>
              <w:keepLines w:val="0"/>
              <w:pageBreakBefore w:val="0"/>
              <w:widowControl w:val="0"/>
              <w:kinsoku/>
              <w:wordWrap/>
              <w:topLinePunct w:val="0"/>
              <w:bidi w:val="0"/>
              <w:adjustRightInd w:val="0"/>
              <w:snapToGrid w:val="0"/>
              <w:spacing w:line="240" w:lineRule="auto"/>
              <w:ind w:firstLine="561"/>
              <w:jc w:val="center"/>
              <w:rPr>
                <w:color w:val="000000" w:themeColor="text1"/>
                <w:sz w:val="21"/>
                <w:szCs w:val="21"/>
                <w:highlight w:val="none"/>
              </w:rPr>
            </w:pPr>
          </w:p>
        </w:tc>
      </w:tr>
      <w:tr w14:paraId="5C71E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7" w:type="dxa"/>
            <w:vAlign w:val="center"/>
          </w:tcPr>
          <w:p w14:paraId="6232A17D">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危险化学品人工倒入作业</w:t>
            </w:r>
          </w:p>
        </w:tc>
        <w:tc>
          <w:tcPr>
            <w:tcW w:w="1914" w:type="dxa"/>
            <w:vAlign w:val="center"/>
          </w:tcPr>
          <w:p w14:paraId="0A680C54">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中毒、火灾、爆炸、化学品灼伤</w:t>
            </w:r>
          </w:p>
        </w:tc>
        <w:tc>
          <w:tcPr>
            <w:tcW w:w="715" w:type="dxa"/>
            <w:vAlign w:val="center"/>
          </w:tcPr>
          <w:p w14:paraId="6ACA5B37">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1</w:t>
            </w:r>
          </w:p>
        </w:tc>
        <w:tc>
          <w:tcPr>
            <w:tcW w:w="715" w:type="dxa"/>
            <w:vAlign w:val="center"/>
          </w:tcPr>
          <w:p w14:paraId="4491A66F">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6</w:t>
            </w:r>
          </w:p>
        </w:tc>
        <w:tc>
          <w:tcPr>
            <w:tcW w:w="715" w:type="dxa"/>
            <w:vAlign w:val="center"/>
          </w:tcPr>
          <w:p w14:paraId="611061E5">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7</w:t>
            </w:r>
          </w:p>
        </w:tc>
        <w:tc>
          <w:tcPr>
            <w:tcW w:w="715" w:type="dxa"/>
            <w:vAlign w:val="center"/>
          </w:tcPr>
          <w:p w14:paraId="75F3E0A8">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42</w:t>
            </w:r>
          </w:p>
        </w:tc>
        <w:tc>
          <w:tcPr>
            <w:tcW w:w="2500" w:type="dxa"/>
            <w:vAlign w:val="center"/>
          </w:tcPr>
          <w:p w14:paraId="0ECD816A">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一般危险，需要注意</w:t>
            </w:r>
          </w:p>
        </w:tc>
      </w:tr>
      <w:tr w14:paraId="0C348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7" w:type="dxa"/>
            <w:vAlign w:val="center"/>
          </w:tcPr>
          <w:p w14:paraId="0E14CEA5">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危险化学品储存装卸作业</w:t>
            </w:r>
          </w:p>
        </w:tc>
        <w:tc>
          <w:tcPr>
            <w:tcW w:w="1914" w:type="dxa"/>
            <w:vAlign w:val="center"/>
          </w:tcPr>
          <w:p w14:paraId="5FE0ED5C">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中毒、火灾、爆炸、化学品灼伤</w:t>
            </w:r>
          </w:p>
        </w:tc>
        <w:tc>
          <w:tcPr>
            <w:tcW w:w="715" w:type="dxa"/>
            <w:vAlign w:val="center"/>
          </w:tcPr>
          <w:p w14:paraId="0D0598E5">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1</w:t>
            </w:r>
          </w:p>
        </w:tc>
        <w:tc>
          <w:tcPr>
            <w:tcW w:w="715" w:type="dxa"/>
            <w:vAlign w:val="center"/>
          </w:tcPr>
          <w:p w14:paraId="1B0FD34D">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color w:val="000000" w:themeColor="text1"/>
                <w:sz w:val="21"/>
                <w:szCs w:val="21"/>
                <w:highlight w:val="none"/>
              </w:rPr>
              <w:t>6</w:t>
            </w:r>
          </w:p>
        </w:tc>
        <w:tc>
          <w:tcPr>
            <w:tcW w:w="715" w:type="dxa"/>
            <w:vAlign w:val="center"/>
          </w:tcPr>
          <w:p w14:paraId="0BE90A93">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color w:val="000000" w:themeColor="text1"/>
                <w:sz w:val="21"/>
                <w:szCs w:val="21"/>
                <w:highlight w:val="none"/>
              </w:rPr>
              <w:t>7</w:t>
            </w:r>
          </w:p>
        </w:tc>
        <w:tc>
          <w:tcPr>
            <w:tcW w:w="715" w:type="dxa"/>
            <w:vAlign w:val="center"/>
          </w:tcPr>
          <w:p w14:paraId="78D72239">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color w:val="000000" w:themeColor="text1"/>
                <w:sz w:val="21"/>
                <w:szCs w:val="21"/>
                <w:highlight w:val="none"/>
              </w:rPr>
              <w:t>42</w:t>
            </w:r>
          </w:p>
        </w:tc>
        <w:tc>
          <w:tcPr>
            <w:tcW w:w="2500" w:type="dxa"/>
            <w:vAlign w:val="center"/>
          </w:tcPr>
          <w:p w14:paraId="62B049FC">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一般危险，需要注意</w:t>
            </w:r>
          </w:p>
        </w:tc>
      </w:tr>
      <w:tr w14:paraId="72460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7" w:type="dxa"/>
            <w:vAlign w:val="center"/>
          </w:tcPr>
          <w:p w14:paraId="116004C0">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机械维修作业</w:t>
            </w:r>
          </w:p>
        </w:tc>
        <w:tc>
          <w:tcPr>
            <w:tcW w:w="1914" w:type="dxa"/>
            <w:vAlign w:val="center"/>
          </w:tcPr>
          <w:p w14:paraId="12C0A78F">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灼烫</w:t>
            </w:r>
          </w:p>
        </w:tc>
        <w:tc>
          <w:tcPr>
            <w:tcW w:w="715" w:type="dxa"/>
            <w:vAlign w:val="center"/>
          </w:tcPr>
          <w:p w14:paraId="623413C3">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1</w:t>
            </w:r>
          </w:p>
        </w:tc>
        <w:tc>
          <w:tcPr>
            <w:tcW w:w="715" w:type="dxa"/>
            <w:vAlign w:val="center"/>
          </w:tcPr>
          <w:p w14:paraId="7C03CC5E">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3</w:t>
            </w:r>
          </w:p>
        </w:tc>
        <w:tc>
          <w:tcPr>
            <w:tcW w:w="715" w:type="dxa"/>
            <w:vAlign w:val="center"/>
          </w:tcPr>
          <w:p w14:paraId="392E2F96">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3</w:t>
            </w:r>
          </w:p>
        </w:tc>
        <w:tc>
          <w:tcPr>
            <w:tcW w:w="715" w:type="dxa"/>
            <w:vAlign w:val="center"/>
          </w:tcPr>
          <w:p w14:paraId="1BE370A3">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9</w:t>
            </w:r>
          </w:p>
        </w:tc>
        <w:tc>
          <w:tcPr>
            <w:tcW w:w="2500" w:type="dxa"/>
            <w:vAlign w:val="center"/>
          </w:tcPr>
          <w:p w14:paraId="373CFAD6">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稍有危险，可以接受</w:t>
            </w:r>
          </w:p>
        </w:tc>
      </w:tr>
      <w:tr w14:paraId="0F8FB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7" w:type="dxa"/>
            <w:vAlign w:val="center"/>
          </w:tcPr>
          <w:p w14:paraId="2B53D953">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电气维修作业</w:t>
            </w:r>
          </w:p>
        </w:tc>
        <w:tc>
          <w:tcPr>
            <w:tcW w:w="1914" w:type="dxa"/>
            <w:vAlign w:val="center"/>
          </w:tcPr>
          <w:p w14:paraId="6807DFC8">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触电</w:t>
            </w:r>
          </w:p>
        </w:tc>
        <w:tc>
          <w:tcPr>
            <w:tcW w:w="715" w:type="dxa"/>
            <w:vAlign w:val="center"/>
          </w:tcPr>
          <w:p w14:paraId="7CDAE843">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1</w:t>
            </w:r>
          </w:p>
        </w:tc>
        <w:tc>
          <w:tcPr>
            <w:tcW w:w="715" w:type="dxa"/>
            <w:vAlign w:val="center"/>
          </w:tcPr>
          <w:p w14:paraId="59286CF5">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3</w:t>
            </w:r>
          </w:p>
        </w:tc>
        <w:tc>
          <w:tcPr>
            <w:tcW w:w="715" w:type="dxa"/>
            <w:vAlign w:val="center"/>
          </w:tcPr>
          <w:p w14:paraId="1F1EF699">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7</w:t>
            </w:r>
          </w:p>
        </w:tc>
        <w:tc>
          <w:tcPr>
            <w:tcW w:w="715" w:type="dxa"/>
            <w:vAlign w:val="center"/>
          </w:tcPr>
          <w:p w14:paraId="0F0440E4">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21</w:t>
            </w:r>
          </w:p>
        </w:tc>
        <w:tc>
          <w:tcPr>
            <w:tcW w:w="2500" w:type="dxa"/>
            <w:vAlign w:val="center"/>
          </w:tcPr>
          <w:p w14:paraId="66FC6A79">
            <w:pPr>
              <w:keepNext w:val="0"/>
              <w:keepLines w:val="0"/>
              <w:pageBreakBefore w:val="0"/>
              <w:widowControl w:val="0"/>
              <w:kinsoku/>
              <w:wordWrap/>
              <w:topLinePunct w:val="0"/>
              <w:bidi w:val="0"/>
              <w:adjustRightInd w:val="0"/>
              <w:snapToGrid w:val="0"/>
              <w:spacing w:line="240" w:lineRule="auto"/>
              <w:jc w:val="center"/>
              <w:rPr>
                <w:color w:val="000000" w:themeColor="text1"/>
                <w:sz w:val="21"/>
                <w:szCs w:val="21"/>
                <w:highlight w:val="none"/>
              </w:rPr>
            </w:pPr>
            <w:r>
              <w:rPr>
                <w:rFonts w:hint="eastAsia"/>
                <w:color w:val="000000" w:themeColor="text1"/>
                <w:sz w:val="21"/>
                <w:szCs w:val="21"/>
                <w:highlight w:val="none"/>
              </w:rPr>
              <w:t>一般危险，需要注意</w:t>
            </w:r>
          </w:p>
        </w:tc>
      </w:tr>
    </w:tbl>
    <w:p w14:paraId="6F55D62F">
      <w:pPr>
        <w:pStyle w:val="4"/>
        <w:keepNext w:val="0"/>
        <w:keepLines w:val="0"/>
        <w:pageBreakBefore w:val="0"/>
        <w:widowControl w:val="0"/>
        <w:kinsoku/>
        <w:wordWrap/>
        <w:topLinePunct w:val="0"/>
        <w:bidi w:val="0"/>
        <w:adjustRightInd w:val="0"/>
        <w:snapToGrid w:val="0"/>
        <w:spacing w:line="500" w:lineRule="exact"/>
        <w:ind w:firstLine="561"/>
        <w:rPr>
          <w:color w:val="000000" w:themeColor="text1"/>
          <w:sz w:val="28"/>
          <w:highlight w:val="none"/>
        </w:rPr>
      </w:pPr>
      <w:r>
        <w:rPr>
          <w:rFonts w:hint="eastAsia"/>
          <w:color w:val="000000" w:themeColor="text1"/>
          <w:sz w:val="28"/>
          <w:highlight w:val="none"/>
        </w:rPr>
        <w:t>评价小结：从作业条件危险性评价表可见：华美线业</w:t>
      </w:r>
      <w:r>
        <w:rPr>
          <w:color w:val="000000" w:themeColor="text1"/>
          <w:sz w:val="28"/>
          <w:highlight w:val="none"/>
        </w:rPr>
        <w:t>危险化学品人工倒入作业</w:t>
      </w:r>
      <w:r>
        <w:rPr>
          <w:rFonts w:hint="eastAsia"/>
          <w:color w:val="000000" w:themeColor="text1"/>
          <w:sz w:val="28"/>
          <w:highlight w:val="none"/>
        </w:rPr>
        <w:t>、</w:t>
      </w:r>
      <w:r>
        <w:rPr>
          <w:color w:val="000000" w:themeColor="text1"/>
          <w:sz w:val="28"/>
          <w:highlight w:val="none"/>
        </w:rPr>
        <w:t>危险化学品储存装卸</w:t>
      </w:r>
      <w:r>
        <w:rPr>
          <w:rFonts w:hint="eastAsia"/>
          <w:color w:val="000000" w:themeColor="text1"/>
          <w:sz w:val="28"/>
          <w:highlight w:val="none"/>
        </w:rPr>
        <w:t>作业和</w:t>
      </w:r>
      <w:r>
        <w:rPr>
          <w:color w:val="000000" w:themeColor="text1"/>
          <w:sz w:val="28"/>
          <w:highlight w:val="none"/>
        </w:rPr>
        <w:t>电气维修作业</w:t>
      </w:r>
      <w:r>
        <w:rPr>
          <w:rFonts w:hint="eastAsia"/>
          <w:color w:val="000000" w:themeColor="text1"/>
          <w:sz w:val="28"/>
          <w:highlight w:val="none"/>
        </w:rPr>
        <w:t>的风险值D在20～7</w:t>
      </w:r>
      <w:r>
        <w:rPr>
          <w:color w:val="000000" w:themeColor="text1"/>
          <w:sz w:val="28"/>
          <w:highlight w:val="none"/>
        </w:rPr>
        <w:t>0</w:t>
      </w:r>
      <w:r>
        <w:rPr>
          <w:rFonts w:hint="eastAsia"/>
          <w:color w:val="000000" w:themeColor="text1"/>
          <w:sz w:val="28"/>
          <w:highlight w:val="none"/>
        </w:rPr>
        <w:t>之间，属“一般危险”，需要注意加强日常安全生产管理，杜绝“三违”现象，确保安全生产；机械维修作业的风险值D小于20，属“稍有危险”，可以接受。</w:t>
      </w:r>
    </w:p>
    <w:p w14:paraId="361ECA10">
      <w:pPr>
        <w:keepNext w:val="0"/>
        <w:keepLines w:val="0"/>
        <w:pageBreakBefore w:val="0"/>
        <w:widowControl w:val="0"/>
        <w:kinsoku/>
        <w:wordWrap/>
        <w:topLinePunct w:val="0"/>
        <w:bidi w:val="0"/>
        <w:adjustRightInd w:val="0"/>
        <w:snapToGrid w:val="0"/>
        <w:spacing w:line="500" w:lineRule="exact"/>
        <w:ind w:firstLine="560" w:firstLineChars="200"/>
        <w:rPr>
          <w:color w:val="000000" w:themeColor="text1"/>
          <w:sz w:val="28"/>
          <w:szCs w:val="28"/>
          <w:highlight w:val="none"/>
        </w:rPr>
        <w:sectPr>
          <w:footerReference r:id="rId24" w:type="default"/>
          <w:pgSz w:w="11907" w:h="16840"/>
          <w:pgMar w:top="1417" w:right="1134" w:bottom="1134" w:left="1587" w:header="794" w:footer="794" w:gutter="0"/>
          <w:pgBorders>
            <w:top w:val="none" w:sz="0" w:space="0"/>
            <w:left w:val="none" w:sz="0" w:space="0"/>
            <w:bottom w:val="none" w:sz="0" w:space="0"/>
            <w:right w:val="none" w:sz="0" w:space="0"/>
          </w:pgBorders>
          <w:cols w:space="720" w:num="1"/>
          <w:docGrid w:linePitch="435" w:charSpace="2662"/>
        </w:sectPr>
      </w:pPr>
      <w:bookmarkStart w:id="929" w:name="_Toc449456827"/>
      <w:bookmarkStart w:id="930" w:name="_Toc234394529"/>
      <w:bookmarkStart w:id="931" w:name="_Toc449456918"/>
      <w:bookmarkStart w:id="932" w:name="_Toc198457589"/>
      <w:bookmarkStart w:id="933" w:name="_Toc190762590"/>
      <w:bookmarkStart w:id="934" w:name="_Toc198521517"/>
    </w:p>
    <w:p w14:paraId="61DE1347">
      <w:pPr>
        <w:pStyle w:val="5"/>
        <w:keepNext w:val="0"/>
        <w:keepLines w:val="0"/>
        <w:pageBreakBefore w:val="0"/>
        <w:widowControl w:val="0"/>
        <w:kinsoku/>
        <w:wordWrap/>
        <w:topLinePunct w:val="0"/>
        <w:bidi w:val="0"/>
        <w:adjustRightInd w:val="0"/>
        <w:snapToGrid w:val="0"/>
        <w:spacing w:before="240" w:after="240"/>
        <w:rPr>
          <w:rFonts w:hint="eastAsia" w:eastAsia="黑体"/>
          <w:color w:val="000000" w:themeColor="text1"/>
          <w:kern w:val="0"/>
          <w:highlight w:val="none"/>
          <w:lang w:eastAsia="zh-CN"/>
        </w:rPr>
      </w:pPr>
      <w:bookmarkStart w:id="935" w:name="_Toc6039"/>
      <w:bookmarkStart w:id="936" w:name="_Toc2925"/>
      <w:bookmarkStart w:id="937" w:name="_Toc9393"/>
      <w:bookmarkStart w:id="938" w:name="_Toc6139"/>
      <w:bookmarkStart w:id="939" w:name="_Toc20702"/>
      <w:bookmarkStart w:id="940" w:name="_Toc24020"/>
      <w:r>
        <w:rPr>
          <w:rFonts w:hint="eastAsia"/>
          <w:color w:val="000000" w:themeColor="text1"/>
          <w:kern w:val="0"/>
          <w:highlight w:val="none"/>
        </w:rPr>
        <w:t xml:space="preserve">6  </w:t>
      </w:r>
      <w:bookmarkEnd w:id="929"/>
      <w:bookmarkEnd w:id="930"/>
      <w:bookmarkEnd w:id="931"/>
      <w:bookmarkEnd w:id="932"/>
      <w:bookmarkEnd w:id="933"/>
      <w:bookmarkEnd w:id="934"/>
      <w:r>
        <w:rPr>
          <w:rFonts w:hint="eastAsia"/>
          <w:color w:val="000000" w:themeColor="text1"/>
          <w:kern w:val="0"/>
          <w:highlight w:val="none"/>
        </w:rPr>
        <w:t>安全对策措施</w:t>
      </w:r>
      <w:r>
        <w:rPr>
          <w:rFonts w:hint="eastAsia"/>
          <w:color w:val="000000" w:themeColor="text1"/>
          <w:kern w:val="0"/>
          <w:highlight w:val="none"/>
          <w:lang w:eastAsia="zh-CN"/>
        </w:rPr>
        <w:t>与建议</w:t>
      </w:r>
      <w:bookmarkEnd w:id="935"/>
      <w:bookmarkEnd w:id="936"/>
      <w:bookmarkEnd w:id="937"/>
      <w:bookmarkEnd w:id="938"/>
      <w:bookmarkEnd w:id="939"/>
      <w:bookmarkEnd w:id="940"/>
    </w:p>
    <w:p w14:paraId="41082D8B">
      <w:pPr>
        <w:pStyle w:val="6"/>
        <w:keepNext w:val="0"/>
        <w:keepLines w:val="0"/>
        <w:pageBreakBefore w:val="0"/>
        <w:widowControl w:val="0"/>
        <w:kinsoku/>
        <w:wordWrap/>
        <w:topLinePunct w:val="0"/>
        <w:bidi w:val="0"/>
        <w:spacing w:beforeLines="0" w:afterLines="0"/>
        <w:rPr>
          <w:rFonts w:hint="eastAsia" w:eastAsia="黑体"/>
          <w:color w:val="000000" w:themeColor="text1"/>
          <w:szCs w:val="28"/>
          <w:highlight w:val="none"/>
          <w:lang w:eastAsia="zh-CN"/>
        </w:rPr>
      </w:pPr>
      <w:bookmarkStart w:id="941" w:name="_Toc449456828"/>
      <w:bookmarkStart w:id="942" w:name="_Toc234394530"/>
      <w:bookmarkStart w:id="943" w:name="_Toc190762591"/>
      <w:bookmarkStart w:id="944" w:name="_Toc198457590"/>
      <w:bookmarkStart w:id="945" w:name="_Toc449456919"/>
      <w:bookmarkStart w:id="946" w:name="_Toc198521518"/>
      <w:bookmarkStart w:id="947" w:name="_Toc25129"/>
      <w:bookmarkStart w:id="948" w:name="_Toc11607"/>
      <w:bookmarkStart w:id="949" w:name="_Toc5298"/>
      <w:bookmarkStart w:id="950" w:name="_Toc11785"/>
      <w:bookmarkStart w:id="951" w:name="_Toc9472"/>
      <w:bookmarkStart w:id="952" w:name="_Toc17370"/>
      <w:r>
        <w:rPr>
          <w:rFonts w:hint="eastAsia"/>
          <w:color w:val="000000" w:themeColor="text1"/>
          <w:szCs w:val="28"/>
          <w:highlight w:val="none"/>
        </w:rPr>
        <w:t>6.</w:t>
      </w:r>
      <w:bookmarkEnd w:id="941"/>
      <w:bookmarkEnd w:id="942"/>
      <w:bookmarkEnd w:id="943"/>
      <w:bookmarkEnd w:id="944"/>
      <w:bookmarkEnd w:id="945"/>
      <w:bookmarkEnd w:id="946"/>
      <w:r>
        <w:rPr>
          <w:color w:val="000000" w:themeColor="text1"/>
          <w:szCs w:val="28"/>
          <w:highlight w:val="none"/>
        </w:rPr>
        <w:t>1</w:t>
      </w:r>
      <w:r>
        <w:rPr>
          <w:rFonts w:hint="eastAsia"/>
          <w:color w:val="000000" w:themeColor="text1"/>
          <w:szCs w:val="28"/>
          <w:highlight w:val="none"/>
        </w:rPr>
        <w:t>存在问题及整改</w:t>
      </w:r>
      <w:bookmarkEnd w:id="947"/>
      <w:bookmarkEnd w:id="948"/>
      <w:bookmarkEnd w:id="949"/>
      <w:r>
        <w:rPr>
          <w:rFonts w:hint="eastAsia"/>
          <w:color w:val="000000" w:themeColor="text1"/>
          <w:szCs w:val="28"/>
          <w:highlight w:val="none"/>
          <w:lang w:eastAsia="zh-CN"/>
        </w:rPr>
        <w:t>落实情况</w:t>
      </w:r>
      <w:bookmarkEnd w:id="950"/>
      <w:bookmarkEnd w:id="951"/>
      <w:bookmarkEnd w:id="952"/>
    </w:p>
    <w:p w14:paraId="44413458">
      <w:pPr>
        <w:widowControl w:val="0"/>
        <w:adjustRightInd w:val="0"/>
        <w:snapToGrid w:val="0"/>
        <w:spacing w:line="360" w:lineRule="auto"/>
        <w:ind w:firstLine="560" w:firstLineChars="200"/>
        <w:rPr>
          <w:rFonts w:ascii="Times New Roman" w:hAnsi="Times New Roman" w:cs="Times New Roman"/>
          <w:color w:val="000000" w:themeColor="text1"/>
          <w:sz w:val="28"/>
          <w:szCs w:val="28"/>
          <w:highlight w:val="none"/>
        </w:rPr>
      </w:pPr>
      <w:r>
        <w:rPr>
          <w:rFonts w:hint="eastAsia" w:ascii="Times New Roman" w:hAnsi="Times New Roman" w:cs="Times New Roman"/>
          <w:color w:val="000000" w:themeColor="text1"/>
          <w:sz w:val="28"/>
          <w:szCs w:val="28"/>
          <w:highlight w:val="none"/>
        </w:rPr>
        <w:t>通过对</w:t>
      </w:r>
      <w:r>
        <w:rPr>
          <w:color w:val="000000" w:themeColor="text1"/>
          <w:sz w:val="28"/>
          <w:szCs w:val="28"/>
          <w:highlight w:val="none"/>
        </w:rPr>
        <w:t>华美线业</w:t>
      </w:r>
      <w:r>
        <w:rPr>
          <w:rFonts w:hint="eastAsia" w:ascii="宋体" w:hAnsi="宋体" w:eastAsia="宋体" w:cs="宋体"/>
          <w:bCs/>
          <w:color w:val="000000" w:themeColor="text1"/>
          <w:kern w:val="0"/>
          <w:sz w:val="28"/>
          <w:szCs w:val="28"/>
          <w:highlight w:val="none"/>
          <w:lang w:eastAsia="zh-CN"/>
        </w:rPr>
        <w:t>储存使用</w:t>
      </w:r>
      <w:r>
        <w:rPr>
          <w:rFonts w:hint="eastAsia" w:ascii="Times New Roman" w:hAnsi="Times New Roman" w:cs="Times New Roman"/>
          <w:color w:val="000000" w:themeColor="text1"/>
          <w:sz w:val="28"/>
          <w:szCs w:val="28"/>
          <w:highlight w:val="none"/>
          <w:lang w:eastAsia="zh-CN"/>
        </w:rPr>
        <w:t>危化品</w:t>
      </w:r>
      <w:r>
        <w:rPr>
          <w:rFonts w:hint="eastAsia" w:ascii="Times New Roman" w:hAnsi="Times New Roman" w:cs="Times New Roman"/>
          <w:color w:val="000000" w:themeColor="text1"/>
          <w:sz w:val="28"/>
          <w:szCs w:val="28"/>
          <w:highlight w:val="none"/>
        </w:rPr>
        <w:t>现场检查及分析，评价组汇总了</w:t>
      </w:r>
      <w:r>
        <w:rPr>
          <w:rFonts w:hint="eastAsia" w:ascii="Times New Roman" w:hAnsi="Times New Roman" w:cs="Times New Roman"/>
          <w:color w:val="000000" w:themeColor="text1"/>
          <w:sz w:val="28"/>
          <w:szCs w:val="28"/>
          <w:highlight w:val="none"/>
          <w:lang w:eastAsia="zh-CN"/>
        </w:rPr>
        <w:t>危化品</w:t>
      </w:r>
      <w:r>
        <w:rPr>
          <w:rFonts w:hint="eastAsia" w:ascii="宋体" w:hAnsi="宋体" w:eastAsia="宋体" w:cs="宋体"/>
          <w:bCs/>
          <w:color w:val="000000" w:themeColor="text1"/>
          <w:kern w:val="0"/>
          <w:sz w:val="28"/>
          <w:szCs w:val="28"/>
          <w:highlight w:val="none"/>
          <w:lang w:eastAsia="zh-CN"/>
        </w:rPr>
        <w:t>储存使用</w:t>
      </w:r>
      <w:r>
        <w:rPr>
          <w:rFonts w:hint="eastAsia" w:ascii="Times New Roman" w:hAnsi="Times New Roman" w:cs="Times New Roman"/>
          <w:color w:val="000000" w:themeColor="text1"/>
          <w:sz w:val="28"/>
          <w:szCs w:val="28"/>
          <w:highlight w:val="none"/>
        </w:rPr>
        <w:t>存在的问题，对存在的问题提出了整改</w:t>
      </w:r>
      <w:r>
        <w:rPr>
          <w:rFonts w:hint="eastAsia" w:ascii="Times New Roman" w:hAnsi="Times New Roman" w:cs="Times New Roman"/>
          <w:color w:val="000000" w:themeColor="text1"/>
          <w:sz w:val="28"/>
          <w:szCs w:val="28"/>
          <w:highlight w:val="none"/>
          <w:lang w:eastAsia="zh-CN"/>
        </w:rPr>
        <w:t>措施</w:t>
      </w:r>
      <w:r>
        <w:rPr>
          <w:rFonts w:hint="eastAsia" w:ascii="Times New Roman" w:hAnsi="Times New Roman" w:cs="Times New Roman"/>
          <w:color w:val="000000" w:themeColor="text1"/>
          <w:sz w:val="28"/>
          <w:szCs w:val="28"/>
          <w:highlight w:val="none"/>
        </w:rPr>
        <w:t>，</w:t>
      </w:r>
      <w:r>
        <w:rPr>
          <w:color w:val="000000" w:themeColor="text1"/>
          <w:sz w:val="28"/>
          <w:szCs w:val="28"/>
          <w:highlight w:val="none"/>
        </w:rPr>
        <w:t>华美线业</w:t>
      </w:r>
      <w:r>
        <w:rPr>
          <w:rFonts w:hint="eastAsia" w:cs="宋体"/>
          <w:color w:val="000000" w:themeColor="text1"/>
          <w:sz w:val="28"/>
          <w:szCs w:val="28"/>
          <w:highlight w:val="none"/>
          <w:lang w:eastAsia="zh-CN"/>
        </w:rPr>
        <w:t>已</w:t>
      </w:r>
      <w:r>
        <w:rPr>
          <w:rFonts w:hint="eastAsia" w:ascii="宋体" w:hAnsi="宋体" w:cs="宋体"/>
          <w:color w:val="000000" w:themeColor="text1"/>
          <w:sz w:val="28"/>
          <w:szCs w:val="28"/>
          <w:highlight w:val="none"/>
          <w:lang w:eastAsia="zh-CN"/>
        </w:rPr>
        <w:t>完成</w:t>
      </w:r>
      <w:r>
        <w:rPr>
          <w:rFonts w:hint="eastAsia"/>
          <w:color w:val="000000" w:themeColor="text1"/>
          <w:sz w:val="28"/>
          <w:szCs w:val="28"/>
          <w:highlight w:val="none"/>
        </w:rPr>
        <w:t>7项问题的</w:t>
      </w:r>
      <w:r>
        <w:rPr>
          <w:rFonts w:hint="eastAsia" w:ascii="宋体" w:hAnsi="宋体" w:cs="宋体"/>
          <w:color w:val="000000" w:themeColor="text1"/>
          <w:sz w:val="28"/>
          <w:szCs w:val="28"/>
          <w:highlight w:val="none"/>
          <w:lang w:eastAsia="zh-CN"/>
        </w:rPr>
        <w:t>整改，</w:t>
      </w:r>
      <w:r>
        <w:rPr>
          <w:rFonts w:hint="eastAsia" w:ascii="Times New Roman" w:hAnsi="Times New Roman" w:cs="Times New Roman"/>
          <w:color w:val="000000" w:themeColor="text1"/>
          <w:sz w:val="28"/>
          <w:szCs w:val="28"/>
          <w:highlight w:val="none"/>
        </w:rPr>
        <w:t>具体见</w:t>
      </w:r>
      <w:r>
        <w:rPr>
          <w:rFonts w:hint="eastAsia" w:ascii="Times New Roman" w:hAnsi="Times New Roman" w:cs="Times New Roman"/>
          <w:color w:val="000000" w:themeColor="text1"/>
          <w:sz w:val="28"/>
          <w:szCs w:val="28"/>
          <w:highlight w:val="none"/>
          <w:lang w:eastAsia="zh-CN"/>
        </w:rPr>
        <w:t>下表</w:t>
      </w:r>
      <w:r>
        <w:rPr>
          <w:rFonts w:hint="eastAsia" w:ascii="Times New Roman" w:hAnsi="Times New Roman" w:cs="Times New Roman"/>
          <w:color w:val="000000" w:themeColor="text1"/>
          <w:sz w:val="28"/>
          <w:szCs w:val="28"/>
          <w:highlight w:val="none"/>
        </w:rPr>
        <w:t>。</w:t>
      </w:r>
    </w:p>
    <w:p w14:paraId="72CBD374">
      <w:pPr>
        <w:widowControl w:val="0"/>
        <w:adjustRightInd w:val="0"/>
        <w:snapToGrid w:val="0"/>
        <w:spacing w:line="360" w:lineRule="auto"/>
        <w:jc w:val="center"/>
        <w:rPr>
          <w:rFonts w:hint="eastAsia" w:ascii="黑体" w:hAnsi="黑体" w:eastAsia="黑体"/>
          <w:b/>
          <w:color w:val="000000" w:themeColor="text1"/>
          <w:sz w:val="24"/>
          <w:szCs w:val="24"/>
          <w:highlight w:val="none"/>
        </w:rPr>
      </w:pPr>
      <w:r>
        <w:rPr>
          <w:rFonts w:hint="eastAsia" w:ascii="黑体" w:hAnsi="黑体" w:eastAsia="黑体"/>
          <w:b/>
          <w:color w:val="000000" w:themeColor="text1"/>
          <w:sz w:val="24"/>
          <w:szCs w:val="24"/>
          <w:highlight w:val="none"/>
        </w:rPr>
        <w:t>表</w:t>
      </w:r>
      <w:r>
        <w:rPr>
          <w:rFonts w:ascii="黑体" w:hAnsi="黑体" w:eastAsia="黑体"/>
          <w:b/>
          <w:color w:val="000000" w:themeColor="text1"/>
          <w:sz w:val="24"/>
          <w:szCs w:val="24"/>
          <w:highlight w:val="none"/>
        </w:rPr>
        <w:t>6.1</w:t>
      </w:r>
      <w:r>
        <w:rPr>
          <w:rFonts w:hint="eastAsia" w:ascii="黑体" w:hAnsi="黑体" w:eastAsia="黑体"/>
          <w:b/>
          <w:color w:val="000000" w:themeColor="text1"/>
          <w:sz w:val="24"/>
          <w:szCs w:val="24"/>
          <w:highlight w:val="none"/>
          <w:lang w:val="en-US" w:eastAsia="zh-CN"/>
        </w:rPr>
        <w:t>-1</w:t>
      </w:r>
      <w:r>
        <w:rPr>
          <w:rFonts w:ascii="黑体" w:hAnsi="黑体" w:eastAsia="黑体"/>
          <w:b/>
          <w:color w:val="000000" w:themeColor="text1"/>
          <w:sz w:val="24"/>
          <w:szCs w:val="24"/>
          <w:highlight w:val="none"/>
        </w:rPr>
        <w:t xml:space="preserve"> </w:t>
      </w:r>
      <w:r>
        <w:rPr>
          <w:rFonts w:hint="eastAsia" w:ascii="黑体" w:hAnsi="黑体" w:eastAsia="黑体"/>
          <w:b/>
          <w:color w:val="000000" w:themeColor="text1"/>
          <w:sz w:val="24"/>
          <w:szCs w:val="24"/>
          <w:highlight w:val="none"/>
        </w:rPr>
        <w:t>存在的问题和整改</w:t>
      </w:r>
      <w:r>
        <w:rPr>
          <w:rFonts w:hint="eastAsia" w:ascii="黑体" w:hAnsi="黑体" w:eastAsia="黑体"/>
          <w:b/>
          <w:color w:val="000000" w:themeColor="text1"/>
          <w:sz w:val="24"/>
          <w:szCs w:val="24"/>
          <w:highlight w:val="none"/>
          <w:lang w:eastAsia="zh-CN"/>
        </w:rPr>
        <w:t>落实情况</w:t>
      </w:r>
      <w:r>
        <w:rPr>
          <w:rFonts w:hint="eastAsia" w:ascii="黑体" w:hAnsi="黑体" w:eastAsia="黑体"/>
          <w:b/>
          <w:color w:val="000000" w:themeColor="text1"/>
          <w:sz w:val="24"/>
          <w:szCs w:val="24"/>
          <w:highlight w:val="none"/>
        </w:rPr>
        <w:t>一览表</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2659"/>
        <w:gridCol w:w="1521"/>
        <w:gridCol w:w="2290"/>
        <w:gridCol w:w="2290"/>
      </w:tblGrid>
      <w:tr w14:paraId="089D3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64" w:type="pct"/>
            <w:tcBorders>
              <w:tl2br w:val="nil"/>
              <w:tr2bl w:val="nil"/>
            </w:tcBorders>
            <w:shd w:val="clear" w:color="000000" w:fill="FFFFFF"/>
            <w:noWrap/>
            <w:vAlign w:val="center"/>
          </w:tcPr>
          <w:p w14:paraId="3E661D53">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序号</w:t>
            </w:r>
          </w:p>
        </w:tc>
        <w:tc>
          <w:tcPr>
            <w:tcW w:w="1433" w:type="pct"/>
            <w:tcBorders>
              <w:tl2br w:val="nil"/>
              <w:tr2bl w:val="nil"/>
            </w:tcBorders>
            <w:shd w:val="clear" w:color="000000" w:fill="FFFFFF"/>
            <w:noWrap/>
            <w:vAlign w:val="center"/>
          </w:tcPr>
          <w:p w14:paraId="2404E665">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000000" w:themeColor="text1"/>
                <w:kern w:val="0"/>
                <w:sz w:val="21"/>
                <w:szCs w:val="21"/>
                <w:highlight w:val="none"/>
              </w:rPr>
            </w:pPr>
            <w:r>
              <w:rPr>
                <w:rFonts w:hint="eastAsia" w:ascii="宋体" w:hAnsi="宋体" w:eastAsia="宋体" w:cs="宋体"/>
                <w:b/>
                <w:bCs/>
                <w:color w:val="000000" w:themeColor="text1"/>
                <w:kern w:val="0"/>
                <w:sz w:val="21"/>
                <w:szCs w:val="21"/>
                <w:highlight w:val="none"/>
              </w:rPr>
              <w:t>存在问题</w:t>
            </w:r>
          </w:p>
        </w:tc>
        <w:tc>
          <w:tcPr>
            <w:tcW w:w="828" w:type="pct"/>
            <w:tcBorders>
              <w:tl2br w:val="nil"/>
              <w:tr2bl w:val="nil"/>
            </w:tcBorders>
            <w:shd w:val="clear" w:color="000000" w:fill="FFFFFF"/>
            <w:noWrap/>
            <w:vAlign w:val="center"/>
          </w:tcPr>
          <w:p w14:paraId="582BD79F">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000000" w:themeColor="text1"/>
                <w:kern w:val="0"/>
                <w:sz w:val="21"/>
                <w:szCs w:val="21"/>
                <w:highlight w:val="none"/>
                <w:lang w:eastAsia="zh-CN"/>
              </w:rPr>
            </w:pPr>
            <w:r>
              <w:rPr>
                <w:rFonts w:hint="eastAsia" w:ascii="宋体" w:hAnsi="宋体" w:eastAsia="宋体" w:cs="宋体"/>
                <w:b/>
                <w:bCs/>
                <w:color w:val="000000" w:themeColor="text1"/>
                <w:kern w:val="0"/>
                <w:sz w:val="21"/>
                <w:szCs w:val="21"/>
                <w:highlight w:val="none"/>
                <w:lang w:eastAsia="zh-CN"/>
              </w:rPr>
              <w:t>依据</w:t>
            </w:r>
          </w:p>
        </w:tc>
        <w:tc>
          <w:tcPr>
            <w:tcW w:w="1236" w:type="pct"/>
            <w:tcBorders>
              <w:tl2br w:val="nil"/>
              <w:tr2bl w:val="nil"/>
            </w:tcBorders>
            <w:shd w:val="clear" w:color="000000" w:fill="FFFFFF"/>
            <w:noWrap/>
            <w:vAlign w:val="center"/>
          </w:tcPr>
          <w:p w14:paraId="553C1EF6">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000000" w:themeColor="text1"/>
                <w:kern w:val="0"/>
                <w:sz w:val="21"/>
                <w:szCs w:val="21"/>
                <w:highlight w:val="none"/>
                <w:lang w:eastAsia="zh-CN"/>
              </w:rPr>
            </w:pPr>
            <w:r>
              <w:rPr>
                <w:rFonts w:hint="eastAsia" w:ascii="宋体" w:hAnsi="宋体" w:eastAsia="宋体" w:cs="宋体"/>
                <w:b/>
                <w:bCs/>
                <w:color w:val="000000" w:themeColor="text1"/>
                <w:kern w:val="0"/>
                <w:sz w:val="21"/>
                <w:szCs w:val="21"/>
                <w:highlight w:val="none"/>
              </w:rPr>
              <w:t>整改</w:t>
            </w:r>
            <w:r>
              <w:rPr>
                <w:rFonts w:hint="eastAsia" w:cs="宋体"/>
                <w:b/>
                <w:bCs/>
                <w:color w:val="000000" w:themeColor="text1"/>
                <w:kern w:val="0"/>
                <w:sz w:val="21"/>
                <w:szCs w:val="21"/>
                <w:highlight w:val="none"/>
                <w:lang w:eastAsia="zh-CN"/>
              </w:rPr>
              <w:t>建议</w:t>
            </w:r>
          </w:p>
        </w:tc>
        <w:tc>
          <w:tcPr>
            <w:tcW w:w="1236" w:type="pct"/>
            <w:tcBorders>
              <w:tl2br w:val="nil"/>
              <w:tr2bl w:val="nil"/>
            </w:tcBorders>
            <w:shd w:val="clear" w:color="000000" w:fill="FFFFFF"/>
            <w:noWrap/>
            <w:vAlign w:val="center"/>
          </w:tcPr>
          <w:p w14:paraId="5B95A063">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000000" w:themeColor="text1"/>
                <w:kern w:val="0"/>
                <w:sz w:val="21"/>
                <w:szCs w:val="21"/>
                <w:highlight w:val="none"/>
                <w:lang w:eastAsia="zh-CN"/>
              </w:rPr>
            </w:pPr>
            <w:r>
              <w:rPr>
                <w:rFonts w:hint="eastAsia" w:cs="宋体"/>
                <w:b/>
                <w:bCs/>
                <w:color w:val="000000" w:themeColor="text1"/>
                <w:kern w:val="0"/>
                <w:sz w:val="21"/>
                <w:szCs w:val="21"/>
                <w:highlight w:val="none"/>
                <w:lang w:eastAsia="zh-CN"/>
              </w:rPr>
              <w:t>整改落实情况</w:t>
            </w:r>
          </w:p>
        </w:tc>
      </w:tr>
      <w:tr w14:paraId="29234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4" w:type="pct"/>
            <w:tcBorders>
              <w:tl2br w:val="nil"/>
              <w:tr2bl w:val="nil"/>
            </w:tcBorders>
            <w:shd w:val="clear" w:color="auto" w:fill="auto"/>
            <w:noWrap/>
            <w:vAlign w:val="center"/>
          </w:tcPr>
          <w:p w14:paraId="1BE2057F">
            <w:pPr>
              <w:keepNext w:val="0"/>
              <w:keepLines w:val="0"/>
              <w:pageBreakBefore w:val="0"/>
              <w:widowControl w:val="0"/>
              <w:numPr>
                <w:ilvl w:val="0"/>
                <w:numId w:val="7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p>
        </w:tc>
        <w:tc>
          <w:tcPr>
            <w:tcW w:w="1433" w:type="pct"/>
            <w:tcBorders>
              <w:tl2br w:val="nil"/>
              <w:tr2bl w:val="nil"/>
            </w:tcBorders>
            <w:shd w:val="clear" w:color="auto" w:fill="auto"/>
            <w:vAlign w:val="center"/>
          </w:tcPr>
          <w:p w14:paraId="7FB27E7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eastAsia" w:ascii="宋体" w:hAnsi="宋体" w:eastAsia="宋体" w:cs="宋体"/>
                <w:color w:val="000000" w:themeColor="text1"/>
                <w:kern w:val="0"/>
                <w:sz w:val="21"/>
                <w:szCs w:val="21"/>
                <w:highlight w:val="none"/>
              </w:rPr>
            </w:pPr>
            <w:r>
              <w:rPr>
                <w:rFonts w:hint="eastAsia"/>
                <w:color w:val="000000" w:themeColor="text1"/>
                <w:sz w:val="21"/>
                <w:szCs w:val="21"/>
                <w:highlight w:val="none"/>
              </w:rPr>
              <w:t>漂染车间（丙类厂房）内设置了办公室，隔墙上门未采用乙级防火门（为自动玻璃门）。</w:t>
            </w:r>
          </w:p>
        </w:tc>
        <w:tc>
          <w:tcPr>
            <w:tcW w:w="828" w:type="pct"/>
            <w:tcBorders>
              <w:tl2br w:val="nil"/>
              <w:tr2bl w:val="nil"/>
            </w:tcBorders>
            <w:shd w:val="clear" w:color="auto" w:fill="auto"/>
            <w:vAlign w:val="center"/>
          </w:tcPr>
          <w:p w14:paraId="0D77853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r>
              <w:rPr>
                <w:rFonts w:hint="eastAsia"/>
                <w:color w:val="000000" w:themeColor="text1"/>
                <w:sz w:val="21"/>
                <w:szCs w:val="21"/>
                <w:highlight w:val="none"/>
              </w:rPr>
              <w:t>GB50016-2014（2018年版）第3.3.5条</w:t>
            </w:r>
          </w:p>
        </w:tc>
        <w:tc>
          <w:tcPr>
            <w:tcW w:w="1236" w:type="pct"/>
            <w:tcBorders>
              <w:tl2br w:val="nil"/>
              <w:tr2bl w:val="nil"/>
            </w:tcBorders>
            <w:shd w:val="clear" w:color="auto" w:fill="auto"/>
            <w:vAlign w:val="center"/>
          </w:tcPr>
          <w:p w14:paraId="19E5C5D5">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default" w:ascii="宋体" w:hAnsi="宋体" w:eastAsia="宋体" w:cs="宋体"/>
                <w:color w:val="000000" w:themeColor="text1"/>
                <w:kern w:val="0"/>
                <w:sz w:val="21"/>
                <w:szCs w:val="21"/>
                <w:highlight w:val="none"/>
                <w:lang w:eastAsia="zh-CN"/>
              </w:rPr>
            </w:pPr>
            <w:r>
              <w:rPr>
                <w:rFonts w:hint="eastAsia" w:cs="宋体"/>
                <w:color w:val="000000" w:themeColor="text1"/>
                <w:kern w:val="0"/>
                <w:sz w:val="21"/>
                <w:szCs w:val="21"/>
                <w:highlight w:val="none"/>
                <w:lang w:eastAsia="zh-CN"/>
              </w:rPr>
              <w:t>华美线业在</w:t>
            </w:r>
            <w:r>
              <w:rPr>
                <w:rFonts w:hint="eastAsia" w:cs="宋体"/>
                <w:color w:val="000000" w:themeColor="text1"/>
                <w:kern w:val="0"/>
                <w:sz w:val="21"/>
                <w:szCs w:val="21"/>
                <w:highlight w:val="none"/>
                <w:lang w:val="en-US" w:eastAsia="zh-CN"/>
              </w:rPr>
              <w:t>2025年完成整体搬迁，本项目在整体搬迁前加强安全管理，保障安全生产。</w:t>
            </w:r>
          </w:p>
        </w:tc>
        <w:tc>
          <w:tcPr>
            <w:tcW w:w="1236" w:type="pct"/>
            <w:tcBorders>
              <w:tl2br w:val="nil"/>
              <w:tr2bl w:val="nil"/>
            </w:tcBorders>
            <w:shd w:val="clear" w:color="auto" w:fill="auto"/>
            <w:vAlign w:val="center"/>
          </w:tcPr>
          <w:p w14:paraId="1F8C3ABE">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default" w:cs="宋体"/>
                <w:color w:val="000000" w:themeColor="text1"/>
                <w:kern w:val="0"/>
                <w:sz w:val="21"/>
                <w:szCs w:val="21"/>
                <w:highlight w:val="none"/>
                <w:lang w:val="en-US" w:eastAsia="zh-CN"/>
              </w:rPr>
            </w:pPr>
            <w:r>
              <w:rPr>
                <w:rFonts w:hint="eastAsia" w:cs="宋体"/>
                <w:color w:val="000000" w:themeColor="text1"/>
                <w:kern w:val="0"/>
                <w:sz w:val="21"/>
                <w:szCs w:val="21"/>
                <w:highlight w:val="none"/>
                <w:lang w:val="en-US" w:eastAsia="zh-CN"/>
              </w:rPr>
              <w:t>/</w:t>
            </w:r>
          </w:p>
        </w:tc>
      </w:tr>
      <w:tr w14:paraId="007A7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4" w:type="pct"/>
            <w:tcBorders>
              <w:tl2br w:val="nil"/>
              <w:tr2bl w:val="nil"/>
            </w:tcBorders>
            <w:shd w:val="clear" w:color="auto" w:fill="auto"/>
            <w:noWrap/>
            <w:vAlign w:val="center"/>
          </w:tcPr>
          <w:p w14:paraId="15C7D8D3">
            <w:pPr>
              <w:keepNext w:val="0"/>
              <w:keepLines w:val="0"/>
              <w:pageBreakBefore w:val="0"/>
              <w:widowControl w:val="0"/>
              <w:numPr>
                <w:ilvl w:val="0"/>
                <w:numId w:val="7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p>
        </w:tc>
        <w:tc>
          <w:tcPr>
            <w:tcW w:w="1433" w:type="pct"/>
            <w:tcBorders>
              <w:tl2br w:val="nil"/>
              <w:tr2bl w:val="nil"/>
            </w:tcBorders>
            <w:shd w:val="clear" w:color="auto" w:fill="auto"/>
            <w:vAlign w:val="center"/>
          </w:tcPr>
          <w:p w14:paraId="181C7CE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危险化学品备货库房25米内有1间电工办公室、1间机修办公室</w:t>
            </w:r>
            <w:r>
              <w:rPr>
                <w:rFonts w:hint="eastAsia" w:cs="宋体"/>
                <w:color w:val="000000" w:themeColor="text1"/>
                <w:kern w:val="0"/>
                <w:sz w:val="21"/>
                <w:szCs w:val="21"/>
                <w:highlight w:val="none"/>
                <w:lang w:val="en-US" w:eastAsia="zh-CN" w:bidi="ar-SA"/>
              </w:rPr>
              <w:t>。</w:t>
            </w:r>
          </w:p>
          <w:p w14:paraId="0E74E79D">
            <w:pPr>
              <w:pStyle w:val="2"/>
              <w:widowControl w:val="0"/>
              <w:adjustRightInd w:val="0"/>
              <w:snapToGrid w:val="0"/>
              <w:ind w:firstLine="0" w:firstLineChars="0"/>
              <w:rPr>
                <w:rFonts w:hint="eastAsia" w:ascii="宋体" w:hAnsi="宋体" w:eastAsia="宋体" w:cs="宋体"/>
                <w:color w:val="000000" w:themeColor="text1"/>
                <w:sz w:val="28"/>
                <w:szCs w:val="24"/>
                <w:highlight w:val="none"/>
                <w:lang w:val="en-US" w:eastAsia="zh-CN" w:bidi="ar-SA"/>
              </w:rPr>
            </w:pPr>
            <w:r>
              <w:rPr>
                <w:rFonts w:hint="eastAsia" w:ascii="宋体" w:hAnsi="宋体" w:eastAsia="宋体" w:cs="宋体"/>
                <w:color w:val="000000" w:themeColor="text1"/>
                <w:sz w:val="21"/>
                <w:szCs w:val="21"/>
                <w:highlight w:val="none"/>
              </w:rPr>
              <w:t>漂染车间附房（乙类仓库）内设置了办公室。</w:t>
            </w:r>
          </w:p>
        </w:tc>
        <w:tc>
          <w:tcPr>
            <w:tcW w:w="828" w:type="pct"/>
            <w:tcBorders>
              <w:tl2br w:val="nil"/>
              <w:tr2bl w:val="nil"/>
            </w:tcBorders>
            <w:shd w:val="clear" w:color="auto" w:fill="auto"/>
            <w:vAlign w:val="center"/>
          </w:tcPr>
          <w:p w14:paraId="0CF779B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甬应急〔2020〕9号第7条</w:t>
            </w:r>
            <w:r>
              <w:rPr>
                <w:rFonts w:hint="eastAsia" w:cs="宋体"/>
                <w:color w:val="000000" w:themeColor="text1"/>
                <w:kern w:val="0"/>
                <w:sz w:val="21"/>
                <w:szCs w:val="21"/>
                <w:highlight w:val="none"/>
                <w:lang w:val="en-US" w:eastAsia="zh-CN" w:bidi="ar-SA"/>
              </w:rPr>
              <w:t>、</w:t>
            </w:r>
            <w:r>
              <w:rPr>
                <w:rFonts w:hint="eastAsia"/>
                <w:color w:val="000000" w:themeColor="text1"/>
                <w:sz w:val="21"/>
                <w:szCs w:val="21"/>
                <w:highlight w:val="none"/>
              </w:rPr>
              <w:t>GB50016-2014（2018年版）第3.3.9条</w:t>
            </w:r>
          </w:p>
        </w:tc>
        <w:tc>
          <w:tcPr>
            <w:tcW w:w="1236" w:type="pct"/>
            <w:tcBorders>
              <w:tl2br w:val="nil"/>
              <w:tr2bl w:val="nil"/>
            </w:tcBorders>
            <w:shd w:val="clear" w:color="auto" w:fill="auto"/>
            <w:vAlign w:val="center"/>
          </w:tcPr>
          <w:p w14:paraId="158B86A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rPr>
              <w:t>危险化学品备货库房25米内</w:t>
            </w:r>
            <w:r>
              <w:rPr>
                <w:rFonts w:hint="eastAsia" w:ascii="宋体" w:hAnsi="宋体" w:eastAsia="宋体" w:cs="宋体"/>
                <w:color w:val="000000" w:themeColor="text1"/>
                <w:kern w:val="0"/>
                <w:sz w:val="21"/>
                <w:szCs w:val="21"/>
                <w:highlight w:val="none"/>
                <w:lang w:val="en-US" w:eastAsia="zh-CN" w:bidi="ar-SA"/>
              </w:rPr>
              <w:t>电工办公室、机修办公室</w:t>
            </w:r>
            <w:r>
              <w:rPr>
                <w:rFonts w:hint="eastAsia" w:cs="宋体"/>
                <w:color w:val="000000" w:themeColor="text1"/>
                <w:kern w:val="0"/>
                <w:sz w:val="21"/>
                <w:szCs w:val="21"/>
                <w:highlight w:val="none"/>
                <w:lang w:val="en-US" w:eastAsia="zh-CN" w:bidi="ar-SA"/>
              </w:rPr>
              <w:t>应撤除</w:t>
            </w:r>
            <w:r>
              <w:rPr>
                <w:rFonts w:hint="eastAsia" w:cs="宋体"/>
                <w:color w:val="000000" w:themeColor="text1"/>
                <w:kern w:val="0"/>
                <w:sz w:val="21"/>
                <w:szCs w:val="21"/>
                <w:highlight w:val="none"/>
                <w:lang w:eastAsia="zh-CN"/>
              </w:rPr>
              <w:t>。</w:t>
            </w:r>
          </w:p>
        </w:tc>
        <w:tc>
          <w:tcPr>
            <w:tcW w:w="1236" w:type="pct"/>
            <w:tcBorders>
              <w:tl2br w:val="nil"/>
              <w:tr2bl w:val="nil"/>
            </w:tcBorders>
            <w:shd w:val="clear" w:color="auto" w:fill="auto"/>
            <w:vAlign w:val="center"/>
          </w:tcPr>
          <w:p w14:paraId="758899D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危险化学品备货库房25米内</w:t>
            </w:r>
            <w:r>
              <w:rPr>
                <w:rFonts w:hint="eastAsia" w:cs="宋体"/>
                <w:color w:val="000000" w:themeColor="text1"/>
                <w:kern w:val="0"/>
                <w:sz w:val="21"/>
                <w:szCs w:val="21"/>
                <w:highlight w:val="none"/>
                <w:lang w:eastAsia="zh-CN"/>
              </w:rPr>
              <w:t>的</w:t>
            </w:r>
            <w:r>
              <w:rPr>
                <w:rFonts w:hint="eastAsia" w:ascii="宋体" w:hAnsi="宋体" w:eastAsia="宋体" w:cs="宋体"/>
                <w:color w:val="000000" w:themeColor="text1"/>
                <w:kern w:val="0"/>
                <w:sz w:val="21"/>
                <w:szCs w:val="21"/>
                <w:highlight w:val="none"/>
                <w:lang w:val="en-US" w:eastAsia="zh-CN" w:bidi="ar-SA"/>
              </w:rPr>
              <w:t>电工办公室、机修办公室</w:t>
            </w:r>
            <w:r>
              <w:rPr>
                <w:rFonts w:hint="eastAsia" w:cs="宋体"/>
                <w:color w:val="000000" w:themeColor="text1"/>
                <w:kern w:val="0"/>
                <w:sz w:val="21"/>
                <w:szCs w:val="21"/>
                <w:highlight w:val="none"/>
                <w:lang w:val="en-US" w:eastAsia="zh-CN" w:bidi="ar-SA"/>
              </w:rPr>
              <w:t>已撤除</w:t>
            </w:r>
            <w:r>
              <w:rPr>
                <w:rFonts w:hint="eastAsia" w:cs="宋体"/>
                <w:color w:val="000000" w:themeColor="text1"/>
                <w:kern w:val="0"/>
                <w:sz w:val="21"/>
                <w:szCs w:val="21"/>
                <w:highlight w:val="none"/>
                <w:lang w:eastAsia="zh-CN"/>
              </w:rPr>
              <w:t>。</w:t>
            </w:r>
          </w:p>
        </w:tc>
      </w:tr>
      <w:tr w14:paraId="02A10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4" w:type="pct"/>
            <w:tcBorders>
              <w:tl2br w:val="nil"/>
              <w:tr2bl w:val="nil"/>
            </w:tcBorders>
            <w:shd w:val="clear" w:color="auto" w:fill="auto"/>
            <w:noWrap/>
            <w:vAlign w:val="center"/>
          </w:tcPr>
          <w:p w14:paraId="60EF8CC8">
            <w:pPr>
              <w:keepNext w:val="0"/>
              <w:keepLines w:val="0"/>
              <w:pageBreakBefore w:val="0"/>
              <w:widowControl w:val="0"/>
              <w:numPr>
                <w:ilvl w:val="0"/>
                <w:numId w:val="7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p>
        </w:tc>
        <w:tc>
          <w:tcPr>
            <w:tcW w:w="1433" w:type="pct"/>
            <w:tcBorders>
              <w:tl2br w:val="nil"/>
              <w:tr2bl w:val="nil"/>
            </w:tcBorders>
            <w:shd w:val="clear" w:color="auto" w:fill="auto"/>
            <w:vAlign w:val="center"/>
          </w:tcPr>
          <w:p w14:paraId="3CC8AD3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eastAsia" w:ascii="宋体" w:hAnsi="宋体" w:eastAsia="宋体" w:cs="宋体"/>
                <w:color w:val="000000" w:themeColor="text1"/>
                <w:kern w:val="0"/>
                <w:sz w:val="21"/>
                <w:szCs w:val="21"/>
                <w:highlight w:val="none"/>
                <w:lang w:val="en-US" w:eastAsia="zh-CN" w:bidi="ar-SA"/>
              </w:rPr>
            </w:pPr>
            <w:r>
              <w:rPr>
                <w:rFonts w:hint="eastAsia"/>
                <w:color w:val="000000" w:themeColor="text1"/>
                <w:sz w:val="21"/>
                <w:szCs w:val="21"/>
                <w:highlight w:val="none"/>
              </w:rPr>
              <w:t>漂染车间附房（乙、二级）与机物料仓库（丙、二级）配电房（丙、二级）漂染车间（丙、二级）线厂仓库（丙、二级）防火间距不符合GB50016-2014（2018年版）要求。</w:t>
            </w:r>
          </w:p>
        </w:tc>
        <w:tc>
          <w:tcPr>
            <w:tcW w:w="828" w:type="pct"/>
            <w:tcBorders>
              <w:tl2br w:val="nil"/>
              <w:tr2bl w:val="nil"/>
            </w:tcBorders>
            <w:shd w:val="clear" w:color="auto" w:fill="auto"/>
            <w:vAlign w:val="center"/>
          </w:tcPr>
          <w:p w14:paraId="01C520F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lang w:val="en-US" w:eastAsia="zh-CN" w:bidi="ar-SA"/>
              </w:rPr>
            </w:pPr>
            <w:r>
              <w:rPr>
                <w:rFonts w:hint="eastAsia"/>
                <w:color w:val="000000" w:themeColor="text1"/>
                <w:sz w:val="21"/>
                <w:szCs w:val="21"/>
                <w:highlight w:val="none"/>
              </w:rPr>
              <w:t>GB50016-2014（2018年版）表3.4.1、表3.5.2</w:t>
            </w:r>
          </w:p>
        </w:tc>
        <w:tc>
          <w:tcPr>
            <w:tcW w:w="1236" w:type="pct"/>
            <w:tcBorders>
              <w:tl2br w:val="nil"/>
              <w:tr2bl w:val="nil"/>
            </w:tcBorders>
            <w:shd w:val="clear" w:color="auto" w:fill="auto"/>
            <w:vAlign w:val="center"/>
          </w:tcPr>
          <w:p w14:paraId="3590C1FF">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cs="宋体"/>
                <w:color w:val="000000" w:themeColor="text1"/>
                <w:kern w:val="0"/>
                <w:sz w:val="21"/>
                <w:szCs w:val="21"/>
                <w:highlight w:val="none"/>
                <w:lang w:val="en-US" w:eastAsia="zh-CN" w:bidi="ar-SA"/>
              </w:rPr>
            </w:pPr>
            <w:r>
              <w:rPr>
                <w:rFonts w:hint="eastAsia" w:cs="宋体"/>
                <w:color w:val="000000" w:themeColor="text1"/>
                <w:kern w:val="0"/>
                <w:sz w:val="21"/>
                <w:szCs w:val="21"/>
                <w:highlight w:val="none"/>
                <w:lang w:eastAsia="zh-CN"/>
              </w:rPr>
              <w:t>华美线业在</w:t>
            </w:r>
            <w:r>
              <w:rPr>
                <w:rFonts w:hint="eastAsia" w:cs="宋体"/>
                <w:color w:val="000000" w:themeColor="text1"/>
                <w:kern w:val="0"/>
                <w:sz w:val="21"/>
                <w:szCs w:val="21"/>
                <w:highlight w:val="none"/>
                <w:lang w:val="en-US" w:eastAsia="zh-CN"/>
              </w:rPr>
              <w:t>2025年完成整体搬迁，本项目在整体搬迁前加强安全管理，保障安全生产。</w:t>
            </w:r>
          </w:p>
        </w:tc>
        <w:tc>
          <w:tcPr>
            <w:tcW w:w="1236" w:type="pct"/>
            <w:tcBorders>
              <w:tl2br w:val="nil"/>
              <w:tr2bl w:val="nil"/>
            </w:tcBorders>
            <w:shd w:val="clear" w:color="auto" w:fill="auto"/>
            <w:vAlign w:val="center"/>
          </w:tcPr>
          <w:p w14:paraId="1CA62F39">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cs="宋体"/>
                <w:color w:val="000000" w:themeColor="text1"/>
                <w:kern w:val="0"/>
                <w:sz w:val="21"/>
                <w:szCs w:val="21"/>
                <w:highlight w:val="none"/>
                <w:lang w:eastAsia="zh-CN"/>
              </w:rPr>
            </w:pPr>
            <w:r>
              <w:rPr>
                <w:rFonts w:hint="eastAsia" w:cs="宋体"/>
                <w:color w:val="000000" w:themeColor="text1"/>
                <w:kern w:val="0"/>
                <w:sz w:val="21"/>
                <w:szCs w:val="21"/>
                <w:highlight w:val="none"/>
                <w:lang w:val="en-US" w:eastAsia="zh-CN"/>
              </w:rPr>
              <w:t>/</w:t>
            </w:r>
          </w:p>
        </w:tc>
      </w:tr>
      <w:tr w14:paraId="49A2A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4" w:type="pct"/>
            <w:tcBorders>
              <w:tl2br w:val="nil"/>
              <w:tr2bl w:val="nil"/>
            </w:tcBorders>
            <w:shd w:val="clear" w:color="auto" w:fill="auto"/>
            <w:noWrap/>
            <w:vAlign w:val="center"/>
          </w:tcPr>
          <w:p w14:paraId="7129FB9B">
            <w:pPr>
              <w:keepNext w:val="0"/>
              <w:keepLines w:val="0"/>
              <w:pageBreakBefore w:val="0"/>
              <w:widowControl w:val="0"/>
              <w:numPr>
                <w:ilvl w:val="0"/>
                <w:numId w:val="7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p>
        </w:tc>
        <w:tc>
          <w:tcPr>
            <w:tcW w:w="1433" w:type="pct"/>
            <w:tcBorders>
              <w:tl2br w:val="nil"/>
              <w:tr2bl w:val="nil"/>
            </w:tcBorders>
            <w:shd w:val="clear" w:color="auto" w:fill="auto"/>
            <w:vAlign w:val="center"/>
          </w:tcPr>
          <w:p w14:paraId="3D2BF9C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未制定危险化学品装卸安全操作规程。</w:t>
            </w:r>
          </w:p>
        </w:tc>
        <w:tc>
          <w:tcPr>
            <w:tcW w:w="828" w:type="pct"/>
            <w:tcBorders>
              <w:tl2br w:val="nil"/>
              <w:tr2bl w:val="nil"/>
            </w:tcBorders>
            <w:shd w:val="clear" w:color="auto" w:fill="auto"/>
            <w:vAlign w:val="center"/>
          </w:tcPr>
          <w:p w14:paraId="4C8B129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浙应急基础〔2020〕75号第7.2条</w:t>
            </w:r>
          </w:p>
        </w:tc>
        <w:tc>
          <w:tcPr>
            <w:tcW w:w="1236" w:type="pct"/>
            <w:tcBorders>
              <w:tl2br w:val="nil"/>
              <w:tr2bl w:val="nil"/>
            </w:tcBorders>
            <w:shd w:val="clear" w:color="auto" w:fill="auto"/>
            <w:vAlign w:val="center"/>
          </w:tcPr>
          <w:p w14:paraId="4DFA1EC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000000" w:themeColor="text1"/>
                <w:kern w:val="0"/>
                <w:sz w:val="21"/>
                <w:szCs w:val="21"/>
                <w:highlight w:val="none"/>
                <w:lang w:val="en-US" w:eastAsia="zh-CN" w:bidi="ar-SA"/>
              </w:rPr>
            </w:pPr>
            <w:r>
              <w:rPr>
                <w:rFonts w:hint="eastAsia" w:cs="宋体"/>
                <w:color w:val="000000" w:themeColor="text1"/>
                <w:kern w:val="0"/>
                <w:sz w:val="21"/>
                <w:szCs w:val="21"/>
                <w:highlight w:val="none"/>
                <w:lang w:val="en-US" w:eastAsia="zh-CN" w:bidi="ar-SA"/>
              </w:rPr>
              <w:t>应</w:t>
            </w:r>
            <w:r>
              <w:rPr>
                <w:rFonts w:hint="eastAsia" w:ascii="宋体" w:hAnsi="宋体" w:eastAsia="宋体" w:cs="宋体"/>
                <w:color w:val="000000" w:themeColor="text1"/>
                <w:kern w:val="0"/>
                <w:sz w:val="21"/>
                <w:szCs w:val="21"/>
                <w:highlight w:val="none"/>
                <w:lang w:val="en-US" w:eastAsia="zh-CN" w:bidi="ar-SA"/>
              </w:rPr>
              <w:t>制定危险化学品装卸安全操作规程。</w:t>
            </w:r>
          </w:p>
        </w:tc>
        <w:tc>
          <w:tcPr>
            <w:tcW w:w="1236" w:type="pct"/>
            <w:tcBorders>
              <w:tl2br w:val="nil"/>
              <w:tr2bl w:val="nil"/>
            </w:tcBorders>
            <w:shd w:val="clear" w:color="auto" w:fill="auto"/>
            <w:vAlign w:val="center"/>
          </w:tcPr>
          <w:p w14:paraId="0801FF2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cs="宋体"/>
                <w:color w:val="000000" w:themeColor="text1"/>
                <w:kern w:val="0"/>
                <w:sz w:val="21"/>
                <w:szCs w:val="21"/>
                <w:highlight w:val="none"/>
                <w:lang w:val="en-US" w:eastAsia="zh-CN" w:bidi="ar-SA"/>
              </w:rPr>
            </w:pPr>
            <w:r>
              <w:rPr>
                <w:rFonts w:hint="eastAsia" w:cs="宋体"/>
                <w:color w:val="000000" w:themeColor="text1"/>
                <w:kern w:val="0"/>
                <w:sz w:val="21"/>
                <w:szCs w:val="21"/>
                <w:highlight w:val="none"/>
                <w:lang w:val="en-US" w:eastAsia="zh-CN" w:bidi="ar-SA"/>
              </w:rPr>
              <w:t>已</w:t>
            </w:r>
            <w:r>
              <w:rPr>
                <w:rFonts w:hint="eastAsia" w:ascii="宋体" w:hAnsi="宋体" w:eastAsia="宋体" w:cs="宋体"/>
                <w:color w:val="000000" w:themeColor="text1"/>
                <w:kern w:val="0"/>
                <w:sz w:val="21"/>
                <w:szCs w:val="21"/>
                <w:highlight w:val="none"/>
                <w:lang w:val="en-US" w:eastAsia="zh-CN" w:bidi="ar-SA"/>
              </w:rPr>
              <w:t>制定危险化学品装卸安全操作规程。</w:t>
            </w:r>
          </w:p>
        </w:tc>
      </w:tr>
      <w:tr w14:paraId="4C675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4" w:type="pct"/>
            <w:tcBorders>
              <w:tl2br w:val="nil"/>
              <w:tr2bl w:val="nil"/>
            </w:tcBorders>
            <w:shd w:val="clear" w:color="auto" w:fill="auto"/>
            <w:noWrap/>
            <w:vAlign w:val="center"/>
          </w:tcPr>
          <w:p w14:paraId="5ECF6468">
            <w:pPr>
              <w:keepNext w:val="0"/>
              <w:keepLines w:val="0"/>
              <w:pageBreakBefore w:val="0"/>
              <w:widowControl w:val="0"/>
              <w:numPr>
                <w:ilvl w:val="0"/>
                <w:numId w:val="7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p>
        </w:tc>
        <w:tc>
          <w:tcPr>
            <w:tcW w:w="1433" w:type="pct"/>
            <w:tcBorders>
              <w:tl2br w:val="nil"/>
              <w:tr2bl w:val="nil"/>
            </w:tcBorders>
            <w:shd w:val="clear" w:color="auto" w:fill="auto"/>
            <w:vAlign w:val="center"/>
          </w:tcPr>
          <w:p w14:paraId="2C95D6E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危险化学品作业场所设置的危险化学品安全周知卡不符合《化学品作业场所安全警示标志规范》（AQ 3047-2013）的要求，未设置危险化学品安全操作规程。</w:t>
            </w:r>
          </w:p>
        </w:tc>
        <w:tc>
          <w:tcPr>
            <w:tcW w:w="828" w:type="pct"/>
            <w:tcBorders>
              <w:tl2br w:val="nil"/>
              <w:tr2bl w:val="nil"/>
            </w:tcBorders>
            <w:shd w:val="clear" w:color="auto" w:fill="auto"/>
            <w:vAlign w:val="center"/>
          </w:tcPr>
          <w:p w14:paraId="7674810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浙应急基础〔2020〕75号第9.17条、浙应急基础〔2020〕75号第12.5.5条</w:t>
            </w:r>
          </w:p>
        </w:tc>
        <w:tc>
          <w:tcPr>
            <w:tcW w:w="1236" w:type="pct"/>
            <w:tcBorders>
              <w:tl2br w:val="nil"/>
              <w:tr2bl w:val="nil"/>
            </w:tcBorders>
            <w:shd w:val="clear" w:color="auto" w:fill="auto"/>
            <w:vAlign w:val="center"/>
          </w:tcPr>
          <w:p w14:paraId="70377A59">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bidi="ar-SA"/>
              </w:rPr>
              <w:t>危险化学品安全周知卡</w:t>
            </w:r>
            <w:r>
              <w:rPr>
                <w:rFonts w:hint="eastAsia" w:cs="宋体"/>
                <w:color w:val="000000" w:themeColor="text1"/>
                <w:kern w:val="0"/>
                <w:sz w:val="21"/>
                <w:szCs w:val="21"/>
                <w:highlight w:val="none"/>
                <w:lang w:val="en-US" w:eastAsia="zh-CN" w:bidi="ar-SA"/>
              </w:rPr>
              <w:t>应按照</w:t>
            </w:r>
            <w:r>
              <w:rPr>
                <w:rFonts w:hint="eastAsia" w:ascii="宋体" w:hAnsi="宋体" w:eastAsia="宋体" w:cs="宋体"/>
                <w:color w:val="000000" w:themeColor="text1"/>
                <w:kern w:val="0"/>
                <w:sz w:val="21"/>
                <w:szCs w:val="21"/>
                <w:highlight w:val="none"/>
                <w:lang w:val="en-US" w:eastAsia="zh-CN" w:bidi="ar-SA"/>
              </w:rPr>
              <w:t>《化学品作业场所安全警示标志规范》（AQ 3047-2013）的要求</w:t>
            </w:r>
            <w:r>
              <w:rPr>
                <w:rFonts w:hint="eastAsia" w:cs="宋体"/>
                <w:color w:val="000000" w:themeColor="text1"/>
                <w:kern w:val="0"/>
                <w:sz w:val="21"/>
                <w:szCs w:val="21"/>
                <w:highlight w:val="none"/>
                <w:lang w:val="en-US" w:eastAsia="zh-CN" w:bidi="ar-SA"/>
              </w:rPr>
              <w:t>编制并张贴至相应作业场所。</w:t>
            </w:r>
            <w:r>
              <w:rPr>
                <w:rFonts w:hint="eastAsia" w:ascii="宋体" w:hAnsi="宋体" w:eastAsia="宋体" w:cs="宋体"/>
                <w:color w:val="000000" w:themeColor="text1"/>
                <w:kern w:val="0"/>
                <w:sz w:val="21"/>
                <w:szCs w:val="21"/>
                <w:highlight w:val="none"/>
                <w:lang w:val="en-US" w:eastAsia="zh-CN" w:bidi="ar-SA"/>
              </w:rPr>
              <w:t>危险化学品作业场所</w:t>
            </w:r>
            <w:r>
              <w:rPr>
                <w:rFonts w:hint="eastAsia" w:cs="宋体"/>
                <w:color w:val="000000" w:themeColor="text1"/>
                <w:kern w:val="0"/>
                <w:sz w:val="21"/>
                <w:szCs w:val="21"/>
                <w:highlight w:val="none"/>
                <w:lang w:val="en-US" w:eastAsia="zh-CN" w:bidi="ar-SA"/>
              </w:rPr>
              <w:t>应</w:t>
            </w:r>
            <w:r>
              <w:rPr>
                <w:rFonts w:hint="eastAsia" w:ascii="宋体" w:hAnsi="宋体" w:eastAsia="宋体" w:cs="宋体"/>
                <w:color w:val="000000" w:themeColor="text1"/>
                <w:kern w:val="0"/>
                <w:sz w:val="21"/>
                <w:szCs w:val="21"/>
                <w:highlight w:val="none"/>
                <w:lang w:val="en-US" w:eastAsia="zh-CN" w:bidi="ar-SA"/>
              </w:rPr>
              <w:t>设置危险化学品安全操作规程。</w:t>
            </w:r>
          </w:p>
        </w:tc>
        <w:tc>
          <w:tcPr>
            <w:tcW w:w="1236" w:type="pct"/>
            <w:tcBorders>
              <w:tl2br w:val="nil"/>
              <w:tr2bl w:val="nil"/>
            </w:tcBorders>
            <w:shd w:val="clear" w:color="auto" w:fill="auto"/>
            <w:vAlign w:val="center"/>
          </w:tcPr>
          <w:p w14:paraId="7AA741A2">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000000" w:themeColor="text1"/>
                <w:kern w:val="0"/>
                <w:sz w:val="21"/>
                <w:szCs w:val="21"/>
                <w:highlight w:val="none"/>
                <w:lang w:val="en-US" w:eastAsia="zh-CN" w:bidi="ar-SA"/>
              </w:rPr>
            </w:pPr>
            <w:r>
              <w:rPr>
                <w:rFonts w:hint="eastAsia" w:cs="宋体"/>
                <w:color w:val="000000" w:themeColor="text1"/>
                <w:kern w:val="0"/>
                <w:sz w:val="21"/>
                <w:szCs w:val="21"/>
                <w:highlight w:val="none"/>
                <w:lang w:val="en-US" w:eastAsia="zh-CN" w:bidi="ar-SA"/>
              </w:rPr>
              <w:t>按照</w:t>
            </w:r>
            <w:r>
              <w:rPr>
                <w:rFonts w:hint="eastAsia" w:ascii="宋体" w:hAnsi="宋体" w:eastAsia="宋体" w:cs="宋体"/>
                <w:color w:val="000000" w:themeColor="text1"/>
                <w:kern w:val="0"/>
                <w:sz w:val="21"/>
                <w:szCs w:val="21"/>
                <w:highlight w:val="none"/>
                <w:lang w:val="en-US" w:eastAsia="zh-CN" w:bidi="ar-SA"/>
              </w:rPr>
              <w:t>《化学品作业场所安全警示标志规范》（AQ 3047-2013）的要求</w:t>
            </w:r>
            <w:r>
              <w:rPr>
                <w:rFonts w:hint="eastAsia" w:cs="宋体"/>
                <w:color w:val="000000" w:themeColor="text1"/>
                <w:kern w:val="0"/>
                <w:sz w:val="21"/>
                <w:szCs w:val="21"/>
                <w:highlight w:val="none"/>
                <w:lang w:val="en-US" w:eastAsia="zh-CN" w:bidi="ar-SA"/>
              </w:rPr>
              <w:t>编制</w:t>
            </w:r>
            <w:r>
              <w:rPr>
                <w:rFonts w:hint="eastAsia" w:ascii="宋体" w:hAnsi="宋体" w:eastAsia="宋体" w:cs="宋体"/>
                <w:color w:val="000000" w:themeColor="text1"/>
                <w:kern w:val="0"/>
                <w:sz w:val="21"/>
                <w:szCs w:val="21"/>
                <w:highlight w:val="none"/>
                <w:lang w:val="en-US" w:eastAsia="zh-CN" w:bidi="ar-SA"/>
              </w:rPr>
              <w:t>化学品作业场所安全警示标志</w:t>
            </w:r>
            <w:r>
              <w:rPr>
                <w:rFonts w:hint="eastAsia" w:cs="宋体"/>
                <w:color w:val="000000" w:themeColor="text1"/>
                <w:kern w:val="0"/>
                <w:sz w:val="21"/>
                <w:szCs w:val="21"/>
                <w:highlight w:val="none"/>
                <w:lang w:val="en-US" w:eastAsia="zh-CN" w:bidi="ar-SA"/>
              </w:rPr>
              <w:t>并张贴至相应作业场所。</w:t>
            </w:r>
            <w:r>
              <w:rPr>
                <w:rFonts w:hint="eastAsia" w:ascii="宋体" w:hAnsi="宋体" w:eastAsia="宋体" w:cs="宋体"/>
                <w:color w:val="000000" w:themeColor="text1"/>
                <w:kern w:val="0"/>
                <w:sz w:val="21"/>
                <w:szCs w:val="21"/>
                <w:highlight w:val="none"/>
                <w:lang w:val="en-US" w:eastAsia="zh-CN" w:bidi="ar-SA"/>
              </w:rPr>
              <w:t>危险化学品作业场所</w:t>
            </w:r>
            <w:r>
              <w:rPr>
                <w:rFonts w:hint="eastAsia" w:cs="宋体"/>
                <w:color w:val="000000" w:themeColor="text1"/>
                <w:kern w:val="0"/>
                <w:sz w:val="21"/>
                <w:szCs w:val="21"/>
                <w:highlight w:val="none"/>
                <w:lang w:val="en-US" w:eastAsia="zh-CN" w:bidi="ar-SA"/>
              </w:rPr>
              <w:t>已</w:t>
            </w:r>
            <w:r>
              <w:rPr>
                <w:rFonts w:hint="eastAsia" w:ascii="宋体" w:hAnsi="宋体" w:eastAsia="宋体" w:cs="宋体"/>
                <w:color w:val="000000" w:themeColor="text1"/>
                <w:kern w:val="0"/>
                <w:sz w:val="21"/>
                <w:szCs w:val="21"/>
                <w:highlight w:val="none"/>
                <w:lang w:val="en-US" w:eastAsia="zh-CN" w:bidi="ar-SA"/>
              </w:rPr>
              <w:t>设置危险化学品安全操作规程。</w:t>
            </w:r>
          </w:p>
        </w:tc>
      </w:tr>
      <w:tr w14:paraId="0D62F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4" w:type="pct"/>
            <w:tcBorders>
              <w:tl2br w:val="nil"/>
              <w:tr2bl w:val="nil"/>
            </w:tcBorders>
            <w:shd w:val="clear" w:color="auto" w:fill="auto"/>
            <w:noWrap/>
            <w:vAlign w:val="center"/>
          </w:tcPr>
          <w:p w14:paraId="1F7C2B37">
            <w:pPr>
              <w:keepNext w:val="0"/>
              <w:keepLines w:val="0"/>
              <w:pageBreakBefore w:val="0"/>
              <w:widowControl w:val="0"/>
              <w:numPr>
                <w:ilvl w:val="0"/>
                <w:numId w:val="7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p>
        </w:tc>
        <w:tc>
          <w:tcPr>
            <w:tcW w:w="1433" w:type="pct"/>
            <w:tcBorders>
              <w:tl2br w:val="nil"/>
              <w:tr2bl w:val="nil"/>
            </w:tcBorders>
            <w:shd w:val="clear" w:color="auto" w:fill="auto"/>
            <w:vAlign w:val="center"/>
          </w:tcPr>
          <w:p w14:paraId="0608EB9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bidi="ar-SA"/>
              </w:rPr>
              <w:t>危险化学品备货库房1#隔间门口未设置人体静电导除设施</w:t>
            </w:r>
            <w:r>
              <w:rPr>
                <w:rFonts w:hint="eastAsia" w:cs="宋体"/>
                <w:color w:val="000000" w:themeColor="text1"/>
                <w:kern w:val="0"/>
                <w:sz w:val="21"/>
                <w:szCs w:val="21"/>
                <w:highlight w:val="none"/>
                <w:lang w:val="en-US" w:eastAsia="zh-CN" w:bidi="ar-SA"/>
              </w:rPr>
              <w:t>。</w:t>
            </w:r>
          </w:p>
        </w:tc>
        <w:tc>
          <w:tcPr>
            <w:tcW w:w="828" w:type="pct"/>
            <w:tcBorders>
              <w:tl2br w:val="nil"/>
              <w:tr2bl w:val="nil"/>
            </w:tcBorders>
            <w:shd w:val="clear" w:color="auto" w:fill="auto"/>
            <w:vAlign w:val="center"/>
          </w:tcPr>
          <w:p w14:paraId="11A939F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bidi="ar-SA"/>
              </w:rPr>
              <w:t>甬应急〔2020〕10号</w:t>
            </w:r>
          </w:p>
        </w:tc>
        <w:tc>
          <w:tcPr>
            <w:tcW w:w="1236" w:type="pct"/>
            <w:tcBorders>
              <w:tl2br w:val="nil"/>
              <w:tr2bl w:val="nil"/>
            </w:tcBorders>
            <w:shd w:val="clear" w:color="auto" w:fill="auto"/>
            <w:vAlign w:val="center"/>
          </w:tcPr>
          <w:p w14:paraId="204E2439">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val="en-US" w:eastAsia="zh-CN" w:bidi="ar-SA"/>
              </w:rPr>
              <w:t>危险化学品备货库房1#隔间门口</w:t>
            </w:r>
            <w:r>
              <w:rPr>
                <w:rFonts w:hint="eastAsia" w:cs="宋体"/>
                <w:color w:val="000000" w:themeColor="text1"/>
                <w:kern w:val="0"/>
                <w:sz w:val="21"/>
                <w:szCs w:val="21"/>
                <w:highlight w:val="none"/>
                <w:lang w:val="en-US" w:eastAsia="zh-CN" w:bidi="ar-SA"/>
              </w:rPr>
              <w:t>应</w:t>
            </w:r>
            <w:r>
              <w:rPr>
                <w:rFonts w:hint="eastAsia" w:ascii="宋体" w:hAnsi="宋体" w:eastAsia="宋体" w:cs="宋体"/>
                <w:color w:val="000000" w:themeColor="text1"/>
                <w:kern w:val="0"/>
                <w:sz w:val="21"/>
                <w:szCs w:val="21"/>
                <w:highlight w:val="none"/>
                <w:lang w:val="en-US" w:eastAsia="zh-CN" w:bidi="ar-SA"/>
              </w:rPr>
              <w:t>设置人体静电导除设施</w:t>
            </w:r>
            <w:r>
              <w:rPr>
                <w:rFonts w:hint="eastAsia" w:cs="宋体"/>
                <w:color w:val="000000" w:themeColor="text1"/>
                <w:kern w:val="0"/>
                <w:sz w:val="21"/>
                <w:szCs w:val="21"/>
                <w:highlight w:val="none"/>
                <w:lang w:val="en-US" w:eastAsia="zh-CN" w:bidi="ar-SA"/>
              </w:rPr>
              <w:t>。</w:t>
            </w:r>
          </w:p>
        </w:tc>
        <w:tc>
          <w:tcPr>
            <w:tcW w:w="1236" w:type="pct"/>
            <w:tcBorders>
              <w:tl2br w:val="nil"/>
              <w:tr2bl w:val="nil"/>
            </w:tcBorders>
            <w:shd w:val="clear" w:color="auto" w:fill="auto"/>
            <w:vAlign w:val="center"/>
          </w:tcPr>
          <w:p w14:paraId="3DEDAFAC">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1#隔间门口</w:t>
            </w:r>
            <w:r>
              <w:rPr>
                <w:rFonts w:hint="eastAsia" w:cs="宋体"/>
                <w:color w:val="000000" w:themeColor="text1"/>
                <w:kern w:val="0"/>
                <w:sz w:val="21"/>
                <w:szCs w:val="21"/>
                <w:highlight w:val="none"/>
                <w:lang w:val="en-US" w:eastAsia="zh-CN" w:bidi="ar-SA"/>
              </w:rPr>
              <w:t>已</w:t>
            </w:r>
            <w:r>
              <w:rPr>
                <w:rFonts w:hint="eastAsia" w:ascii="宋体" w:hAnsi="宋体" w:eastAsia="宋体" w:cs="宋体"/>
                <w:color w:val="000000" w:themeColor="text1"/>
                <w:kern w:val="0"/>
                <w:sz w:val="21"/>
                <w:szCs w:val="21"/>
                <w:highlight w:val="none"/>
                <w:lang w:val="en-US" w:eastAsia="zh-CN" w:bidi="ar-SA"/>
              </w:rPr>
              <w:t>设置人体静电导除设施</w:t>
            </w:r>
            <w:r>
              <w:rPr>
                <w:rFonts w:hint="eastAsia" w:cs="宋体"/>
                <w:color w:val="000000" w:themeColor="text1"/>
                <w:kern w:val="0"/>
                <w:sz w:val="21"/>
                <w:szCs w:val="21"/>
                <w:highlight w:val="none"/>
                <w:lang w:val="en-US" w:eastAsia="zh-CN" w:bidi="ar-SA"/>
              </w:rPr>
              <w:t>。</w:t>
            </w:r>
          </w:p>
        </w:tc>
      </w:tr>
      <w:tr w14:paraId="31B61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4" w:type="pct"/>
            <w:tcBorders>
              <w:tl2br w:val="nil"/>
              <w:tr2bl w:val="nil"/>
            </w:tcBorders>
            <w:shd w:val="clear" w:color="auto" w:fill="auto"/>
            <w:noWrap/>
            <w:vAlign w:val="center"/>
          </w:tcPr>
          <w:p w14:paraId="29038E93">
            <w:pPr>
              <w:keepNext w:val="0"/>
              <w:keepLines w:val="0"/>
              <w:pageBreakBefore w:val="0"/>
              <w:widowControl w:val="0"/>
              <w:numPr>
                <w:ilvl w:val="0"/>
                <w:numId w:val="7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p>
        </w:tc>
        <w:tc>
          <w:tcPr>
            <w:tcW w:w="1433" w:type="pct"/>
            <w:tcBorders>
              <w:tl2br w:val="nil"/>
              <w:tr2bl w:val="nil"/>
            </w:tcBorders>
            <w:shd w:val="clear" w:color="auto" w:fill="auto"/>
            <w:vAlign w:val="center"/>
          </w:tcPr>
          <w:p w14:paraId="53CAA6C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000000" w:themeColor="text1"/>
                <w:kern w:val="0"/>
                <w:sz w:val="21"/>
                <w:szCs w:val="21"/>
                <w:highlight w:val="none"/>
                <w:lang w:val="en-US" w:eastAsia="zh-CN" w:bidi="ar-SA"/>
              </w:rPr>
            </w:pPr>
            <w:r>
              <w:rPr>
                <w:rFonts w:hint="eastAsia"/>
                <w:color w:val="000000" w:themeColor="text1"/>
                <w:sz w:val="21"/>
                <w:szCs w:val="21"/>
                <w:highlight w:val="none"/>
              </w:rPr>
              <w:t>危险化学品库房可燃气体检测报警器未与轴流排风机相联动。</w:t>
            </w:r>
          </w:p>
        </w:tc>
        <w:tc>
          <w:tcPr>
            <w:tcW w:w="828" w:type="pct"/>
            <w:tcBorders>
              <w:tl2br w:val="nil"/>
              <w:tr2bl w:val="nil"/>
            </w:tcBorders>
            <w:shd w:val="clear" w:color="auto" w:fill="auto"/>
            <w:vAlign w:val="center"/>
          </w:tcPr>
          <w:p w14:paraId="49B99DE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lang w:val="en-US" w:eastAsia="zh-CN" w:bidi="ar-SA"/>
              </w:rPr>
            </w:pPr>
            <w:r>
              <w:rPr>
                <w:rFonts w:hint="eastAsia"/>
                <w:color w:val="000000" w:themeColor="text1"/>
                <w:sz w:val="21"/>
                <w:szCs w:val="21"/>
                <w:highlight w:val="none"/>
              </w:rPr>
              <w:t>甬应急〔2020〕10号</w:t>
            </w:r>
          </w:p>
        </w:tc>
        <w:tc>
          <w:tcPr>
            <w:tcW w:w="1236" w:type="pct"/>
            <w:tcBorders>
              <w:tl2br w:val="nil"/>
              <w:tr2bl w:val="nil"/>
            </w:tcBorders>
            <w:shd w:val="clear" w:color="auto" w:fill="auto"/>
            <w:vAlign w:val="center"/>
          </w:tcPr>
          <w:p w14:paraId="2F2CA6FD">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000000" w:themeColor="text1"/>
                <w:kern w:val="0"/>
                <w:sz w:val="21"/>
                <w:szCs w:val="21"/>
                <w:highlight w:val="none"/>
                <w:lang w:val="en-US" w:eastAsia="zh-CN" w:bidi="ar-SA"/>
              </w:rPr>
            </w:pPr>
            <w:r>
              <w:rPr>
                <w:rFonts w:hint="eastAsia" w:cs="宋体"/>
                <w:color w:val="000000" w:themeColor="text1"/>
                <w:kern w:val="0"/>
                <w:sz w:val="21"/>
                <w:szCs w:val="21"/>
                <w:highlight w:val="none"/>
                <w:lang w:eastAsia="zh-CN"/>
              </w:rPr>
              <w:t>华美线业在</w:t>
            </w:r>
            <w:r>
              <w:rPr>
                <w:rFonts w:hint="eastAsia" w:cs="宋体"/>
                <w:color w:val="000000" w:themeColor="text1"/>
                <w:kern w:val="0"/>
                <w:sz w:val="21"/>
                <w:szCs w:val="21"/>
                <w:highlight w:val="none"/>
                <w:lang w:val="en-US" w:eastAsia="zh-CN"/>
              </w:rPr>
              <w:t>2025年完成整体搬迁，本项目在整体搬迁前加强安全管理，保障安全生产。</w:t>
            </w:r>
          </w:p>
        </w:tc>
        <w:tc>
          <w:tcPr>
            <w:tcW w:w="1236" w:type="pct"/>
            <w:tcBorders>
              <w:tl2br w:val="nil"/>
              <w:tr2bl w:val="nil"/>
            </w:tcBorders>
            <w:shd w:val="clear" w:color="auto" w:fill="auto"/>
            <w:vAlign w:val="center"/>
          </w:tcPr>
          <w:p w14:paraId="15D5A1B6">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cs="宋体"/>
                <w:color w:val="000000" w:themeColor="text1"/>
                <w:kern w:val="0"/>
                <w:sz w:val="21"/>
                <w:szCs w:val="21"/>
                <w:highlight w:val="none"/>
                <w:lang w:eastAsia="zh-CN"/>
              </w:rPr>
            </w:pPr>
            <w:r>
              <w:rPr>
                <w:rFonts w:hint="eastAsia" w:cs="宋体"/>
                <w:color w:val="000000" w:themeColor="text1"/>
                <w:kern w:val="0"/>
                <w:sz w:val="21"/>
                <w:szCs w:val="21"/>
                <w:highlight w:val="none"/>
                <w:lang w:val="en-US" w:eastAsia="zh-CN"/>
              </w:rPr>
              <w:t>/</w:t>
            </w:r>
          </w:p>
        </w:tc>
      </w:tr>
      <w:tr w14:paraId="0B9CD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4" w:type="pct"/>
            <w:tcBorders>
              <w:tl2br w:val="nil"/>
              <w:tr2bl w:val="nil"/>
            </w:tcBorders>
            <w:shd w:val="clear" w:color="auto" w:fill="auto"/>
            <w:noWrap/>
            <w:vAlign w:val="center"/>
          </w:tcPr>
          <w:p w14:paraId="0DBE8B3E">
            <w:pPr>
              <w:keepNext w:val="0"/>
              <w:keepLines w:val="0"/>
              <w:pageBreakBefore w:val="0"/>
              <w:widowControl w:val="0"/>
              <w:numPr>
                <w:ilvl w:val="0"/>
                <w:numId w:val="7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p>
        </w:tc>
        <w:tc>
          <w:tcPr>
            <w:tcW w:w="1433" w:type="pct"/>
            <w:tcBorders>
              <w:tl2br w:val="nil"/>
              <w:tr2bl w:val="nil"/>
            </w:tcBorders>
            <w:shd w:val="clear" w:color="auto" w:fill="auto"/>
            <w:vAlign w:val="center"/>
          </w:tcPr>
          <w:p w14:paraId="1019C7AD">
            <w:pPr>
              <w:widowControl w:val="0"/>
              <w:adjustRightInd w:val="0"/>
              <w:snapToGrid w:val="0"/>
              <w:spacing w:line="240" w:lineRule="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bidi="ar-SA"/>
              </w:rPr>
              <w:t>次氯酸钠溶液与其他非危化品混存。</w:t>
            </w:r>
          </w:p>
        </w:tc>
        <w:tc>
          <w:tcPr>
            <w:tcW w:w="828" w:type="pct"/>
            <w:tcBorders>
              <w:tl2br w:val="nil"/>
              <w:tr2bl w:val="nil"/>
            </w:tcBorders>
            <w:shd w:val="clear" w:color="auto" w:fill="auto"/>
            <w:vAlign w:val="center"/>
          </w:tcPr>
          <w:p w14:paraId="5353DE9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bidi="ar-SA"/>
              </w:rPr>
              <w:t>甬应急〔2020〕10号、甬应急〔2020〕9号第7条</w:t>
            </w:r>
          </w:p>
        </w:tc>
        <w:tc>
          <w:tcPr>
            <w:tcW w:w="1236" w:type="pct"/>
            <w:tcBorders>
              <w:tl2br w:val="nil"/>
              <w:tr2bl w:val="nil"/>
            </w:tcBorders>
            <w:shd w:val="clear" w:color="auto" w:fill="auto"/>
            <w:vAlign w:val="center"/>
          </w:tcPr>
          <w:p w14:paraId="6DFF80E0">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lang w:val="en-US" w:eastAsia="zh-CN" w:bidi="ar-SA"/>
              </w:rPr>
              <w:t>次氯酸钠溶液</w:t>
            </w:r>
            <w:r>
              <w:rPr>
                <w:rFonts w:hint="eastAsia" w:cs="宋体"/>
                <w:color w:val="000000" w:themeColor="text1"/>
                <w:kern w:val="0"/>
                <w:sz w:val="21"/>
                <w:szCs w:val="21"/>
                <w:highlight w:val="none"/>
                <w:lang w:val="en-US" w:eastAsia="zh-CN" w:bidi="ar-SA"/>
              </w:rPr>
              <w:t>储存区域的其他非危化品应撤除。</w:t>
            </w:r>
          </w:p>
        </w:tc>
        <w:tc>
          <w:tcPr>
            <w:tcW w:w="1236" w:type="pct"/>
            <w:tcBorders>
              <w:tl2br w:val="nil"/>
              <w:tr2bl w:val="nil"/>
            </w:tcBorders>
            <w:shd w:val="clear" w:color="auto" w:fill="auto"/>
            <w:vAlign w:val="center"/>
          </w:tcPr>
          <w:p w14:paraId="65C58062">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次氯酸钠溶液</w:t>
            </w:r>
            <w:r>
              <w:rPr>
                <w:rFonts w:hint="eastAsia" w:cs="宋体"/>
                <w:color w:val="000000" w:themeColor="text1"/>
                <w:kern w:val="0"/>
                <w:sz w:val="21"/>
                <w:szCs w:val="21"/>
                <w:highlight w:val="none"/>
                <w:lang w:val="en-US" w:eastAsia="zh-CN" w:bidi="ar-SA"/>
              </w:rPr>
              <w:t>储存区域的其他非危化品已撤除。</w:t>
            </w:r>
          </w:p>
        </w:tc>
      </w:tr>
      <w:tr w14:paraId="35997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4" w:type="pct"/>
            <w:tcBorders>
              <w:tl2br w:val="nil"/>
              <w:tr2bl w:val="nil"/>
            </w:tcBorders>
            <w:shd w:val="clear" w:color="auto" w:fill="auto"/>
            <w:noWrap/>
            <w:vAlign w:val="center"/>
          </w:tcPr>
          <w:p w14:paraId="3810CE7D">
            <w:pPr>
              <w:keepNext w:val="0"/>
              <w:keepLines w:val="0"/>
              <w:pageBreakBefore w:val="0"/>
              <w:widowControl w:val="0"/>
              <w:numPr>
                <w:ilvl w:val="0"/>
                <w:numId w:val="7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p>
        </w:tc>
        <w:tc>
          <w:tcPr>
            <w:tcW w:w="1433" w:type="pct"/>
            <w:tcBorders>
              <w:tl2br w:val="nil"/>
              <w:tr2bl w:val="nil"/>
            </w:tcBorders>
            <w:shd w:val="clear" w:color="auto" w:fill="auto"/>
            <w:vAlign w:val="center"/>
          </w:tcPr>
          <w:p w14:paraId="636A830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乙酸、次氯酸钠溶液直接落地存放。</w:t>
            </w:r>
          </w:p>
        </w:tc>
        <w:tc>
          <w:tcPr>
            <w:tcW w:w="828" w:type="pct"/>
            <w:tcBorders>
              <w:tl2br w:val="nil"/>
              <w:tr2bl w:val="nil"/>
            </w:tcBorders>
            <w:shd w:val="clear" w:color="auto" w:fill="auto"/>
            <w:vAlign w:val="center"/>
          </w:tcPr>
          <w:p w14:paraId="728B0ED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甬应急〔2020〕10号</w:t>
            </w:r>
            <w:r>
              <w:rPr>
                <w:rFonts w:hint="eastAsia" w:cs="宋体"/>
                <w:color w:val="000000" w:themeColor="text1"/>
                <w:kern w:val="0"/>
                <w:sz w:val="21"/>
                <w:szCs w:val="21"/>
                <w:highlight w:val="none"/>
                <w:lang w:val="en-US" w:eastAsia="zh-CN" w:bidi="ar-SA"/>
              </w:rPr>
              <w:t>、</w:t>
            </w:r>
            <w:r>
              <w:rPr>
                <w:rFonts w:hint="eastAsia" w:ascii="宋体" w:hAnsi="宋体" w:eastAsia="宋体" w:cs="宋体"/>
                <w:color w:val="000000" w:themeColor="text1"/>
                <w:kern w:val="0"/>
                <w:sz w:val="21"/>
                <w:szCs w:val="21"/>
                <w:highlight w:val="none"/>
                <w:lang w:val="en-US" w:eastAsia="zh-CN" w:bidi="ar-SA"/>
              </w:rPr>
              <w:t>GB15603-2022第6.2.2条</w:t>
            </w:r>
          </w:p>
        </w:tc>
        <w:tc>
          <w:tcPr>
            <w:tcW w:w="1236" w:type="pct"/>
            <w:tcBorders>
              <w:tl2br w:val="nil"/>
              <w:tr2bl w:val="nil"/>
            </w:tcBorders>
            <w:shd w:val="clear" w:color="auto" w:fill="auto"/>
            <w:vAlign w:val="center"/>
          </w:tcPr>
          <w:p w14:paraId="2D4B820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乙酸</w:t>
            </w:r>
            <w:r>
              <w:rPr>
                <w:rFonts w:hint="eastAsia" w:ascii="宋体" w:hAnsi="宋体" w:cs="宋体"/>
                <w:color w:val="000000" w:themeColor="text1"/>
                <w:spacing w:val="0"/>
                <w:kern w:val="0"/>
                <w:sz w:val="21"/>
                <w:szCs w:val="21"/>
                <w:highlight w:val="none"/>
                <w:lang w:eastAsia="zh-CN"/>
              </w:rPr>
              <w:t>应设置垫底设施，</w:t>
            </w:r>
            <w:r>
              <w:rPr>
                <w:rFonts w:hint="eastAsia" w:ascii="宋体" w:hAnsi="宋体" w:cs="宋体"/>
                <w:color w:val="000000" w:themeColor="text1"/>
                <w:spacing w:val="0"/>
                <w:kern w:val="0"/>
                <w:position w:val="0"/>
                <w:sz w:val="21"/>
                <w:szCs w:val="21"/>
                <w:highlight w:val="none"/>
                <w:lang w:eastAsia="zh-CN"/>
              </w:rPr>
              <w:t>材质不应为</w:t>
            </w:r>
            <w:r>
              <w:rPr>
                <w:rFonts w:hint="eastAsia" w:cs="宋体"/>
                <w:color w:val="000000" w:themeColor="text1"/>
                <w:spacing w:val="0"/>
                <w:kern w:val="0"/>
                <w:position w:val="0"/>
                <w:sz w:val="21"/>
                <w:szCs w:val="21"/>
                <w:highlight w:val="none"/>
                <w:lang w:eastAsia="zh-CN"/>
              </w:rPr>
              <w:t>木制品</w:t>
            </w:r>
            <w:r>
              <w:rPr>
                <w:rFonts w:hint="eastAsia" w:ascii="宋体" w:hAnsi="宋体" w:cs="宋体"/>
                <w:color w:val="000000" w:themeColor="text1"/>
                <w:kern w:val="0"/>
                <w:sz w:val="21"/>
                <w:szCs w:val="21"/>
                <w:highlight w:val="none"/>
              </w:rPr>
              <w:t>或</w:t>
            </w:r>
            <w:r>
              <w:rPr>
                <w:rFonts w:hint="eastAsia" w:ascii="宋体" w:hAnsi="宋体" w:cs="宋体"/>
                <w:color w:val="000000" w:themeColor="text1"/>
                <w:kern w:val="0"/>
                <w:sz w:val="21"/>
                <w:szCs w:val="21"/>
                <w:highlight w:val="none"/>
                <w:lang w:eastAsia="zh-CN"/>
              </w:rPr>
              <w:t>易燃</w:t>
            </w:r>
            <w:r>
              <w:rPr>
                <w:rFonts w:hint="eastAsia" w:ascii="宋体" w:hAnsi="宋体" w:cs="宋体"/>
                <w:color w:val="000000" w:themeColor="text1"/>
                <w:kern w:val="0"/>
                <w:sz w:val="21"/>
                <w:szCs w:val="21"/>
                <w:highlight w:val="none"/>
              </w:rPr>
              <w:t>材质</w:t>
            </w:r>
            <w:r>
              <w:rPr>
                <w:rFonts w:hint="eastAsia" w:ascii="宋体" w:hAnsi="宋体" w:cs="宋体"/>
                <w:color w:val="000000" w:themeColor="text1"/>
                <w:kern w:val="0"/>
                <w:sz w:val="21"/>
                <w:szCs w:val="21"/>
                <w:highlight w:val="none"/>
                <w:lang w:eastAsia="zh-CN"/>
              </w:rPr>
              <w:t>，</w:t>
            </w:r>
            <w:r>
              <w:rPr>
                <w:rFonts w:hint="eastAsia" w:ascii="宋体" w:hAnsi="宋体" w:eastAsia="宋体" w:cs="宋体"/>
                <w:color w:val="000000" w:themeColor="text1"/>
                <w:spacing w:val="0"/>
                <w:kern w:val="0"/>
                <w:sz w:val="21"/>
                <w:szCs w:val="21"/>
                <w:highlight w:val="none"/>
              </w:rPr>
              <w:t>垫底高度</w:t>
            </w:r>
            <w:r>
              <w:rPr>
                <w:rFonts w:hint="eastAsia" w:cs="宋体"/>
                <w:color w:val="000000" w:themeColor="text1"/>
                <w:spacing w:val="0"/>
                <w:kern w:val="0"/>
                <w:sz w:val="21"/>
                <w:szCs w:val="21"/>
                <w:highlight w:val="none"/>
                <w:lang w:eastAsia="zh-CN"/>
              </w:rPr>
              <w:t>应</w:t>
            </w:r>
            <w:r>
              <w:rPr>
                <w:rFonts w:hint="eastAsia" w:ascii="宋体" w:hAnsi="宋体" w:eastAsia="宋体" w:cs="宋体"/>
                <w:color w:val="000000" w:themeColor="text1"/>
                <w:kern w:val="0"/>
                <w:sz w:val="21"/>
                <w:szCs w:val="21"/>
                <w:highlight w:val="none"/>
                <w:lang w:val="en-US" w:eastAsia="zh-CN" w:bidi="ar-SA"/>
              </w:rPr>
              <w:t>15cm以上</w:t>
            </w:r>
            <w:r>
              <w:rPr>
                <w:rFonts w:hint="eastAsia" w:cs="宋体"/>
                <w:color w:val="000000" w:themeColor="text1"/>
                <w:kern w:val="0"/>
                <w:sz w:val="21"/>
                <w:szCs w:val="21"/>
                <w:highlight w:val="none"/>
                <w:lang w:val="en-US" w:eastAsia="zh-CN" w:bidi="ar-SA"/>
              </w:rPr>
              <w:t>。</w:t>
            </w:r>
          </w:p>
          <w:p w14:paraId="682BE7E5">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bidi="ar-SA"/>
              </w:rPr>
              <w:t>次氯酸钠溶液</w:t>
            </w:r>
            <w:r>
              <w:rPr>
                <w:rFonts w:hint="eastAsia" w:ascii="宋体" w:hAnsi="宋体" w:cs="宋体"/>
                <w:color w:val="000000" w:themeColor="text1"/>
                <w:spacing w:val="0"/>
                <w:kern w:val="0"/>
                <w:sz w:val="21"/>
                <w:szCs w:val="21"/>
                <w:highlight w:val="none"/>
                <w:lang w:eastAsia="zh-CN"/>
              </w:rPr>
              <w:t>应设置垫底设施，</w:t>
            </w:r>
            <w:r>
              <w:rPr>
                <w:rFonts w:hint="eastAsia" w:ascii="宋体" w:hAnsi="宋体" w:eastAsia="宋体" w:cs="宋体"/>
                <w:color w:val="000000" w:themeColor="text1"/>
                <w:kern w:val="0"/>
                <w:sz w:val="21"/>
                <w:szCs w:val="21"/>
                <w:highlight w:val="none"/>
                <w:lang w:val="en-US" w:eastAsia="zh-CN" w:bidi="ar-SA"/>
              </w:rPr>
              <w:t>垫底高度不小于10cm。</w:t>
            </w:r>
          </w:p>
        </w:tc>
        <w:tc>
          <w:tcPr>
            <w:tcW w:w="1236" w:type="pct"/>
            <w:tcBorders>
              <w:tl2br w:val="nil"/>
              <w:tr2bl w:val="nil"/>
            </w:tcBorders>
            <w:shd w:val="clear" w:color="auto" w:fill="auto"/>
            <w:vAlign w:val="center"/>
          </w:tcPr>
          <w:p w14:paraId="793C634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乙酸</w:t>
            </w:r>
            <w:r>
              <w:rPr>
                <w:rFonts w:hint="eastAsia" w:cs="宋体"/>
                <w:color w:val="000000" w:themeColor="text1"/>
                <w:spacing w:val="0"/>
                <w:kern w:val="0"/>
                <w:sz w:val="21"/>
                <w:szCs w:val="21"/>
                <w:highlight w:val="none"/>
                <w:lang w:eastAsia="zh-CN"/>
              </w:rPr>
              <w:t>已</w:t>
            </w:r>
            <w:r>
              <w:rPr>
                <w:rFonts w:hint="eastAsia" w:ascii="宋体" w:hAnsi="宋体" w:cs="宋体"/>
                <w:color w:val="000000" w:themeColor="text1"/>
                <w:spacing w:val="0"/>
                <w:kern w:val="0"/>
                <w:sz w:val="21"/>
                <w:szCs w:val="21"/>
                <w:highlight w:val="none"/>
                <w:lang w:eastAsia="zh-CN"/>
              </w:rPr>
              <w:t>设置垫底设施，</w:t>
            </w:r>
            <w:r>
              <w:rPr>
                <w:rFonts w:hint="eastAsia" w:ascii="宋体" w:hAnsi="宋体" w:cs="宋体"/>
                <w:color w:val="000000" w:themeColor="text1"/>
                <w:spacing w:val="0"/>
                <w:kern w:val="0"/>
                <w:position w:val="0"/>
                <w:sz w:val="21"/>
                <w:szCs w:val="21"/>
                <w:highlight w:val="none"/>
                <w:lang w:eastAsia="zh-CN"/>
              </w:rPr>
              <w:t>材质为</w:t>
            </w:r>
            <w:r>
              <w:rPr>
                <w:rFonts w:hint="eastAsia" w:cs="宋体"/>
                <w:color w:val="000000" w:themeColor="text1"/>
                <w:spacing w:val="0"/>
                <w:kern w:val="0"/>
                <w:position w:val="0"/>
                <w:sz w:val="21"/>
                <w:szCs w:val="21"/>
                <w:highlight w:val="none"/>
                <w:lang w:eastAsia="zh-CN"/>
              </w:rPr>
              <w:t>不然</w:t>
            </w:r>
            <w:r>
              <w:rPr>
                <w:rFonts w:hint="eastAsia" w:ascii="宋体" w:hAnsi="宋体" w:cs="宋体"/>
                <w:color w:val="000000" w:themeColor="text1"/>
                <w:kern w:val="0"/>
                <w:sz w:val="21"/>
                <w:szCs w:val="21"/>
                <w:highlight w:val="none"/>
              </w:rPr>
              <w:t>材质</w:t>
            </w:r>
            <w:r>
              <w:rPr>
                <w:rFonts w:hint="eastAsia" w:ascii="宋体" w:hAnsi="宋体" w:cs="宋体"/>
                <w:color w:val="000000" w:themeColor="text1"/>
                <w:kern w:val="0"/>
                <w:sz w:val="21"/>
                <w:szCs w:val="21"/>
                <w:highlight w:val="none"/>
                <w:lang w:eastAsia="zh-CN"/>
              </w:rPr>
              <w:t>，</w:t>
            </w:r>
            <w:r>
              <w:rPr>
                <w:rFonts w:hint="eastAsia" w:ascii="宋体" w:hAnsi="宋体" w:eastAsia="宋体" w:cs="宋体"/>
                <w:color w:val="000000" w:themeColor="text1"/>
                <w:spacing w:val="0"/>
                <w:kern w:val="0"/>
                <w:sz w:val="21"/>
                <w:szCs w:val="21"/>
                <w:highlight w:val="none"/>
              </w:rPr>
              <w:t>垫底高度</w:t>
            </w:r>
            <w:r>
              <w:rPr>
                <w:rFonts w:hint="eastAsia" w:cs="宋体"/>
                <w:color w:val="000000" w:themeColor="text1"/>
                <w:kern w:val="0"/>
                <w:sz w:val="21"/>
                <w:szCs w:val="21"/>
                <w:highlight w:val="none"/>
                <w:lang w:val="en-US" w:eastAsia="zh-CN" w:bidi="ar-SA"/>
              </w:rPr>
              <w:t>20</w:t>
            </w:r>
            <w:r>
              <w:rPr>
                <w:rFonts w:hint="eastAsia" w:ascii="宋体" w:hAnsi="宋体" w:eastAsia="宋体" w:cs="宋体"/>
                <w:color w:val="000000" w:themeColor="text1"/>
                <w:kern w:val="0"/>
                <w:sz w:val="21"/>
                <w:szCs w:val="21"/>
                <w:highlight w:val="none"/>
                <w:lang w:val="en-US" w:eastAsia="zh-CN" w:bidi="ar-SA"/>
              </w:rPr>
              <w:t>cm</w:t>
            </w:r>
            <w:r>
              <w:rPr>
                <w:rFonts w:hint="eastAsia" w:cs="宋体"/>
                <w:color w:val="000000" w:themeColor="text1"/>
                <w:kern w:val="0"/>
                <w:sz w:val="21"/>
                <w:szCs w:val="21"/>
                <w:highlight w:val="none"/>
                <w:lang w:val="en-US" w:eastAsia="zh-CN" w:bidi="ar-SA"/>
              </w:rPr>
              <w:t>。</w:t>
            </w:r>
          </w:p>
          <w:p w14:paraId="53398BD0">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次氯酸钠溶液</w:t>
            </w:r>
            <w:r>
              <w:rPr>
                <w:rFonts w:hint="eastAsia" w:cs="宋体"/>
                <w:color w:val="000000" w:themeColor="text1"/>
                <w:spacing w:val="0"/>
                <w:kern w:val="0"/>
                <w:sz w:val="21"/>
                <w:szCs w:val="21"/>
                <w:highlight w:val="none"/>
                <w:lang w:eastAsia="zh-CN"/>
              </w:rPr>
              <w:t>已</w:t>
            </w:r>
            <w:r>
              <w:rPr>
                <w:rFonts w:hint="eastAsia" w:ascii="宋体" w:hAnsi="宋体" w:cs="宋体"/>
                <w:color w:val="000000" w:themeColor="text1"/>
                <w:spacing w:val="0"/>
                <w:kern w:val="0"/>
                <w:sz w:val="21"/>
                <w:szCs w:val="21"/>
                <w:highlight w:val="none"/>
                <w:lang w:eastAsia="zh-CN"/>
              </w:rPr>
              <w:t>设置垫底设施，</w:t>
            </w:r>
            <w:r>
              <w:rPr>
                <w:rFonts w:hint="eastAsia" w:ascii="宋体" w:hAnsi="宋体" w:eastAsia="宋体" w:cs="宋体"/>
                <w:color w:val="000000" w:themeColor="text1"/>
                <w:kern w:val="0"/>
                <w:sz w:val="21"/>
                <w:szCs w:val="21"/>
                <w:highlight w:val="none"/>
                <w:lang w:val="en-US" w:eastAsia="zh-CN" w:bidi="ar-SA"/>
              </w:rPr>
              <w:t>垫底高度</w:t>
            </w:r>
            <w:r>
              <w:rPr>
                <w:rFonts w:hint="eastAsia" w:cs="宋体"/>
                <w:color w:val="000000" w:themeColor="text1"/>
                <w:kern w:val="0"/>
                <w:sz w:val="21"/>
                <w:szCs w:val="21"/>
                <w:highlight w:val="none"/>
                <w:lang w:val="en-US" w:eastAsia="zh-CN" w:bidi="ar-SA"/>
              </w:rPr>
              <w:t>20</w:t>
            </w:r>
            <w:r>
              <w:rPr>
                <w:rFonts w:hint="eastAsia" w:ascii="宋体" w:hAnsi="宋体" w:eastAsia="宋体" w:cs="宋体"/>
                <w:color w:val="000000" w:themeColor="text1"/>
                <w:kern w:val="0"/>
                <w:sz w:val="21"/>
                <w:szCs w:val="21"/>
                <w:highlight w:val="none"/>
                <w:lang w:val="en-US" w:eastAsia="zh-CN" w:bidi="ar-SA"/>
              </w:rPr>
              <w:t>cm。</w:t>
            </w:r>
          </w:p>
        </w:tc>
      </w:tr>
      <w:tr w14:paraId="028E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4" w:type="pct"/>
            <w:tcBorders>
              <w:tl2br w:val="nil"/>
              <w:tr2bl w:val="nil"/>
            </w:tcBorders>
            <w:shd w:val="clear" w:color="auto" w:fill="auto"/>
            <w:noWrap/>
            <w:vAlign w:val="center"/>
          </w:tcPr>
          <w:p w14:paraId="6CE35BAA">
            <w:pPr>
              <w:keepNext w:val="0"/>
              <w:keepLines w:val="0"/>
              <w:pageBreakBefore w:val="0"/>
              <w:widowControl w:val="0"/>
              <w:numPr>
                <w:ilvl w:val="0"/>
                <w:numId w:val="7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p>
        </w:tc>
        <w:tc>
          <w:tcPr>
            <w:tcW w:w="1433" w:type="pct"/>
            <w:tcBorders>
              <w:tl2br w:val="nil"/>
              <w:tr2bl w:val="nil"/>
            </w:tcBorders>
            <w:shd w:val="clear" w:color="auto" w:fill="auto"/>
            <w:vAlign w:val="center"/>
          </w:tcPr>
          <w:p w14:paraId="624A089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乙酸包装桶、过碳酸钠包装袋、次氯酸</w:t>
            </w:r>
            <w:r>
              <w:rPr>
                <w:rFonts w:hint="eastAsia" w:cs="宋体"/>
                <w:color w:val="000000" w:themeColor="text1"/>
                <w:kern w:val="0"/>
                <w:sz w:val="21"/>
                <w:szCs w:val="21"/>
                <w:highlight w:val="none"/>
                <w:lang w:val="en-US" w:eastAsia="zh-CN" w:bidi="ar-SA"/>
              </w:rPr>
              <w:t>钠</w:t>
            </w:r>
            <w:r>
              <w:rPr>
                <w:rFonts w:hint="eastAsia" w:ascii="宋体" w:hAnsi="宋体" w:eastAsia="宋体" w:cs="宋体"/>
                <w:color w:val="000000" w:themeColor="text1"/>
                <w:kern w:val="0"/>
                <w:sz w:val="21"/>
                <w:szCs w:val="21"/>
                <w:highlight w:val="none"/>
                <w:lang w:val="en-US" w:eastAsia="zh-CN" w:bidi="ar-SA"/>
              </w:rPr>
              <w:t>溶液包装桶上未粘贴或者拴挂化学品安全标签。</w:t>
            </w:r>
          </w:p>
        </w:tc>
        <w:tc>
          <w:tcPr>
            <w:tcW w:w="828" w:type="pct"/>
            <w:tcBorders>
              <w:tl2br w:val="nil"/>
              <w:tr2bl w:val="nil"/>
            </w:tcBorders>
            <w:shd w:val="clear" w:color="auto" w:fill="auto"/>
            <w:vAlign w:val="center"/>
          </w:tcPr>
          <w:p w14:paraId="5839D9D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浙应急基础〔2020〕75号第8.1.11条</w:t>
            </w:r>
          </w:p>
        </w:tc>
        <w:tc>
          <w:tcPr>
            <w:tcW w:w="1236" w:type="pct"/>
            <w:tcBorders>
              <w:tl2br w:val="nil"/>
              <w:tr2bl w:val="nil"/>
            </w:tcBorders>
            <w:shd w:val="clear" w:color="auto" w:fill="auto"/>
            <w:vAlign w:val="center"/>
          </w:tcPr>
          <w:p w14:paraId="172A724C">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bidi="ar-SA"/>
              </w:rPr>
              <w:t>乙酸包装桶、过碳酸钠包装袋、次氯酸</w:t>
            </w:r>
            <w:r>
              <w:rPr>
                <w:rFonts w:hint="eastAsia" w:cs="宋体"/>
                <w:color w:val="000000" w:themeColor="text1"/>
                <w:kern w:val="0"/>
                <w:sz w:val="21"/>
                <w:szCs w:val="21"/>
                <w:highlight w:val="none"/>
                <w:lang w:val="en-US" w:eastAsia="zh-CN" w:bidi="ar-SA"/>
              </w:rPr>
              <w:t>钠</w:t>
            </w:r>
            <w:r>
              <w:rPr>
                <w:rFonts w:hint="eastAsia" w:ascii="宋体" w:hAnsi="宋体" w:eastAsia="宋体" w:cs="宋体"/>
                <w:color w:val="000000" w:themeColor="text1"/>
                <w:kern w:val="0"/>
                <w:sz w:val="21"/>
                <w:szCs w:val="21"/>
                <w:highlight w:val="none"/>
                <w:lang w:val="en-US" w:eastAsia="zh-CN" w:bidi="ar-SA"/>
              </w:rPr>
              <w:t>溶液包装桶上</w:t>
            </w:r>
            <w:r>
              <w:rPr>
                <w:rFonts w:hint="eastAsia" w:cs="宋体"/>
                <w:color w:val="000000" w:themeColor="text1"/>
                <w:kern w:val="0"/>
                <w:sz w:val="21"/>
                <w:szCs w:val="21"/>
                <w:highlight w:val="none"/>
                <w:lang w:val="en-US" w:eastAsia="zh-CN" w:bidi="ar-SA"/>
              </w:rPr>
              <w:t>应</w:t>
            </w:r>
            <w:r>
              <w:rPr>
                <w:rFonts w:hint="eastAsia" w:ascii="宋体" w:hAnsi="宋体" w:eastAsia="宋体" w:cs="宋体"/>
                <w:color w:val="000000" w:themeColor="text1"/>
                <w:kern w:val="0"/>
                <w:sz w:val="21"/>
                <w:szCs w:val="21"/>
                <w:highlight w:val="none"/>
                <w:lang w:val="en-US" w:eastAsia="zh-CN" w:bidi="ar-SA"/>
              </w:rPr>
              <w:t>粘贴或者拴挂化学品安全标签。</w:t>
            </w:r>
          </w:p>
        </w:tc>
        <w:tc>
          <w:tcPr>
            <w:tcW w:w="1236" w:type="pct"/>
            <w:tcBorders>
              <w:tl2br w:val="nil"/>
              <w:tr2bl w:val="nil"/>
            </w:tcBorders>
            <w:shd w:val="clear" w:color="auto" w:fill="auto"/>
            <w:vAlign w:val="center"/>
          </w:tcPr>
          <w:p w14:paraId="7AF4B116">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lang w:val="en-US" w:eastAsia="zh-CN" w:bidi="ar-SA"/>
              </w:rPr>
              <w:t>乙酸包装桶、过碳酸钠包装袋、次氯酸</w:t>
            </w:r>
            <w:r>
              <w:rPr>
                <w:rFonts w:hint="eastAsia" w:cs="宋体"/>
                <w:color w:val="000000" w:themeColor="text1"/>
                <w:kern w:val="0"/>
                <w:sz w:val="21"/>
                <w:szCs w:val="21"/>
                <w:highlight w:val="none"/>
                <w:lang w:val="en-US" w:eastAsia="zh-CN" w:bidi="ar-SA"/>
              </w:rPr>
              <w:t>钠</w:t>
            </w:r>
            <w:r>
              <w:rPr>
                <w:rFonts w:hint="eastAsia" w:ascii="宋体" w:hAnsi="宋体" w:eastAsia="宋体" w:cs="宋体"/>
                <w:color w:val="000000" w:themeColor="text1"/>
                <w:kern w:val="0"/>
                <w:sz w:val="21"/>
                <w:szCs w:val="21"/>
                <w:highlight w:val="none"/>
                <w:lang w:val="en-US" w:eastAsia="zh-CN" w:bidi="ar-SA"/>
              </w:rPr>
              <w:t>溶液包装桶上</w:t>
            </w:r>
            <w:r>
              <w:rPr>
                <w:rFonts w:hint="eastAsia" w:cs="宋体"/>
                <w:color w:val="000000" w:themeColor="text1"/>
                <w:kern w:val="0"/>
                <w:sz w:val="21"/>
                <w:szCs w:val="21"/>
                <w:highlight w:val="none"/>
                <w:lang w:val="en-US" w:eastAsia="zh-CN" w:bidi="ar-SA"/>
              </w:rPr>
              <w:t>应</w:t>
            </w:r>
            <w:r>
              <w:rPr>
                <w:rFonts w:hint="eastAsia" w:ascii="宋体" w:hAnsi="宋体" w:eastAsia="宋体" w:cs="宋体"/>
                <w:color w:val="000000" w:themeColor="text1"/>
                <w:kern w:val="0"/>
                <w:sz w:val="21"/>
                <w:szCs w:val="21"/>
                <w:highlight w:val="none"/>
                <w:lang w:val="en-US" w:eastAsia="zh-CN" w:bidi="ar-SA"/>
              </w:rPr>
              <w:t>粘贴或者拴挂化学品安全标签。</w:t>
            </w:r>
          </w:p>
        </w:tc>
      </w:tr>
      <w:tr w14:paraId="20712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4" w:type="pct"/>
            <w:tcBorders>
              <w:tl2br w:val="nil"/>
              <w:tr2bl w:val="nil"/>
            </w:tcBorders>
            <w:shd w:val="clear" w:color="auto" w:fill="auto"/>
            <w:noWrap/>
            <w:vAlign w:val="center"/>
          </w:tcPr>
          <w:p w14:paraId="6B2B8B68">
            <w:pPr>
              <w:keepNext w:val="0"/>
              <w:keepLines w:val="0"/>
              <w:pageBreakBefore w:val="0"/>
              <w:widowControl w:val="0"/>
              <w:numPr>
                <w:ilvl w:val="0"/>
                <w:numId w:val="7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bookmarkStart w:id="953" w:name="_Toc11493"/>
            <w:bookmarkStart w:id="954" w:name="_Toc19175"/>
            <w:bookmarkStart w:id="955" w:name="_Toc20563"/>
          </w:p>
        </w:tc>
        <w:tc>
          <w:tcPr>
            <w:tcW w:w="1433" w:type="pct"/>
            <w:tcBorders>
              <w:tl2br w:val="nil"/>
              <w:tr2bl w:val="nil"/>
            </w:tcBorders>
            <w:shd w:val="clear" w:color="auto" w:fill="auto"/>
            <w:vAlign w:val="center"/>
          </w:tcPr>
          <w:p w14:paraId="3EDCA85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000000" w:themeColor="text1"/>
                <w:kern w:val="0"/>
                <w:sz w:val="21"/>
                <w:szCs w:val="21"/>
                <w:highlight w:val="none"/>
                <w:lang w:val="en-US" w:eastAsia="zh-CN" w:bidi="ar-SA"/>
              </w:rPr>
            </w:pPr>
            <w:r>
              <w:rPr>
                <w:rFonts w:hint="eastAsia" w:cs="宋体"/>
                <w:color w:val="000000" w:themeColor="text1"/>
                <w:kern w:val="0"/>
                <w:sz w:val="21"/>
                <w:szCs w:val="21"/>
                <w:highlight w:val="none"/>
                <w:lang w:eastAsia="zh-CN"/>
              </w:rPr>
              <w:t>乙酸使用</w:t>
            </w:r>
            <w:r>
              <w:rPr>
                <w:rFonts w:hint="eastAsia"/>
                <w:color w:val="000000" w:themeColor="text1"/>
                <w:sz w:val="21"/>
                <w:szCs w:val="21"/>
                <w:highlight w:val="none"/>
              </w:rPr>
              <w:t>塑料容器储存。</w:t>
            </w:r>
          </w:p>
        </w:tc>
        <w:tc>
          <w:tcPr>
            <w:tcW w:w="828" w:type="pct"/>
            <w:tcBorders>
              <w:tl2br w:val="nil"/>
              <w:tr2bl w:val="nil"/>
            </w:tcBorders>
            <w:shd w:val="clear" w:color="auto" w:fill="auto"/>
            <w:vAlign w:val="center"/>
          </w:tcPr>
          <w:p w14:paraId="714AF52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lang w:val="en-US" w:eastAsia="zh-CN" w:bidi="ar-SA"/>
              </w:rPr>
            </w:pPr>
            <w:r>
              <w:rPr>
                <w:rFonts w:hint="eastAsia" w:ascii="宋体" w:hAnsi="宋体" w:eastAsia="宋体" w:cs="宋体"/>
                <w:bCs/>
                <w:color w:val="000000" w:themeColor="text1"/>
                <w:kern w:val="0"/>
                <w:sz w:val="21"/>
                <w:szCs w:val="21"/>
                <w:highlight w:val="none"/>
              </w:rPr>
              <w:t>浙应急基础</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2020</w:t>
            </w:r>
            <w:r>
              <w:rPr>
                <w:rFonts w:hint="eastAsia" w:ascii="宋体" w:hAnsi="宋体" w:eastAsia="宋体" w:cs="宋体"/>
                <w:bCs/>
                <w:color w:val="000000" w:themeColor="text1"/>
                <w:kern w:val="0"/>
                <w:sz w:val="21"/>
                <w:szCs w:val="21"/>
                <w:highlight w:val="none"/>
                <w:lang w:eastAsia="zh-CN"/>
              </w:rPr>
              <w:t>〕</w:t>
            </w:r>
            <w:r>
              <w:rPr>
                <w:rFonts w:hint="eastAsia" w:ascii="宋体" w:hAnsi="宋体" w:eastAsia="宋体" w:cs="宋体"/>
                <w:bCs/>
                <w:color w:val="000000" w:themeColor="text1"/>
                <w:kern w:val="0"/>
                <w:sz w:val="21"/>
                <w:szCs w:val="21"/>
                <w:highlight w:val="none"/>
              </w:rPr>
              <w:t>75号</w:t>
            </w:r>
            <w:r>
              <w:rPr>
                <w:rFonts w:hint="eastAsia" w:ascii="宋体" w:hAnsi="宋体" w:eastAsia="宋体" w:cs="宋体"/>
                <w:color w:val="000000" w:themeColor="text1"/>
                <w:kern w:val="0"/>
                <w:sz w:val="21"/>
                <w:szCs w:val="21"/>
                <w:highlight w:val="none"/>
              </w:rPr>
              <w:t>第8.1.1</w:t>
            </w:r>
            <w:r>
              <w:rPr>
                <w:rFonts w:hint="eastAsia" w:ascii="宋体" w:hAnsi="宋体" w:eastAsia="宋体" w:cs="宋体"/>
                <w:color w:val="000000" w:themeColor="text1"/>
                <w:kern w:val="0"/>
                <w:sz w:val="21"/>
                <w:szCs w:val="21"/>
                <w:highlight w:val="none"/>
                <w:lang w:val="en-US" w:eastAsia="zh-CN"/>
              </w:rPr>
              <w:t>3</w:t>
            </w:r>
            <w:r>
              <w:rPr>
                <w:rFonts w:hint="eastAsia" w:ascii="宋体" w:hAnsi="宋体" w:eastAsia="宋体" w:cs="宋体"/>
                <w:color w:val="000000" w:themeColor="text1"/>
                <w:kern w:val="0"/>
                <w:sz w:val="21"/>
                <w:szCs w:val="21"/>
                <w:highlight w:val="none"/>
              </w:rPr>
              <w:t>条</w:t>
            </w:r>
          </w:p>
        </w:tc>
        <w:tc>
          <w:tcPr>
            <w:tcW w:w="1236" w:type="pct"/>
            <w:tcBorders>
              <w:tl2br w:val="nil"/>
              <w:tr2bl w:val="nil"/>
            </w:tcBorders>
            <w:shd w:val="clear" w:color="auto" w:fill="auto"/>
            <w:vAlign w:val="center"/>
          </w:tcPr>
          <w:p w14:paraId="7D5CA80C">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000000" w:themeColor="text1"/>
                <w:kern w:val="0"/>
                <w:sz w:val="21"/>
                <w:szCs w:val="21"/>
                <w:highlight w:val="none"/>
                <w:lang w:val="en-US" w:eastAsia="zh-CN" w:bidi="ar-SA"/>
              </w:rPr>
            </w:pPr>
            <w:r>
              <w:rPr>
                <w:rFonts w:hint="eastAsia" w:cs="宋体"/>
                <w:color w:val="000000" w:themeColor="text1"/>
                <w:kern w:val="0"/>
                <w:sz w:val="21"/>
                <w:szCs w:val="21"/>
                <w:highlight w:val="none"/>
                <w:lang w:eastAsia="zh-CN"/>
              </w:rPr>
              <w:t>华美线业在</w:t>
            </w:r>
            <w:r>
              <w:rPr>
                <w:rFonts w:hint="eastAsia" w:cs="宋体"/>
                <w:color w:val="000000" w:themeColor="text1"/>
                <w:kern w:val="0"/>
                <w:sz w:val="21"/>
                <w:szCs w:val="21"/>
                <w:highlight w:val="none"/>
                <w:lang w:val="en-US" w:eastAsia="zh-CN"/>
              </w:rPr>
              <w:t>2025年完成整体搬迁，本项目在整体搬迁前加强安全管理，保障安全生产。</w:t>
            </w:r>
          </w:p>
        </w:tc>
        <w:tc>
          <w:tcPr>
            <w:tcW w:w="1236" w:type="pct"/>
            <w:tcBorders>
              <w:tl2br w:val="nil"/>
              <w:tr2bl w:val="nil"/>
            </w:tcBorders>
            <w:shd w:val="clear" w:color="auto" w:fill="auto"/>
            <w:vAlign w:val="center"/>
          </w:tcPr>
          <w:p w14:paraId="264F3ED2">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cs="宋体"/>
                <w:color w:val="000000" w:themeColor="text1"/>
                <w:kern w:val="0"/>
                <w:sz w:val="21"/>
                <w:szCs w:val="21"/>
                <w:highlight w:val="none"/>
                <w:lang w:eastAsia="zh-CN"/>
              </w:rPr>
            </w:pPr>
            <w:r>
              <w:rPr>
                <w:rFonts w:hint="eastAsia" w:cs="宋体"/>
                <w:color w:val="000000" w:themeColor="text1"/>
                <w:kern w:val="0"/>
                <w:sz w:val="21"/>
                <w:szCs w:val="21"/>
                <w:highlight w:val="none"/>
                <w:lang w:val="en-US" w:eastAsia="zh-CN"/>
              </w:rPr>
              <w:t>/</w:t>
            </w:r>
          </w:p>
        </w:tc>
      </w:tr>
      <w:tr w14:paraId="7DF3C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4" w:type="pct"/>
            <w:tcBorders>
              <w:tl2br w:val="nil"/>
              <w:tr2bl w:val="nil"/>
            </w:tcBorders>
            <w:shd w:val="clear" w:color="auto" w:fill="auto"/>
            <w:noWrap/>
            <w:vAlign w:val="center"/>
          </w:tcPr>
          <w:p w14:paraId="176AE94B">
            <w:pPr>
              <w:keepNext w:val="0"/>
              <w:keepLines w:val="0"/>
              <w:pageBreakBefore w:val="0"/>
              <w:widowControl w:val="0"/>
              <w:numPr>
                <w:ilvl w:val="0"/>
                <w:numId w:val="7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p>
        </w:tc>
        <w:tc>
          <w:tcPr>
            <w:tcW w:w="1433" w:type="pct"/>
            <w:tcBorders>
              <w:tl2br w:val="nil"/>
              <w:tr2bl w:val="nil"/>
            </w:tcBorders>
            <w:shd w:val="clear" w:color="auto" w:fill="auto"/>
            <w:vAlign w:val="center"/>
          </w:tcPr>
          <w:p w14:paraId="6DCE717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cs="宋体"/>
                <w:color w:val="000000" w:themeColor="text1"/>
                <w:kern w:val="0"/>
                <w:sz w:val="21"/>
                <w:szCs w:val="21"/>
                <w:highlight w:val="none"/>
                <w:lang w:eastAsia="zh-CN"/>
              </w:rPr>
            </w:pPr>
            <w:r>
              <w:rPr>
                <w:rFonts w:hint="eastAsia"/>
                <w:color w:val="000000" w:themeColor="text1"/>
                <w:sz w:val="21"/>
                <w:szCs w:val="21"/>
                <w:highlight w:val="none"/>
              </w:rPr>
              <w:t>危险化学品备货库房堆垛间距不满足GB15603-2022要求。</w:t>
            </w:r>
          </w:p>
        </w:tc>
        <w:tc>
          <w:tcPr>
            <w:tcW w:w="828" w:type="pct"/>
            <w:tcBorders>
              <w:tl2br w:val="nil"/>
              <w:tr2bl w:val="nil"/>
            </w:tcBorders>
            <w:shd w:val="clear" w:color="auto" w:fill="auto"/>
            <w:vAlign w:val="center"/>
          </w:tcPr>
          <w:p w14:paraId="12F022B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000000" w:themeColor="text1"/>
                <w:kern w:val="0"/>
                <w:sz w:val="21"/>
                <w:szCs w:val="21"/>
                <w:highlight w:val="none"/>
              </w:rPr>
            </w:pPr>
            <w:r>
              <w:rPr>
                <w:rFonts w:hint="eastAsia"/>
                <w:bCs/>
                <w:color w:val="000000" w:themeColor="text1"/>
                <w:sz w:val="21"/>
                <w:szCs w:val="21"/>
                <w:highlight w:val="none"/>
              </w:rPr>
              <w:t>GB15603-2022第6.2.5条</w:t>
            </w:r>
          </w:p>
        </w:tc>
        <w:tc>
          <w:tcPr>
            <w:tcW w:w="1236" w:type="pct"/>
            <w:tcBorders>
              <w:tl2br w:val="nil"/>
              <w:tr2bl w:val="nil"/>
            </w:tcBorders>
            <w:shd w:val="clear" w:color="auto" w:fill="auto"/>
            <w:vAlign w:val="center"/>
          </w:tcPr>
          <w:p w14:paraId="4522BB7C">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000000" w:themeColor="text1"/>
                <w:kern w:val="0"/>
                <w:sz w:val="21"/>
                <w:szCs w:val="21"/>
                <w:highlight w:val="none"/>
                <w:lang w:val="en-US" w:eastAsia="zh-CN" w:bidi="ar-SA"/>
              </w:rPr>
            </w:pPr>
            <w:r>
              <w:rPr>
                <w:rFonts w:hint="eastAsia" w:cs="宋体"/>
                <w:color w:val="000000" w:themeColor="text1"/>
                <w:kern w:val="0"/>
                <w:sz w:val="21"/>
                <w:szCs w:val="21"/>
                <w:highlight w:val="none"/>
                <w:lang w:eastAsia="zh-CN"/>
              </w:rPr>
              <w:t>华美线业在</w:t>
            </w:r>
            <w:r>
              <w:rPr>
                <w:rFonts w:hint="eastAsia" w:cs="宋体"/>
                <w:color w:val="000000" w:themeColor="text1"/>
                <w:kern w:val="0"/>
                <w:sz w:val="21"/>
                <w:szCs w:val="21"/>
                <w:highlight w:val="none"/>
                <w:lang w:val="en-US" w:eastAsia="zh-CN"/>
              </w:rPr>
              <w:t>2025年完成整体搬迁，本项目在整体搬迁前加强安全管理，保障安全生产。</w:t>
            </w:r>
          </w:p>
        </w:tc>
        <w:tc>
          <w:tcPr>
            <w:tcW w:w="1236" w:type="pct"/>
            <w:tcBorders>
              <w:tl2br w:val="nil"/>
              <w:tr2bl w:val="nil"/>
            </w:tcBorders>
            <w:shd w:val="clear" w:color="auto" w:fill="auto"/>
            <w:vAlign w:val="center"/>
          </w:tcPr>
          <w:p w14:paraId="3A32786A">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cs="宋体"/>
                <w:color w:val="000000" w:themeColor="text1"/>
                <w:kern w:val="0"/>
                <w:sz w:val="21"/>
                <w:szCs w:val="21"/>
                <w:highlight w:val="none"/>
                <w:lang w:eastAsia="zh-CN"/>
              </w:rPr>
            </w:pPr>
            <w:r>
              <w:rPr>
                <w:rFonts w:hint="eastAsia" w:cs="宋体"/>
                <w:color w:val="000000" w:themeColor="text1"/>
                <w:kern w:val="0"/>
                <w:sz w:val="21"/>
                <w:szCs w:val="21"/>
                <w:highlight w:val="none"/>
                <w:lang w:val="en-US" w:eastAsia="zh-CN"/>
              </w:rPr>
              <w:t>/</w:t>
            </w:r>
          </w:p>
        </w:tc>
      </w:tr>
      <w:tr w14:paraId="40354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4" w:type="pct"/>
            <w:tcBorders>
              <w:tl2br w:val="nil"/>
              <w:tr2bl w:val="nil"/>
            </w:tcBorders>
            <w:shd w:val="clear" w:color="auto" w:fill="auto"/>
            <w:noWrap/>
            <w:vAlign w:val="center"/>
          </w:tcPr>
          <w:p w14:paraId="1EC34316">
            <w:pPr>
              <w:keepNext w:val="0"/>
              <w:keepLines w:val="0"/>
              <w:pageBreakBefore w:val="0"/>
              <w:widowControl w:val="0"/>
              <w:numPr>
                <w:ilvl w:val="0"/>
                <w:numId w:val="7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p>
        </w:tc>
        <w:tc>
          <w:tcPr>
            <w:tcW w:w="1433" w:type="pct"/>
            <w:tcBorders>
              <w:tl2br w:val="nil"/>
              <w:tr2bl w:val="nil"/>
            </w:tcBorders>
            <w:shd w:val="clear" w:color="auto" w:fill="auto"/>
            <w:vAlign w:val="center"/>
          </w:tcPr>
          <w:p w14:paraId="5B359D5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000000" w:themeColor="text1"/>
                <w:sz w:val="21"/>
                <w:szCs w:val="21"/>
                <w:highlight w:val="none"/>
              </w:rPr>
            </w:pPr>
            <w:r>
              <w:rPr>
                <w:rFonts w:hint="eastAsia"/>
                <w:color w:val="000000" w:themeColor="text1"/>
                <w:sz w:val="21"/>
                <w:szCs w:val="21"/>
                <w:highlight w:val="none"/>
              </w:rPr>
              <w:t>危险化学品备货库房和漂染车间乙酸爆炸危险区域内存在不防爆电气设备和输配电线路。</w:t>
            </w:r>
          </w:p>
        </w:tc>
        <w:tc>
          <w:tcPr>
            <w:tcW w:w="828" w:type="pct"/>
            <w:tcBorders>
              <w:tl2br w:val="nil"/>
              <w:tr2bl w:val="nil"/>
            </w:tcBorders>
            <w:shd w:val="clear" w:color="auto" w:fill="auto"/>
            <w:vAlign w:val="center"/>
          </w:tcPr>
          <w:p w14:paraId="296EA18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sz w:val="21"/>
                <w:szCs w:val="21"/>
                <w:highlight w:val="none"/>
              </w:rPr>
              <w:t>GB50058-2014第3．1．1条</w:t>
            </w:r>
          </w:p>
        </w:tc>
        <w:tc>
          <w:tcPr>
            <w:tcW w:w="1236" w:type="pct"/>
            <w:tcBorders>
              <w:tl2br w:val="nil"/>
              <w:tr2bl w:val="nil"/>
            </w:tcBorders>
            <w:shd w:val="clear" w:color="auto" w:fill="auto"/>
            <w:vAlign w:val="center"/>
          </w:tcPr>
          <w:p w14:paraId="09E2BB1E">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000000" w:themeColor="text1"/>
                <w:kern w:val="0"/>
                <w:sz w:val="21"/>
                <w:szCs w:val="21"/>
                <w:highlight w:val="none"/>
                <w:lang w:val="en-US" w:eastAsia="zh-CN" w:bidi="ar-SA"/>
              </w:rPr>
            </w:pPr>
            <w:r>
              <w:rPr>
                <w:rFonts w:hint="eastAsia" w:cs="宋体"/>
                <w:color w:val="000000" w:themeColor="text1"/>
                <w:kern w:val="0"/>
                <w:sz w:val="21"/>
                <w:szCs w:val="21"/>
                <w:highlight w:val="none"/>
                <w:lang w:eastAsia="zh-CN"/>
              </w:rPr>
              <w:t>华美线业在</w:t>
            </w:r>
            <w:r>
              <w:rPr>
                <w:rFonts w:hint="eastAsia" w:cs="宋体"/>
                <w:color w:val="000000" w:themeColor="text1"/>
                <w:kern w:val="0"/>
                <w:sz w:val="21"/>
                <w:szCs w:val="21"/>
                <w:highlight w:val="none"/>
                <w:lang w:val="en-US" w:eastAsia="zh-CN"/>
              </w:rPr>
              <w:t>2025年完成整体搬迁，本项目在整体搬迁前加强安全管理，保障安全生产。</w:t>
            </w:r>
          </w:p>
        </w:tc>
        <w:tc>
          <w:tcPr>
            <w:tcW w:w="1236" w:type="pct"/>
            <w:tcBorders>
              <w:tl2br w:val="nil"/>
              <w:tr2bl w:val="nil"/>
            </w:tcBorders>
            <w:shd w:val="clear" w:color="auto" w:fill="auto"/>
            <w:vAlign w:val="center"/>
          </w:tcPr>
          <w:p w14:paraId="012D76A7">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cs="宋体"/>
                <w:color w:val="000000" w:themeColor="text1"/>
                <w:kern w:val="0"/>
                <w:sz w:val="21"/>
                <w:szCs w:val="21"/>
                <w:highlight w:val="none"/>
                <w:lang w:eastAsia="zh-CN"/>
              </w:rPr>
            </w:pPr>
            <w:r>
              <w:rPr>
                <w:rFonts w:hint="eastAsia" w:cs="宋体"/>
                <w:color w:val="000000" w:themeColor="text1"/>
                <w:kern w:val="0"/>
                <w:sz w:val="21"/>
                <w:szCs w:val="21"/>
                <w:highlight w:val="none"/>
                <w:lang w:val="en-US" w:eastAsia="zh-CN"/>
              </w:rPr>
              <w:t>/</w:t>
            </w:r>
          </w:p>
        </w:tc>
      </w:tr>
      <w:tr w14:paraId="1D5B8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4" w:type="pct"/>
            <w:tcBorders>
              <w:tl2br w:val="nil"/>
              <w:tr2bl w:val="nil"/>
            </w:tcBorders>
            <w:shd w:val="clear" w:color="auto" w:fill="auto"/>
            <w:noWrap/>
            <w:vAlign w:val="center"/>
          </w:tcPr>
          <w:p w14:paraId="31A4775F">
            <w:pPr>
              <w:keepNext w:val="0"/>
              <w:keepLines w:val="0"/>
              <w:pageBreakBefore w:val="0"/>
              <w:widowControl w:val="0"/>
              <w:numPr>
                <w:ilvl w:val="0"/>
                <w:numId w:val="7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p>
        </w:tc>
        <w:tc>
          <w:tcPr>
            <w:tcW w:w="1433" w:type="pct"/>
            <w:tcBorders>
              <w:tl2br w:val="nil"/>
              <w:tr2bl w:val="nil"/>
            </w:tcBorders>
            <w:shd w:val="clear" w:color="auto" w:fill="auto"/>
            <w:vAlign w:val="center"/>
          </w:tcPr>
          <w:p w14:paraId="492B589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000000" w:themeColor="text1"/>
                <w:sz w:val="21"/>
                <w:szCs w:val="21"/>
                <w:highlight w:val="none"/>
              </w:rPr>
            </w:pPr>
            <w:r>
              <w:rPr>
                <w:rFonts w:hint="eastAsia"/>
                <w:color w:val="000000" w:themeColor="text1"/>
                <w:sz w:val="21"/>
                <w:szCs w:val="21"/>
                <w:highlight w:val="none"/>
              </w:rPr>
              <w:t>漂染车间、漂染车间附房、药剂房未设置防雷装置。</w:t>
            </w:r>
          </w:p>
        </w:tc>
        <w:tc>
          <w:tcPr>
            <w:tcW w:w="828" w:type="pct"/>
            <w:tcBorders>
              <w:tl2br w:val="nil"/>
              <w:tr2bl w:val="nil"/>
            </w:tcBorders>
            <w:shd w:val="clear" w:color="auto" w:fill="auto"/>
            <w:vAlign w:val="center"/>
          </w:tcPr>
          <w:p w14:paraId="14952F0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sz w:val="21"/>
                <w:szCs w:val="21"/>
                <w:highlight w:val="none"/>
              </w:rPr>
              <w:t>GB50057-2010第4.1.1条GB50057-2010第4.1.2条</w:t>
            </w:r>
          </w:p>
        </w:tc>
        <w:tc>
          <w:tcPr>
            <w:tcW w:w="1236" w:type="pct"/>
            <w:tcBorders>
              <w:tl2br w:val="nil"/>
              <w:tr2bl w:val="nil"/>
            </w:tcBorders>
            <w:shd w:val="clear" w:color="auto" w:fill="auto"/>
            <w:vAlign w:val="center"/>
          </w:tcPr>
          <w:p w14:paraId="3041B9DC">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000000" w:themeColor="text1"/>
                <w:kern w:val="0"/>
                <w:sz w:val="21"/>
                <w:szCs w:val="21"/>
                <w:highlight w:val="none"/>
                <w:lang w:val="en-US" w:eastAsia="zh-CN" w:bidi="ar-SA"/>
              </w:rPr>
            </w:pPr>
            <w:r>
              <w:rPr>
                <w:rFonts w:hint="eastAsia" w:cs="宋体"/>
                <w:color w:val="000000" w:themeColor="text1"/>
                <w:kern w:val="0"/>
                <w:sz w:val="21"/>
                <w:szCs w:val="21"/>
                <w:highlight w:val="none"/>
                <w:lang w:eastAsia="zh-CN"/>
              </w:rPr>
              <w:t>华美线业在</w:t>
            </w:r>
            <w:r>
              <w:rPr>
                <w:rFonts w:hint="eastAsia" w:cs="宋体"/>
                <w:color w:val="000000" w:themeColor="text1"/>
                <w:kern w:val="0"/>
                <w:sz w:val="21"/>
                <w:szCs w:val="21"/>
                <w:highlight w:val="none"/>
                <w:lang w:val="en-US" w:eastAsia="zh-CN"/>
              </w:rPr>
              <w:t>2025年完成整体搬迁，本项目在整体搬迁前加强安全管理，保障安全生产。</w:t>
            </w:r>
          </w:p>
        </w:tc>
        <w:tc>
          <w:tcPr>
            <w:tcW w:w="1236" w:type="pct"/>
            <w:tcBorders>
              <w:tl2br w:val="nil"/>
              <w:tr2bl w:val="nil"/>
            </w:tcBorders>
            <w:shd w:val="clear" w:color="auto" w:fill="auto"/>
            <w:vAlign w:val="center"/>
          </w:tcPr>
          <w:p w14:paraId="5BDCCB12">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cs="宋体"/>
                <w:color w:val="000000" w:themeColor="text1"/>
                <w:kern w:val="0"/>
                <w:sz w:val="21"/>
                <w:szCs w:val="21"/>
                <w:highlight w:val="none"/>
                <w:lang w:eastAsia="zh-CN"/>
              </w:rPr>
            </w:pPr>
            <w:r>
              <w:rPr>
                <w:rFonts w:hint="eastAsia" w:cs="宋体"/>
                <w:color w:val="000000" w:themeColor="text1"/>
                <w:kern w:val="0"/>
                <w:sz w:val="21"/>
                <w:szCs w:val="21"/>
                <w:highlight w:val="none"/>
                <w:lang w:val="en-US" w:eastAsia="zh-CN"/>
              </w:rPr>
              <w:t>/</w:t>
            </w:r>
          </w:p>
        </w:tc>
      </w:tr>
      <w:tr w14:paraId="0CBB9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4" w:type="pct"/>
            <w:tcBorders>
              <w:tl2br w:val="nil"/>
              <w:tr2bl w:val="nil"/>
            </w:tcBorders>
            <w:shd w:val="clear" w:color="auto" w:fill="auto"/>
            <w:noWrap/>
            <w:vAlign w:val="center"/>
          </w:tcPr>
          <w:p w14:paraId="2398A9D0">
            <w:pPr>
              <w:keepNext w:val="0"/>
              <w:keepLines w:val="0"/>
              <w:pageBreakBefore w:val="0"/>
              <w:widowControl w:val="0"/>
              <w:numPr>
                <w:ilvl w:val="0"/>
                <w:numId w:val="7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highlight w:val="none"/>
              </w:rPr>
            </w:pPr>
          </w:p>
        </w:tc>
        <w:tc>
          <w:tcPr>
            <w:tcW w:w="1433" w:type="pct"/>
            <w:tcBorders>
              <w:tl2br w:val="nil"/>
              <w:tr2bl w:val="nil"/>
            </w:tcBorders>
            <w:shd w:val="clear" w:color="auto" w:fill="auto"/>
            <w:vAlign w:val="center"/>
          </w:tcPr>
          <w:p w14:paraId="4B02708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漂染车间未设置室内消火栓。</w:t>
            </w:r>
          </w:p>
        </w:tc>
        <w:tc>
          <w:tcPr>
            <w:tcW w:w="828" w:type="pct"/>
            <w:tcBorders>
              <w:tl2br w:val="nil"/>
              <w:tr2bl w:val="nil"/>
            </w:tcBorders>
            <w:shd w:val="clear" w:color="auto" w:fill="auto"/>
            <w:vAlign w:val="center"/>
          </w:tcPr>
          <w:p w14:paraId="18D1CF1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000000" w:themeColor="text1"/>
                <w:sz w:val="21"/>
                <w:szCs w:val="21"/>
                <w:highlight w:val="none"/>
              </w:rPr>
            </w:pPr>
            <w:r>
              <w:rPr>
                <w:rFonts w:hint="eastAsia" w:ascii="宋体" w:hAnsi="宋体" w:eastAsia="宋体" w:cs="宋体"/>
                <w:color w:val="000000" w:themeColor="text1"/>
                <w:sz w:val="21"/>
                <w:szCs w:val="21"/>
                <w:highlight w:val="none"/>
              </w:rPr>
              <w:t>GB50016-2014（2018版）第8.2.1条</w:t>
            </w:r>
          </w:p>
        </w:tc>
        <w:tc>
          <w:tcPr>
            <w:tcW w:w="1236" w:type="pct"/>
            <w:tcBorders>
              <w:tl2br w:val="nil"/>
              <w:tr2bl w:val="nil"/>
            </w:tcBorders>
            <w:shd w:val="clear" w:color="auto" w:fill="auto"/>
            <w:vAlign w:val="center"/>
          </w:tcPr>
          <w:p w14:paraId="347F221E">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000000" w:themeColor="text1"/>
                <w:kern w:val="0"/>
                <w:sz w:val="21"/>
                <w:szCs w:val="21"/>
                <w:highlight w:val="none"/>
                <w:lang w:val="en-US" w:eastAsia="zh-CN" w:bidi="ar-SA"/>
              </w:rPr>
            </w:pPr>
            <w:r>
              <w:rPr>
                <w:rFonts w:hint="eastAsia" w:cs="宋体"/>
                <w:color w:val="000000" w:themeColor="text1"/>
                <w:kern w:val="0"/>
                <w:sz w:val="21"/>
                <w:szCs w:val="21"/>
                <w:highlight w:val="none"/>
                <w:lang w:eastAsia="zh-CN"/>
              </w:rPr>
              <w:t>华美线业在</w:t>
            </w:r>
            <w:r>
              <w:rPr>
                <w:rFonts w:hint="eastAsia" w:cs="宋体"/>
                <w:color w:val="000000" w:themeColor="text1"/>
                <w:kern w:val="0"/>
                <w:sz w:val="21"/>
                <w:szCs w:val="21"/>
                <w:highlight w:val="none"/>
                <w:lang w:val="en-US" w:eastAsia="zh-CN"/>
              </w:rPr>
              <w:t>2025年完成整体搬迁，本项目在整体搬迁前加强安全管理，保障安全生产。</w:t>
            </w:r>
          </w:p>
        </w:tc>
        <w:tc>
          <w:tcPr>
            <w:tcW w:w="1236" w:type="pct"/>
            <w:tcBorders>
              <w:tl2br w:val="nil"/>
              <w:tr2bl w:val="nil"/>
            </w:tcBorders>
            <w:shd w:val="clear" w:color="auto" w:fill="auto"/>
            <w:vAlign w:val="center"/>
          </w:tcPr>
          <w:p w14:paraId="3A7CB1A2">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cs="宋体"/>
                <w:color w:val="000000" w:themeColor="text1"/>
                <w:kern w:val="0"/>
                <w:sz w:val="21"/>
                <w:szCs w:val="21"/>
                <w:highlight w:val="none"/>
                <w:lang w:eastAsia="zh-CN"/>
              </w:rPr>
            </w:pPr>
            <w:r>
              <w:rPr>
                <w:rFonts w:hint="eastAsia" w:cs="宋体"/>
                <w:color w:val="000000" w:themeColor="text1"/>
                <w:kern w:val="0"/>
                <w:sz w:val="21"/>
                <w:szCs w:val="21"/>
                <w:highlight w:val="none"/>
                <w:lang w:val="en-US" w:eastAsia="zh-CN"/>
              </w:rPr>
              <w:t>/</w:t>
            </w:r>
          </w:p>
        </w:tc>
      </w:tr>
    </w:tbl>
    <w:p w14:paraId="32C432D8">
      <w:pPr>
        <w:pStyle w:val="6"/>
        <w:keepNext w:val="0"/>
        <w:keepLines w:val="0"/>
        <w:pageBreakBefore w:val="0"/>
        <w:widowControl w:val="0"/>
        <w:kinsoku/>
        <w:wordWrap/>
        <w:overflowPunct/>
        <w:topLinePunct w:val="0"/>
        <w:autoSpaceDE/>
        <w:autoSpaceDN/>
        <w:bidi w:val="0"/>
        <w:adjustRightInd w:val="0"/>
        <w:snapToGrid w:val="0"/>
        <w:spacing w:beforeLines="50"/>
        <w:textAlignment w:val="auto"/>
        <w:rPr>
          <w:color w:val="000000" w:themeColor="text1"/>
          <w:szCs w:val="28"/>
          <w:highlight w:val="none"/>
        </w:rPr>
      </w:pPr>
      <w:bookmarkStart w:id="956" w:name="_Toc19369"/>
      <w:bookmarkStart w:id="957" w:name="_Toc17492"/>
      <w:bookmarkStart w:id="958" w:name="_Toc24306"/>
      <w:r>
        <w:rPr>
          <w:rFonts w:hint="eastAsia"/>
          <w:color w:val="000000" w:themeColor="text1"/>
          <w:szCs w:val="28"/>
          <w:highlight w:val="none"/>
        </w:rPr>
        <w:t>6.</w:t>
      </w:r>
      <w:r>
        <w:rPr>
          <w:rFonts w:hint="eastAsia"/>
          <w:color w:val="000000" w:themeColor="text1"/>
          <w:szCs w:val="28"/>
          <w:highlight w:val="none"/>
          <w:lang w:val="en-US" w:eastAsia="zh-CN"/>
        </w:rPr>
        <w:t>2</w:t>
      </w:r>
      <w:r>
        <w:rPr>
          <w:rFonts w:hint="eastAsia"/>
          <w:color w:val="000000" w:themeColor="text1"/>
          <w:szCs w:val="28"/>
          <w:highlight w:val="none"/>
        </w:rPr>
        <w:t>建议</w:t>
      </w:r>
      <w:bookmarkEnd w:id="953"/>
      <w:bookmarkEnd w:id="954"/>
      <w:bookmarkEnd w:id="955"/>
      <w:bookmarkEnd w:id="956"/>
      <w:bookmarkEnd w:id="957"/>
      <w:bookmarkEnd w:id="958"/>
    </w:p>
    <w:p w14:paraId="776CC5B0">
      <w:pPr>
        <w:keepNext w:val="0"/>
        <w:keepLines w:val="0"/>
        <w:pageBreakBefore w:val="0"/>
        <w:widowControl w:val="0"/>
        <w:numPr>
          <w:ilvl w:val="0"/>
          <w:numId w:val="7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进入</w:t>
      </w:r>
      <w:r>
        <w:rPr>
          <w:rFonts w:hint="eastAsia"/>
          <w:color w:val="000000" w:themeColor="text1"/>
          <w:sz w:val="28"/>
          <w:szCs w:val="28"/>
          <w:highlight w:val="none"/>
          <w:lang w:eastAsia="zh-CN"/>
        </w:rPr>
        <w:t>危险化学品备货库房西面</w:t>
      </w:r>
      <w:r>
        <w:rPr>
          <w:rFonts w:hint="eastAsia"/>
          <w:color w:val="000000" w:themeColor="text1"/>
          <w:sz w:val="28"/>
          <w:szCs w:val="28"/>
          <w:highlight w:val="none"/>
        </w:rPr>
        <w:t>区域的机动车辆，必须装设火星熄灭器（阻火器）。</w:t>
      </w:r>
    </w:p>
    <w:p w14:paraId="580D7D1E">
      <w:pPr>
        <w:keepNext w:val="0"/>
        <w:keepLines w:val="0"/>
        <w:pageBreakBefore w:val="0"/>
        <w:widowControl w:val="0"/>
        <w:numPr>
          <w:ilvl w:val="0"/>
          <w:numId w:val="7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乙酸分装地点位于漂染车间内，分装过程操作缺乏安全措施，如未远离其他可能产生火源的作业区域或用耐火结构隔开、无防静电措施、乙酸泄漏会在地沟中积聚、使用铁质工作，存在火灾风险，</w:t>
      </w:r>
      <w:r>
        <w:rPr>
          <w:rFonts w:hint="eastAsia"/>
          <w:color w:val="000000" w:themeColor="text1"/>
          <w:sz w:val="28"/>
          <w:szCs w:val="28"/>
          <w:highlight w:val="none"/>
          <w:lang w:eastAsia="zh-CN"/>
        </w:rPr>
        <w:t>建议取消漂染车间内乙酸分装作业。</w:t>
      </w:r>
    </w:p>
    <w:p w14:paraId="11705557">
      <w:pPr>
        <w:keepNext w:val="0"/>
        <w:keepLines w:val="0"/>
        <w:pageBreakBefore w:val="0"/>
        <w:widowControl w:val="0"/>
        <w:numPr>
          <w:ilvl w:val="0"/>
          <w:numId w:val="7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lang w:eastAsia="zh-CN"/>
        </w:rPr>
        <w:t>建议制定措施保障称量好的过碳酸钠和保险粉用不同塑料盆盛放。</w:t>
      </w:r>
    </w:p>
    <w:p w14:paraId="7BE712D5">
      <w:pPr>
        <w:keepNext w:val="0"/>
        <w:keepLines w:val="0"/>
        <w:pageBreakBefore w:val="0"/>
        <w:widowControl w:val="0"/>
        <w:numPr>
          <w:ilvl w:val="0"/>
          <w:numId w:val="7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lang w:eastAsia="zh-CN"/>
        </w:rPr>
        <w:t>漂染车间附房东、西面均</w:t>
      </w:r>
      <w:r>
        <w:rPr>
          <w:rFonts w:hint="eastAsia"/>
          <w:color w:val="000000" w:themeColor="text1"/>
          <w:sz w:val="28"/>
          <w:szCs w:val="28"/>
          <w:highlight w:val="none"/>
        </w:rPr>
        <w:t>搭建了雨棚</w:t>
      </w:r>
      <w:r>
        <w:rPr>
          <w:rFonts w:hint="eastAsia"/>
          <w:color w:val="000000" w:themeColor="text1"/>
          <w:sz w:val="28"/>
          <w:szCs w:val="28"/>
          <w:highlight w:val="none"/>
          <w:lang w:eastAsia="zh-CN"/>
        </w:rPr>
        <w:t>，</w:t>
      </w:r>
      <w:r>
        <w:rPr>
          <w:rFonts w:hint="eastAsia"/>
          <w:color w:val="000000" w:themeColor="text1"/>
          <w:sz w:val="28"/>
          <w:szCs w:val="28"/>
          <w:highlight w:val="none"/>
        </w:rPr>
        <w:t>建议</w:t>
      </w:r>
      <w:r>
        <w:rPr>
          <w:rFonts w:hint="eastAsia"/>
          <w:color w:val="000000" w:themeColor="text1"/>
          <w:sz w:val="28"/>
          <w:szCs w:val="28"/>
          <w:highlight w:val="none"/>
          <w:lang w:eastAsia="zh-CN"/>
        </w:rPr>
        <w:t>拆除</w:t>
      </w:r>
      <w:r>
        <w:rPr>
          <w:rFonts w:hint="eastAsia"/>
          <w:color w:val="000000" w:themeColor="text1"/>
          <w:sz w:val="28"/>
          <w:szCs w:val="28"/>
          <w:highlight w:val="none"/>
        </w:rPr>
        <w:t>。</w:t>
      </w:r>
    </w:p>
    <w:p w14:paraId="006C2E45">
      <w:pPr>
        <w:keepNext w:val="0"/>
        <w:keepLines w:val="0"/>
        <w:pageBreakBefore w:val="0"/>
        <w:widowControl w:val="0"/>
        <w:numPr>
          <w:ilvl w:val="0"/>
          <w:numId w:val="7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lang w:eastAsia="zh-CN"/>
        </w:rPr>
        <w:t>建议安全</w:t>
      </w:r>
      <w:r>
        <w:rPr>
          <w:rFonts w:hint="eastAsia"/>
          <w:color w:val="000000" w:themeColor="text1"/>
          <w:sz w:val="28"/>
          <w:szCs w:val="28"/>
          <w:highlight w:val="none"/>
        </w:rPr>
        <w:t>操作规程</w:t>
      </w:r>
      <w:r>
        <w:rPr>
          <w:rFonts w:hint="eastAsia"/>
          <w:color w:val="000000" w:themeColor="text1"/>
          <w:sz w:val="28"/>
          <w:szCs w:val="28"/>
          <w:highlight w:val="none"/>
          <w:lang w:eastAsia="zh-CN"/>
        </w:rPr>
        <w:t>中重点突出危险化学品安全操作规程内容</w:t>
      </w:r>
      <w:r>
        <w:rPr>
          <w:rFonts w:hint="eastAsia"/>
          <w:color w:val="000000" w:themeColor="text1"/>
          <w:sz w:val="28"/>
          <w:szCs w:val="28"/>
          <w:highlight w:val="none"/>
        </w:rPr>
        <w:t>，</w:t>
      </w:r>
      <w:r>
        <w:rPr>
          <w:rFonts w:hint="eastAsia"/>
          <w:color w:val="000000" w:themeColor="text1"/>
          <w:sz w:val="28"/>
          <w:szCs w:val="28"/>
          <w:highlight w:val="none"/>
          <w:lang w:eastAsia="zh-CN"/>
        </w:rPr>
        <w:t>危险化学品</w:t>
      </w:r>
      <w:r>
        <w:rPr>
          <w:rFonts w:hint="eastAsia"/>
          <w:color w:val="000000" w:themeColor="text1"/>
          <w:sz w:val="28"/>
          <w:szCs w:val="28"/>
          <w:highlight w:val="none"/>
        </w:rPr>
        <w:t>岗位操作人员定期培训考核，熟知</w:t>
      </w:r>
      <w:r>
        <w:rPr>
          <w:rFonts w:hint="eastAsia"/>
          <w:color w:val="000000" w:themeColor="text1"/>
          <w:sz w:val="28"/>
          <w:szCs w:val="28"/>
          <w:highlight w:val="none"/>
          <w:lang w:eastAsia="zh-CN"/>
        </w:rPr>
        <w:t>安全</w:t>
      </w:r>
      <w:r>
        <w:rPr>
          <w:rFonts w:hint="eastAsia"/>
          <w:color w:val="000000" w:themeColor="text1"/>
          <w:sz w:val="28"/>
          <w:szCs w:val="28"/>
          <w:highlight w:val="none"/>
        </w:rPr>
        <w:t>操作规程。</w:t>
      </w:r>
    </w:p>
    <w:p w14:paraId="20894ECA">
      <w:pPr>
        <w:keepNext w:val="0"/>
        <w:keepLines w:val="0"/>
        <w:pageBreakBefore w:val="0"/>
        <w:widowControl w:val="0"/>
        <w:numPr>
          <w:ilvl w:val="0"/>
          <w:numId w:val="7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lang w:eastAsia="zh-CN"/>
        </w:rPr>
        <w:t>建议加强对搬运危险化学品的小推车的安全检查，确保小推车护栏完好。</w:t>
      </w:r>
    </w:p>
    <w:p w14:paraId="76B6E6A0">
      <w:pPr>
        <w:keepNext w:val="0"/>
        <w:keepLines w:val="0"/>
        <w:pageBreakBefore w:val="0"/>
        <w:widowControl w:val="0"/>
        <w:numPr>
          <w:ilvl w:val="0"/>
          <w:numId w:val="7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lang w:eastAsia="zh-CN"/>
        </w:rPr>
        <w:t>建议针对危险化学品使用情况对《</w:t>
      </w:r>
      <w:r>
        <w:rPr>
          <w:rFonts w:hint="eastAsia"/>
          <w:color w:val="000000" w:themeColor="text1"/>
          <w:sz w:val="28"/>
          <w:szCs w:val="28"/>
          <w:highlight w:val="none"/>
        </w:rPr>
        <w:t>华美线业有限公司生产安全事故综合应急预案</w:t>
      </w:r>
      <w:r>
        <w:rPr>
          <w:rFonts w:hint="eastAsia"/>
          <w:color w:val="000000" w:themeColor="text1"/>
          <w:sz w:val="28"/>
          <w:szCs w:val="28"/>
          <w:highlight w:val="none"/>
          <w:lang w:eastAsia="zh-CN"/>
        </w:rPr>
        <w:t>》进行修订。</w:t>
      </w:r>
    </w:p>
    <w:p w14:paraId="658FA425">
      <w:pPr>
        <w:keepNext w:val="0"/>
        <w:keepLines w:val="0"/>
        <w:pageBreakBefore w:val="0"/>
        <w:widowControl w:val="0"/>
        <w:numPr>
          <w:ilvl w:val="0"/>
          <w:numId w:val="7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加强应急救援预案培训，通过应急演练强化操作人员应急处置能力及逃生能力。</w:t>
      </w:r>
    </w:p>
    <w:p w14:paraId="183C8374">
      <w:pPr>
        <w:keepNext w:val="0"/>
        <w:keepLines w:val="0"/>
        <w:pageBreakBefore w:val="0"/>
        <w:widowControl w:val="0"/>
        <w:numPr>
          <w:ilvl w:val="0"/>
          <w:numId w:val="7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加强管理，保持疏散出口和消防通道畅通，保证事故状态下人员及时疏散。</w:t>
      </w:r>
    </w:p>
    <w:p w14:paraId="04D075CE">
      <w:pPr>
        <w:keepNext w:val="0"/>
        <w:keepLines w:val="0"/>
        <w:pageBreakBefore w:val="0"/>
        <w:widowControl w:val="0"/>
        <w:numPr>
          <w:ilvl w:val="0"/>
          <w:numId w:val="7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应严格落实“危险作业安全管理制度</w:t>
      </w:r>
      <w:r>
        <w:rPr>
          <w:rFonts w:hint="eastAsia"/>
          <w:color w:val="000000" w:themeColor="text1"/>
          <w:sz w:val="28"/>
          <w:szCs w:val="28"/>
          <w:highlight w:val="none"/>
          <w:lang w:eastAsia="zh-CN"/>
        </w:rPr>
        <w:t>”“</w:t>
      </w:r>
      <w:r>
        <w:rPr>
          <w:rFonts w:hint="eastAsia"/>
          <w:color w:val="000000" w:themeColor="text1"/>
          <w:sz w:val="28"/>
          <w:szCs w:val="28"/>
          <w:highlight w:val="none"/>
        </w:rPr>
        <w:t>危险化学品使用安全操作规程”和“劳动防护用品安全管理制度</w:t>
      </w:r>
      <w:r>
        <w:rPr>
          <w:rFonts w:hint="eastAsia"/>
          <w:color w:val="000000" w:themeColor="text1"/>
          <w:sz w:val="28"/>
          <w:szCs w:val="28"/>
          <w:highlight w:val="none"/>
          <w:lang w:eastAsia="zh-CN"/>
        </w:rPr>
        <w:t>”“</w:t>
      </w:r>
      <w:r>
        <w:rPr>
          <w:rFonts w:hint="eastAsia"/>
          <w:color w:val="000000" w:themeColor="text1"/>
          <w:sz w:val="28"/>
          <w:szCs w:val="28"/>
          <w:highlight w:val="none"/>
        </w:rPr>
        <w:t>易燃易爆场所安全管理制度”和“特种设备及人员安全管理制度”等安全管理制度，落实相关责任，杜绝各类“三违”现象，消除事故</w:t>
      </w:r>
      <w:bookmarkStart w:id="959" w:name="_Toc190762593"/>
      <w:r>
        <w:rPr>
          <w:rFonts w:hint="eastAsia"/>
          <w:color w:val="000000" w:themeColor="text1"/>
          <w:sz w:val="28"/>
          <w:szCs w:val="28"/>
          <w:highlight w:val="none"/>
        </w:rPr>
        <w:t>隐患。</w:t>
      </w:r>
    </w:p>
    <w:p w14:paraId="7868E7C8">
      <w:pPr>
        <w:keepNext w:val="0"/>
        <w:keepLines w:val="0"/>
        <w:pageBreakBefore w:val="0"/>
        <w:widowControl w:val="0"/>
        <w:numPr>
          <w:ilvl w:val="0"/>
          <w:numId w:val="7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定期检查、试验消防栓和消防水系统的可靠性，确保消防栓可以随时投入使用。</w:t>
      </w:r>
    </w:p>
    <w:bookmarkEnd w:id="959"/>
    <w:p w14:paraId="7C8CCA6B">
      <w:pPr>
        <w:keepNext w:val="0"/>
        <w:keepLines w:val="0"/>
        <w:pageBreakBefore w:val="0"/>
        <w:widowControl w:val="0"/>
        <w:numPr>
          <w:ilvl w:val="0"/>
          <w:numId w:val="7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bookmarkStart w:id="960" w:name="_Toc234394545"/>
      <w:bookmarkStart w:id="961" w:name="_Toc449456928"/>
      <w:bookmarkStart w:id="962" w:name="_Toc190762599"/>
      <w:bookmarkStart w:id="963" w:name="_Toc449456837"/>
      <w:bookmarkStart w:id="964" w:name="_Toc198457598"/>
      <w:bookmarkStart w:id="965" w:name="_Toc198521526"/>
      <w:r>
        <w:rPr>
          <w:rFonts w:hint="eastAsia"/>
          <w:color w:val="000000" w:themeColor="text1"/>
          <w:sz w:val="28"/>
          <w:szCs w:val="28"/>
          <w:highlight w:val="none"/>
        </w:rPr>
        <w:t>危险化学品投料多为人工倒入，应加强毒害品和腐蚀品投料过程的劳动防护。</w:t>
      </w:r>
    </w:p>
    <w:p w14:paraId="2303AF0B">
      <w:pPr>
        <w:keepNext w:val="0"/>
        <w:keepLines w:val="0"/>
        <w:pageBreakBefore w:val="0"/>
        <w:widowControl w:val="0"/>
        <w:numPr>
          <w:ilvl w:val="0"/>
          <w:numId w:val="72"/>
        </w:numPr>
        <w:tabs>
          <w:tab w:val="left" w:pos="1418"/>
        </w:tabs>
        <w:kinsoku/>
        <w:wordWrap/>
        <w:topLinePunct w:val="0"/>
        <w:bidi w:val="0"/>
        <w:adjustRightInd w:val="0"/>
        <w:snapToGrid w:val="0"/>
        <w:spacing w:line="360" w:lineRule="auto"/>
        <w:ind w:left="0" w:firstLine="560" w:firstLineChars="200"/>
        <w:rPr>
          <w:color w:val="000000" w:themeColor="text1"/>
          <w:sz w:val="28"/>
          <w:szCs w:val="28"/>
          <w:highlight w:val="none"/>
        </w:rPr>
      </w:pPr>
      <w:r>
        <w:rPr>
          <w:rFonts w:hint="eastAsia"/>
          <w:color w:val="000000" w:themeColor="text1"/>
          <w:sz w:val="28"/>
          <w:szCs w:val="28"/>
          <w:highlight w:val="none"/>
        </w:rPr>
        <w:t>建议制定设备检维修过程使用酒精、油漆等危险化学品的安全操作规程。</w:t>
      </w:r>
    </w:p>
    <w:p w14:paraId="1C723F70">
      <w:pPr>
        <w:keepNext w:val="0"/>
        <w:keepLines w:val="0"/>
        <w:pageBreakBefore w:val="0"/>
        <w:widowControl w:val="0"/>
        <w:tabs>
          <w:tab w:val="left" w:pos="1418"/>
        </w:tabs>
        <w:kinsoku/>
        <w:wordWrap/>
        <w:topLinePunct w:val="0"/>
        <w:bidi w:val="0"/>
        <w:adjustRightInd w:val="0"/>
        <w:snapToGrid w:val="0"/>
        <w:spacing w:line="360" w:lineRule="auto"/>
        <w:rPr>
          <w:color w:val="000000" w:themeColor="text1"/>
          <w:sz w:val="28"/>
          <w:szCs w:val="28"/>
          <w:highlight w:val="none"/>
        </w:rPr>
        <w:sectPr>
          <w:footerReference r:id="rId25" w:type="default"/>
          <w:pgSz w:w="11907" w:h="16840"/>
          <w:pgMar w:top="1417" w:right="1134" w:bottom="1134" w:left="1587" w:header="794" w:footer="794" w:gutter="0"/>
          <w:pgBorders>
            <w:top w:val="none" w:sz="0" w:space="0"/>
            <w:left w:val="none" w:sz="0" w:space="0"/>
            <w:bottom w:val="none" w:sz="0" w:space="0"/>
            <w:right w:val="none" w:sz="0" w:space="0"/>
          </w:pgBorders>
          <w:cols w:space="720" w:num="1"/>
          <w:docGrid w:linePitch="435" w:charSpace="2662"/>
        </w:sectPr>
      </w:pPr>
    </w:p>
    <w:p w14:paraId="62F3733E">
      <w:pPr>
        <w:pStyle w:val="5"/>
        <w:keepNext w:val="0"/>
        <w:keepLines w:val="0"/>
        <w:pageBreakBefore w:val="0"/>
        <w:widowControl w:val="0"/>
        <w:kinsoku/>
        <w:wordWrap/>
        <w:topLinePunct w:val="0"/>
        <w:bidi w:val="0"/>
        <w:adjustRightInd w:val="0"/>
        <w:snapToGrid w:val="0"/>
        <w:spacing w:before="240" w:after="240"/>
        <w:rPr>
          <w:color w:val="000000" w:themeColor="text1"/>
          <w:kern w:val="0"/>
          <w:highlight w:val="none"/>
        </w:rPr>
      </w:pPr>
      <w:bookmarkStart w:id="966" w:name="_Toc29090"/>
      <w:bookmarkStart w:id="967" w:name="_Toc30622"/>
      <w:bookmarkStart w:id="968" w:name="_Toc26498"/>
      <w:bookmarkStart w:id="969" w:name="_Toc3562"/>
      <w:bookmarkStart w:id="970" w:name="_Toc21894"/>
      <w:bookmarkStart w:id="971" w:name="_Toc606"/>
      <w:r>
        <w:rPr>
          <w:rFonts w:hint="eastAsia"/>
          <w:color w:val="000000" w:themeColor="text1"/>
          <w:kern w:val="0"/>
          <w:highlight w:val="none"/>
        </w:rPr>
        <w:t>7  评价结论</w:t>
      </w:r>
      <w:bookmarkEnd w:id="966"/>
      <w:bookmarkEnd w:id="967"/>
      <w:bookmarkEnd w:id="968"/>
      <w:bookmarkEnd w:id="969"/>
      <w:bookmarkEnd w:id="970"/>
      <w:bookmarkEnd w:id="971"/>
    </w:p>
    <w:bookmarkEnd w:id="960"/>
    <w:bookmarkEnd w:id="961"/>
    <w:bookmarkEnd w:id="962"/>
    <w:bookmarkEnd w:id="963"/>
    <w:bookmarkEnd w:id="964"/>
    <w:bookmarkEnd w:id="965"/>
    <w:p w14:paraId="240C360E">
      <w:pPr>
        <w:keepNext w:val="0"/>
        <w:keepLines w:val="0"/>
        <w:pageBreakBefore w:val="0"/>
        <w:widowControl w:val="0"/>
        <w:kinsoku/>
        <w:wordWrap/>
        <w:topLinePunct w:val="0"/>
        <w:bidi w:val="0"/>
        <w:adjustRightInd w:val="0"/>
        <w:snapToGrid w:val="0"/>
        <w:spacing w:line="360" w:lineRule="auto"/>
        <w:ind w:firstLine="560"/>
        <w:rPr>
          <w:color w:val="000000" w:themeColor="text1"/>
          <w:sz w:val="28"/>
          <w:szCs w:val="28"/>
          <w:highlight w:val="none"/>
        </w:rPr>
      </w:pPr>
      <w:r>
        <w:rPr>
          <w:rFonts w:hint="eastAsia"/>
          <w:color w:val="000000" w:themeColor="text1"/>
          <w:sz w:val="28"/>
          <w:szCs w:val="28"/>
          <w:highlight w:val="none"/>
        </w:rPr>
        <w:t>通过对华美线业有限公司危险化学品使用专项评价，得出以下结论：</w:t>
      </w:r>
    </w:p>
    <w:p w14:paraId="0E94DA5B">
      <w:pPr>
        <w:pStyle w:val="744"/>
        <w:keepNext w:val="0"/>
        <w:keepLines w:val="0"/>
        <w:pageBreakBefore w:val="0"/>
        <w:widowControl w:val="0"/>
        <w:numPr>
          <w:ilvl w:val="0"/>
          <w:numId w:val="73"/>
        </w:numPr>
        <w:kinsoku/>
        <w:wordWrap/>
        <w:topLinePunct w:val="0"/>
        <w:bidi w:val="0"/>
        <w:adjustRightInd w:val="0"/>
        <w:snapToGrid w:val="0"/>
        <w:spacing w:line="360" w:lineRule="auto"/>
        <w:ind w:left="0" w:leftChars="0" w:firstLine="420" w:firstLineChars="0"/>
        <w:jc w:val="both"/>
        <w:rPr>
          <w:color w:val="000000" w:themeColor="text1"/>
          <w:sz w:val="28"/>
          <w:szCs w:val="28"/>
          <w:highlight w:val="none"/>
        </w:rPr>
      </w:pPr>
      <w:r>
        <w:rPr>
          <w:rFonts w:hint="eastAsia"/>
          <w:color w:val="000000" w:themeColor="text1"/>
          <w:sz w:val="28"/>
          <w:szCs w:val="28"/>
          <w:highlight w:val="none"/>
        </w:rPr>
        <w:t>华美线业使用的氢氧化钠溶液、乙酸、过碳酸钠、保险粉、次氯酸钠溶液属于危险化学品，不涉及剧毒化学品；不涉及高毒物品；不涉及重点监管危险化学品；不涉及易制毒化学品；不涉及易制爆危险化学品；不涉及监控化学品；不涉及特别管控危险化学品。</w:t>
      </w:r>
    </w:p>
    <w:p w14:paraId="7F5A38E2">
      <w:pPr>
        <w:pStyle w:val="744"/>
        <w:keepNext w:val="0"/>
        <w:keepLines w:val="0"/>
        <w:pageBreakBefore w:val="0"/>
        <w:widowControl w:val="0"/>
        <w:numPr>
          <w:ilvl w:val="0"/>
          <w:numId w:val="73"/>
        </w:numPr>
        <w:kinsoku/>
        <w:wordWrap/>
        <w:topLinePunct w:val="0"/>
        <w:bidi w:val="0"/>
        <w:adjustRightInd w:val="0"/>
        <w:snapToGrid w:val="0"/>
        <w:spacing w:line="360" w:lineRule="auto"/>
        <w:ind w:left="0" w:leftChars="0" w:firstLine="420" w:firstLineChars="0"/>
        <w:jc w:val="both"/>
        <w:rPr>
          <w:rFonts w:hint="eastAsia"/>
          <w:color w:val="000000" w:themeColor="text1"/>
          <w:sz w:val="28"/>
          <w:szCs w:val="28"/>
          <w:highlight w:val="none"/>
        </w:rPr>
      </w:pPr>
      <w:r>
        <w:rPr>
          <w:rFonts w:hint="eastAsia"/>
          <w:color w:val="000000" w:themeColor="text1"/>
          <w:sz w:val="28"/>
          <w:szCs w:val="28"/>
          <w:highlight w:val="none"/>
        </w:rPr>
        <w:t>华美线业危险化学品</w:t>
      </w:r>
      <w:r>
        <w:rPr>
          <w:rFonts w:hint="eastAsia"/>
          <w:color w:val="000000" w:themeColor="text1"/>
          <w:sz w:val="28"/>
          <w:szCs w:val="28"/>
          <w:highlight w:val="none"/>
          <w:lang w:eastAsia="zh-CN"/>
        </w:rPr>
        <w:t>使用过程</w:t>
      </w:r>
      <w:r>
        <w:rPr>
          <w:rFonts w:hint="eastAsia"/>
          <w:color w:val="000000" w:themeColor="text1"/>
          <w:sz w:val="28"/>
          <w:szCs w:val="28"/>
          <w:highlight w:val="none"/>
        </w:rPr>
        <w:t>的</w:t>
      </w:r>
      <w:r>
        <w:rPr>
          <w:rFonts w:hint="eastAsia" w:ascii="宋体" w:hAnsi="宋体"/>
          <w:color w:val="000000" w:themeColor="text1"/>
          <w:sz w:val="28"/>
          <w:highlight w:val="none"/>
        </w:rPr>
        <w:t>主要危险、有害因素：火灾、爆炸；</w:t>
      </w:r>
      <w:r>
        <w:rPr>
          <w:rFonts w:hint="eastAsia" w:ascii="宋体" w:hAnsi="宋体"/>
          <w:color w:val="000000" w:themeColor="text1"/>
          <w:sz w:val="28"/>
          <w:szCs w:val="28"/>
          <w:highlight w:val="none"/>
        </w:rPr>
        <w:t>存在的次要危险、有害因素是</w:t>
      </w:r>
      <w:r>
        <w:rPr>
          <w:rFonts w:hint="eastAsia" w:ascii="宋体" w:hAnsi="宋体" w:cs="Times New Roman"/>
          <w:color w:val="000000" w:themeColor="text1"/>
          <w:sz w:val="28"/>
          <w:szCs w:val="28"/>
          <w:highlight w:val="none"/>
        </w:rPr>
        <w:t>灼烫</w:t>
      </w:r>
      <w:r>
        <w:rPr>
          <w:rFonts w:hint="eastAsia" w:ascii="宋体" w:hAnsi="宋体" w:cs="Times New Roman"/>
          <w:color w:val="000000" w:themeColor="text1"/>
          <w:sz w:val="28"/>
          <w:szCs w:val="28"/>
          <w:highlight w:val="none"/>
          <w:lang w:eastAsia="zh-CN"/>
        </w:rPr>
        <w:t>、</w:t>
      </w:r>
      <w:r>
        <w:rPr>
          <w:rFonts w:hint="eastAsia" w:ascii="宋体" w:hAnsi="宋体" w:cs="Times New Roman"/>
          <w:color w:val="000000" w:themeColor="text1"/>
          <w:sz w:val="28"/>
          <w:szCs w:val="28"/>
          <w:highlight w:val="none"/>
        </w:rPr>
        <w:t>中毒</w:t>
      </w:r>
      <w:r>
        <w:rPr>
          <w:rFonts w:hint="eastAsia" w:ascii="宋体" w:hAnsi="宋体" w:cs="Times New Roman"/>
          <w:color w:val="000000" w:themeColor="text1"/>
          <w:sz w:val="28"/>
          <w:szCs w:val="28"/>
          <w:highlight w:val="none"/>
          <w:lang w:eastAsia="zh-CN"/>
        </w:rPr>
        <w:t>、</w:t>
      </w:r>
      <w:r>
        <w:rPr>
          <w:rFonts w:hint="eastAsia" w:cs="Times New Roman"/>
          <w:color w:val="000000" w:themeColor="text1"/>
          <w:sz w:val="28"/>
          <w:szCs w:val="28"/>
          <w:highlight w:val="none"/>
        </w:rPr>
        <w:t>机械危害</w:t>
      </w:r>
      <w:r>
        <w:rPr>
          <w:rFonts w:hint="eastAsia" w:cs="Times New Roman"/>
          <w:color w:val="000000" w:themeColor="text1"/>
          <w:sz w:val="28"/>
          <w:szCs w:val="28"/>
          <w:highlight w:val="none"/>
          <w:lang w:eastAsia="zh-CN"/>
        </w:rPr>
        <w:t>、</w:t>
      </w:r>
      <w:r>
        <w:rPr>
          <w:rFonts w:hint="eastAsia" w:cs="Times New Roman"/>
          <w:color w:val="000000" w:themeColor="text1"/>
          <w:sz w:val="28"/>
          <w:szCs w:val="28"/>
          <w:highlight w:val="none"/>
        </w:rPr>
        <w:t>电气危害</w:t>
      </w:r>
      <w:r>
        <w:rPr>
          <w:rFonts w:hint="eastAsia" w:cs="Times New Roman"/>
          <w:color w:val="000000" w:themeColor="text1"/>
          <w:sz w:val="28"/>
          <w:szCs w:val="28"/>
          <w:highlight w:val="none"/>
          <w:lang w:eastAsia="zh-CN"/>
        </w:rPr>
        <w:t>、</w:t>
      </w:r>
      <w:r>
        <w:rPr>
          <w:rFonts w:hint="eastAsia" w:cs="Times New Roman"/>
          <w:color w:val="000000" w:themeColor="text1"/>
          <w:sz w:val="28"/>
          <w:szCs w:val="28"/>
          <w:highlight w:val="none"/>
        </w:rPr>
        <w:t>车辆伤害</w:t>
      </w:r>
      <w:r>
        <w:rPr>
          <w:rFonts w:hint="eastAsia" w:cs="Times New Roman"/>
          <w:color w:val="000000" w:themeColor="text1"/>
          <w:sz w:val="28"/>
          <w:szCs w:val="28"/>
          <w:highlight w:val="none"/>
          <w:lang w:eastAsia="zh-CN"/>
        </w:rPr>
        <w:t>和</w:t>
      </w:r>
      <w:r>
        <w:rPr>
          <w:rFonts w:hint="eastAsia" w:cs="Times New Roman"/>
          <w:color w:val="000000" w:themeColor="text1"/>
          <w:sz w:val="28"/>
          <w:szCs w:val="28"/>
          <w:highlight w:val="none"/>
        </w:rPr>
        <w:t>粉尘危害</w:t>
      </w:r>
      <w:r>
        <w:rPr>
          <w:rFonts w:hint="eastAsia"/>
          <w:color w:val="000000" w:themeColor="text1"/>
          <w:sz w:val="28"/>
          <w:szCs w:val="28"/>
          <w:highlight w:val="none"/>
        </w:rPr>
        <w:t>。</w:t>
      </w:r>
    </w:p>
    <w:p w14:paraId="01A95069">
      <w:pPr>
        <w:pStyle w:val="744"/>
        <w:keepNext w:val="0"/>
        <w:keepLines w:val="0"/>
        <w:pageBreakBefore w:val="0"/>
        <w:widowControl w:val="0"/>
        <w:numPr>
          <w:ilvl w:val="0"/>
          <w:numId w:val="73"/>
        </w:numPr>
        <w:kinsoku/>
        <w:wordWrap/>
        <w:topLinePunct w:val="0"/>
        <w:bidi w:val="0"/>
        <w:adjustRightInd w:val="0"/>
        <w:snapToGrid w:val="0"/>
        <w:spacing w:line="360" w:lineRule="auto"/>
        <w:ind w:left="0" w:leftChars="0" w:firstLine="420" w:firstLineChars="0"/>
        <w:jc w:val="both"/>
        <w:rPr>
          <w:rFonts w:hint="eastAsia"/>
          <w:color w:val="000000" w:themeColor="text1"/>
          <w:sz w:val="28"/>
          <w:szCs w:val="28"/>
          <w:highlight w:val="none"/>
        </w:rPr>
      </w:pPr>
      <w:r>
        <w:rPr>
          <w:rFonts w:hint="eastAsia"/>
          <w:color w:val="000000" w:themeColor="text1"/>
          <w:sz w:val="28"/>
          <w:szCs w:val="28"/>
          <w:highlight w:val="none"/>
        </w:rPr>
        <w:t>根据《危险化学品重大危险源辨识》GB18218-2018，华美线业</w:t>
      </w:r>
      <w:r>
        <w:rPr>
          <w:rFonts w:hint="eastAsia"/>
          <w:bCs/>
          <w:color w:val="000000" w:themeColor="text1"/>
          <w:sz w:val="28"/>
          <w:szCs w:val="28"/>
          <w:highlight w:val="none"/>
          <w:lang w:eastAsia="zh-CN"/>
        </w:rPr>
        <w:t>漂染</w:t>
      </w:r>
      <w:r>
        <w:rPr>
          <w:rFonts w:hint="eastAsia"/>
          <w:bCs/>
          <w:color w:val="000000" w:themeColor="text1"/>
          <w:sz w:val="28"/>
          <w:szCs w:val="28"/>
          <w:highlight w:val="none"/>
        </w:rPr>
        <w:t>车间附房、</w:t>
      </w:r>
      <w:r>
        <w:rPr>
          <w:rFonts w:hint="eastAsia"/>
          <w:bCs/>
          <w:color w:val="000000" w:themeColor="text1"/>
          <w:sz w:val="28"/>
          <w:szCs w:val="28"/>
          <w:highlight w:val="none"/>
          <w:lang w:eastAsia="zh-CN"/>
        </w:rPr>
        <w:t>漂染</w:t>
      </w:r>
      <w:r>
        <w:rPr>
          <w:rFonts w:hint="eastAsia"/>
          <w:bCs/>
          <w:color w:val="000000" w:themeColor="text1"/>
          <w:sz w:val="28"/>
          <w:szCs w:val="28"/>
          <w:highlight w:val="none"/>
        </w:rPr>
        <w:t>车间均</w:t>
      </w:r>
      <w:r>
        <w:rPr>
          <w:rFonts w:hint="eastAsia"/>
          <w:color w:val="000000" w:themeColor="text1"/>
          <w:sz w:val="28"/>
          <w:szCs w:val="28"/>
          <w:highlight w:val="none"/>
        </w:rPr>
        <w:t>不构成危险化学品重大危险源。</w:t>
      </w:r>
    </w:p>
    <w:p w14:paraId="34D3C201">
      <w:pPr>
        <w:pStyle w:val="744"/>
        <w:keepNext w:val="0"/>
        <w:keepLines w:val="0"/>
        <w:pageBreakBefore w:val="0"/>
        <w:widowControl w:val="0"/>
        <w:numPr>
          <w:ilvl w:val="0"/>
          <w:numId w:val="73"/>
        </w:numPr>
        <w:kinsoku/>
        <w:wordWrap/>
        <w:topLinePunct w:val="0"/>
        <w:bidi w:val="0"/>
        <w:adjustRightInd w:val="0"/>
        <w:snapToGrid w:val="0"/>
        <w:spacing w:line="360" w:lineRule="auto"/>
        <w:ind w:left="0" w:firstLine="420" w:firstLineChars="0"/>
        <w:jc w:val="both"/>
        <w:rPr>
          <w:rFonts w:hint="eastAsia"/>
          <w:color w:val="000000" w:themeColor="text1"/>
          <w:sz w:val="28"/>
          <w:szCs w:val="28"/>
          <w:highlight w:val="none"/>
        </w:rPr>
      </w:pPr>
      <w:r>
        <w:rPr>
          <w:rFonts w:hint="eastAsia"/>
          <w:color w:val="000000" w:themeColor="text1"/>
          <w:sz w:val="28"/>
          <w:szCs w:val="28"/>
          <w:highlight w:val="none"/>
        </w:rPr>
        <w:t>经作业条件危险性评价表：华美线业危险化学品人工倒入作业、危险化学品储存装卸作业和电气维修作业的风险值D在20～70之间，属“一般危险”，需要注意加强日常安全生产管理，杜绝“三违”现象，确保安全生产；机械维修作业的风险值D小于20，属“稍有危险”，可以接受。</w:t>
      </w:r>
    </w:p>
    <w:p w14:paraId="363AD78C">
      <w:pPr>
        <w:pStyle w:val="744"/>
        <w:keepNext w:val="0"/>
        <w:keepLines w:val="0"/>
        <w:pageBreakBefore w:val="0"/>
        <w:widowControl w:val="0"/>
        <w:numPr>
          <w:ilvl w:val="0"/>
          <w:numId w:val="73"/>
        </w:numPr>
        <w:kinsoku/>
        <w:wordWrap/>
        <w:topLinePunct w:val="0"/>
        <w:bidi w:val="0"/>
        <w:adjustRightInd w:val="0"/>
        <w:snapToGrid w:val="0"/>
        <w:spacing w:line="360" w:lineRule="auto"/>
        <w:ind w:left="0" w:firstLine="420" w:firstLineChars="0"/>
        <w:jc w:val="both"/>
        <w:rPr>
          <w:rFonts w:hint="eastAsia"/>
          <w:color w:val="000000" w:themeColor="text1"/>
          <w:sz w:val="28"/>
          <w:szCs w:val="28"/>
          <w:highlight w:val="none"/>
        </w:rPr>
      </w:pPr>
      <w:r>
        <w:rPr>
          <w:rFonts w:hint="eastAsia"/>
          <w:color w:val="000000" w:themeColor="text1"/>
          <w:sz w:val="28"/>
          <w:szCs w:val="28"/>
          <w:highlight w:val="none"/>
        </w:rPr>
        <w:t>本评价组针对华美线业危险化学品储存和使用提出了整改</w:t>
      </w:r>
      <w:r>
        <w:rPr>
          <w:rFonts w:hint="eastAsia"/>
          <w:color w:val="000000" w:themeColor="text1"/>
          <w:sz w:val="28"/>
          <w:szCs w:val="28"/>
          <w:highlight w:val="none"/>
          <w:lang w:eastAsia="zh-CN"/>
        </w:rPr>
        <w:t>建议</w:t>
      </w:r>
      <w:r>
        <w:rPr>
          <w:rFonts w:hint="eastAsia"/>
          <w:color w:val="000000" w:themeColor="text1"/>
          <w:sz w:val="28"/>
          <w:szCs w:val="28"/>
          <w:highlight w:val="none"/>
        </w:rPr>
        <w:t>，具体见“第6.1节存在的问题及整改</w:t>
      </w:r>
      <w:r>
        <w:rPr>
          <w:rFonts w:hint="eastAsia"/>
          <w:color w:val="000000" w:themeColor="text1"/>
          <w:sz w:val="28"/>
          <w:szCs w:val="28"/>
          <w:highlight w:val="none"/>
          <w:lang w:eastAsia="zh-CN"/>
        </w:rPr>
        <w:t>建议</w:t>
      </w:r>
      <w:r>
        <w:rPr>
          <w:rFonts w:hint="eastAsia"/>
          <w:color w:val="000000" w:themeColor="text1"/>
          <w:sz w:val="28"/>
          <w:szCs w:val="28"/>
          <w:highlight w:val="none"/>
        </w:rPr>
        <w:t>”，华美线业</w:t>
      </w:r>
      <w:r>
        <w:rPr>
          <w:rFonts w:hint="eastAsia"/>
          <w:color w:val="000000" w:themeColor="text1"/>
          <w:sz w:val="28"/>
          <w:szCs w:val="28"/>
          <w:highlight w:val="none"/>
          <w:lang w:eastAsia="zh-CN"/>
        </w:rPr>
        <w:t>已完成</w:t>
      </w:r>
      <w:r>
        <w:rPr>
          <w:rFonts w:hint="eastAsia"/>
          <w:color w:val="000000" w:themeColor="text1"/>
          <w:sz w:val="28"/>
          <w:szCs w:val="28"/>
          <w:highlight w:val="none"/>
          <w:lang w:val="en-US" w:eastAsia="zh-CN"/>
        </w:rPr>
        <w:t>7项问题的</w:t>
      </w:r>
      <w:r>
        <w:rPr>
          <w:rFonts w:hint="eastAsia"/>
          <w:color w:val="000000" w:themeColor="text1"/>
          <w:sz w:val="28"/>
          <w:szCs w:val="28"/>
          <w:highlight w:val="none"/>
        </w:rPr>
        <w:t>整改落实</w:t>
      </w:r>
      <w:r>
        <w:rPr>
          <w:rFonts w:hint="eastAsia"/>
          <w:color w:val="000000" w:themeColor="text1"/>
          <w:sz w:val="28"/>
          <w:szCs w:val="28"/>
          <w:highlight w:val="none"/>
          <w:lang w:eastAsia="zh-CN"/>
        </w:rPr>
        <w:t>，其余问题因</w:t>
      </w:r>
      <w:r>
        <w:rPr>
          <w:rFonts w:hint="eastAsia"/>
          <w:color w:val="000000" w:themeColor="text1"/>
          <w:sz w:val="28"/>
          <w:szCs w:val="28"/>
          <w:highlight w:val="none"/>
        </w:rPr>
        <w:t>华美线业</w:t>
      </w:r>
      <w:r>
        <w:rPr>
          <w:rFonts w:hint="eastAsia"/>
          <w:color w:val="000000" w:themeColor="text1"/>
          <w:sz w:val="28"/>
          <w:szCs w:val="28"/>
          <w:highlight w:val="none"/>
          <w:lang w:eastAsia="zh-CN"/>
        </w:rPr>
        <w:t>计划</w:t>
      </w:r>
      <w:r>
        <w:rPr>
          <w:rFonts w:hint="eastAsia"/>
          <w:color w:val="000000" w:themeColor="text1"/>
          <w:sz w:val="28"/>
          <w:szCs w:val="28"/>
          <w:highlight w:val="none"/>
        </w:rPr>
        <w:t>2025年整体搬迁</w:t>
      </w:r>
      <w:r>
        <w:rPr>
          <w:rFonts w:hint="eastAsia"/>
          <w:color w:val="000000" w:themeColor="text1"/>
          <w:sz w:val="28"/>
          <w:szCs w:val="28"/>
          <w:highlight w:val="none"/>
          <w:lang w:eastAsia="zh-CN"/>
        </w:rPr>
        <w:t>目前无法整改</w:t>
      </w:r>
      <w:r>
        <w:rPr>
          <w:rFonts w:hint="eastAsia"/>
          <w:color w:val="000000" w:themeColor="text1"/>
          <w:sz w:val="28"/>
          <w:szCs w:val="28"/>
          <w:highlight w:val="none"/>
        </w:rPr>
        <w:t>，整体搬迁前加强安全管理，保障安全生产。</w:t>
      </w:r>
    </w:p>
    <w:p w14:paraId="2061B1E3">
      <w:pPr>
        <w:pStyle w:val="744"/>
        <w:keepNext w:val="0"/>
        <w:keepLines w:val="0"/>
        <w:pageBreakBefore w:val="0"/>
        <w:widowControl w:val="0"/>
        <w:numPr>
          <w:ilvl w:val="0"/>
          <w:numId w:val="73"/>
        </w:numPr>
        <w:kinsoku/>
        <w:wordWrap/>
        <w:topLinePunct w:val="0"/>
        <w:bidi w:val="0"/>
        <w:adjustRightInd w:val="0"/>
        <w:snapToGrid w:val="0"/>
        <w:spacing w:line="360" w:lineRule="auto"/>
        <w:ind w:left="0" w:firstLine="420" w:firstLineChars="0"/>
        <w:jc w:val="both"/>
        <w:rPr>
          <w:rFonts w:hint="eastAsia"/>
          <w:color w:val="000000" w:themeColor="text1"/>
          <w:sz w:val="28"/>
          <w:szCs w:val="28"/>
          <w:highlight w:val="none"/>
        </w:rPr>
      </w:pPr>
      <w:r>
        <w:rPr>
          <w:rFonts w:hint="eastAsia"/>
          <w:color w:val="000000" w:themeColor="text1"/>
          <w:sz w:val="28"/>
          <w:szCs w:val="28"/>
          <w:highlight w:val="none"/>
        </w:rPr>
        <w:t>华美线业在切实落实报告中所提出的各项整改措施的前提下，危险化学品使用符合安全要求。</w:t>
      </w:r>
    </w:p>
    <w:p w14:paraId="36AEB897">
      <w:pPr>
        <w:keepNext w:val="0"/>
        <w:keepLines w:val="0"/>
        <w:pageBreakBefore w:val="0"/>
        <w:widowControl w:val="0"/>
        <w:kinsoku/>
        <w:wordWrap/>
        <w:topLinePunct w:val="0"/>
        <w:bidi w:val="0"/>
        <w:adjustRightInd w:val="0"/>
        <w:snapToGrid w:val="0"/>
        <w:spacing w:line="360" w:lineRule="auto"/>
        <w:jc w:val="both"/>
        <w:rPr>
          <w:color w:val="000000" w:themeColor="text1"/>
          <w:sz w:val="28"/>
          <w:szCs w:val="28"/>
          <w:highlight w:val="none"/>
        </w:rPr>
      </w:pPr>
    </w:p>
    <w:p w14:paraId="574D7DAF">
      <w:pPr>
        <w:keepNext w:val="0"/>
        <w:keepLines w:val="0"/>
        <w:pageBreakBefore w:val="0"/>
        <w:widowControl w:val="0"/>
        <w:kinsoku/>
        <w:wordWrap/>
        <w:topLinePunct w:val="0"/>
        <w:bidi w:val="0"/>
        <w:adjustRightInd w:val="0"/>
        <w:snapToGrid w:val="0"/>
        <w:spacing w:line="360" w:lineRule="auto"/>
        <w:rPr>
          <w:color w:val="000000" w:themeColor="text1"/>
          <w:highlight w:val="none"/>
        </w:rPr>
        <w:sectPr>
          <w:pgSz w:w="11907" w:h="16840"/>
          <w:pgMar w:top="1417" w:right="1134" w:bottom="1134" w:left="1587" w:header="794" w:footer="794" w:gutter="0"/>
          <w:pgBorders>
            <w:top w:val="none" w:sz="0" w:space="0"/>
            <w:left w:val="none" w:sz="0" w:space="0"/>
            <w:bottom w:val="none" w:sz="0" w:space="0"/>
            <w:right w:val="none" w:sz="0" w:space="0"/>
          </w:pgBorders>
          <w:cols w:space="720" w:num="1"/>
          <w:docGrid w:linePitch="435" w:charSpace="2662"/>
        </w:sectPr>
      </w:pPr>
    </w:p>
    <w:p w14:paraId="5EE83588">
      <w:pPr>
        <w:pStyle w:val="5"/>
        <w:keepNext w:val="0"/>
        <w:keepLines w:val="0"/>
        <w:pageBreakBefore w:val="0"/>
        <w:widowControl w:val="0"/>
        <w:numPr>
          <w:ilvl w:val="0"/>
          <w:numId w:val="74"/>
        </w:numPr>
        <w:kinsoku/>
        <w:wordWrap/>
        <w:topLinePunct w:val="0"/>
        <w:bidi w:val="0"/>
        <w:adjustRightInd w:val="0"/>
        <w:snapToGrid w:val="0"/>
        <w:spacing w:before="240" w:after="240"/>
        <w:ind w:left="0" w:firstLine="0"/>
        <w:rPr>
          <w:color w:val="000000" w:themeColor="text1"/>
          <w:kern w:val="0"/>
          <w:highlight w:val="none"/>
        </w:rPr>
      </w:pPr>
      <w:bookmarkStart w:id="972" w:name="_Toc449456947"/>
      <w:bookmarkStart w:id="973" w:name="_Toc449456856"/>
      <w:bookmarkStart w:id="974" w:name="_Toc190762618"/>
      <w:bookmarkStart w:id="975" w:name="_Toc234394554"/>
      <w:bookmarkStart w:id="976" w:name="_Toc198457618"/>
      <w:bookmarkStart w:id="977" w:name="_Toc198521546"/>
      <w:r>
        <w:rPr>
          <w:rFonts w:hint="eastAsia"/>
          <w:color w:val="000000" w:themeColor="text1"/>
          <w:kern w:val="0"/>
          <w:highlight w:val="none"/>
        </w:rPr>
        <w:t xml:space="preserve"> </w:t>
      </w:r>
      <w:bookmarkEnd w:id="972"/>
      <w:bookmarkEnd w:id="973"/>
      <w:bookmarkEnd w:id="974"/>
      <w:bookmarkEnd w:id="975"/>
      <w:bookmarkEnd w:id="976"/>
      <w:bookmarkEnd w:id="977"/>
      <w:r>
        <w:rPr>
          <w:rFonts w:hint="eastAsia"/>
          <w:color w:val="000000" w:themeColor="text1"/>
          <w:kern w:val="0"/>
          <w:highlight w:val="none"/>
          <w:lang w:val="en-US" w:eastAsia="zh-CN"/>
        </w:rPr>
        <w:t xml:space="preserve"> </w:t>
      </w:r>
      <w:bookmarkStart w:id="978" w:name="_Toc5248"/>
      <w:bookmarkStart w:id="979" w:name="_Toc5107"/>
      <w:bookmarkStart w:id="980" w:name="_Toc4067"/>
      <w:bookmarkStart w:id="981" w:name="_Toc8240"/>
      <w:bookmarkStart w:id="982" w:name="_Toc13047"/>
      <w:bookmarkStart w:id="983" w:name="_Toc25966"/>
      <w:r>
        <w:rPr>
          <w:rFonts w:hint="eastAsia"/>
          <w:color w:val="000000" w:themeColor="text1"/>
          <w:kern w:val="0"/>
          <w:highlight w:val="none"/>
        </w:rPr>
        <w:t>附件</w:t>
      </w:r>
      <w:bookmarkEnd w:id="978"/>
      <w:bookmarkEnd w:id="979"/>
      <w:bookmarkEnd w:id="980"/>
      <w:bookmarkEnd w:id="981"/>
      <w:bookmarkEnd w:id="982"/>
      <w:bookmarkEnd w:id="983"/>
    </w:p>
    <w:p w14:paraId="594DBEE4">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lang w:eastAsia="zh-CN"/>
        </w:rPr>
      </w:pPr>
      <w:r>
        <w:rPr>
          <w:rFonts w:hint="eastAsia"/>
          <w:color w:val="000000" w:themeColor="text1"/>
          <w:sz w:val="28"/>
          <w:szCs w:val="28"/>
          <w:highlight w:val="none"/>
          <w:lang w:eastAsia="zh-CN"/>
        </w:rPr>
        <w:t>营业执照</w:t>
      </w:r>
    </w:p>
    <w:p w14:paraId="29D035B9">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lang w:eastAsia="zh-CN"/>
        </w:rPr>
      </w:pPr>
      <w:r>
        <w:rPr>
          <w:rFonts w:hint="eastAsia"/>
          <w:color w:val="000000" w:themeColor="text1"/>
          <w:sz w:val="28"/>
          <w:szCs w:val="28"/>
          <w:highlight w:val="none"/>
          <w:lang w:eastAsia="zh-CN"/>
        </w:rPr>
        <w:t>敦煌集团变更维科精华的工商证明</w:t>
      </w:r>
    </w:p>
    <w:p w14:paraId="2295DF10">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lang w:eastAsia="zh-CN"/>
        </w:rPr>
      </w:pPr>
      <w:r>
        <w:rPr>
          <w:rFonts w:hint="eastAsia"/>
          <w:color w:val="000000" w:themeColor="text1"/>
          <w:sz w:val="28"/>
          <w:szCs w:val="28"/>
          <w:highlight w:val="none"/>
          <w:lang w:eastAsia="zh-CN"/>
        </w:rPr>
        <w:t>关于同意成立华美线业公司的批复</w:t>
      </w:r>
    </w:p>
    <w:p w14:paraId="730D76D2">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lang w:eastAsia="zh-CN"/>
        </w:rPr>
      </w:pPr>
      <w:r>
        <w:rPr>
          <w:rFonts w:hint="eastAsia"/>
          <w:color w:val="000000" w:themeColor="text1"/>
          <w:sz w:val="28"/>
          <w:szCs w:val="28"/>
          <w:highlight w:val="none"/>
          <w:lang w:eastAsia="zh-CN"/>
        </w:rPr>
        <w:t>关于华美线业有限公司位于</w:t>
      </w:r>
      <w:r>
        <w:rPr>
          <w:rFonts w:hint="eastAsia"/>
          <w:color w:val="000000" w:themeColor="text1"/>
          <w:sz w:val="28"/>
          <w:szCs w:val="28"/>
          <w:highlight w:val="none"/>
        </w:rPr>
        <w:t>庄市A区的厂区纳入甬江实验室征迁范围及相关事项的函</w:t>
      </w:r>
    </w:p>
    <w:p w14:paraId="75EAE764">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lang w:eastAsia="zh-CN"/>
        </w:rPr>
      </w:pPr>
      <w:r>
        <w:rPr>
          <w:rFonts w:hint="eastAsia"/>
          <w:color w:val="000000" w:themeColor="text1"/>
          <w:sz w:val="28"/>
          <w:szCs w:val="28"/>
          <w:highlight w:val="none"/>
          <w:lang w:eastAsia="zh-CN"/>
        </w:rPr>
        <w:t>建筑工程竣工消防验收意见书</w:t>
      </w:r>
    </w:p>
    <w:p w14:paraId="4EF14E9D">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lang w:eastAsia="zh-CN"/>
        </w:rPr>
      </w:pPr>
      <w:r>
        <w:rPr>
          <w:rFonts w:hint="eastAsia"/>
          <w:color w:val="000000" w:themeColor="text1"/>
          <w:sz w:val="28"/>
          <w:szCs w:val="28"/>
          <w:highlight w:val="none"/>
          <w:lang w:eastAsia="zh-CN"/>
        </w:rPr>
        <w:t>安全生产标准化证书</w:t>
      </w:r>
    </w:p>
    <w:p w14:paraId="5D5705AF">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lang w:eastAsia="zh-CN"/>
        </w:rPr>
      </w:pPr>
      <w:r>
        <w:rPr>
          <w:rFonts w:hint="eastAsia"/>
          <w:color w:val="000000" w:themeColor="text1"/>
          <w:sz w:val="28"/>
          <w:szCs w:val="28"/>
          <w:highlight w:val="none"/>
          <w:lang w:eastAsia="zh-CN"/>
        </w:rPr>
        <w:t>主要负责人任命书、主要负责人证书、专职安全管理人员证书、特种作业人员证书（样张）</w:t>
      </w:r>
    </w:p>
    <w:p w14:paraId="1F487988">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lang w:eastAsia="zh-CN"/>
        </w:rPr>
      </w:pPr>
      <w:r>
        <w:rPr>
          <w:rFonts w:hint="eastAsia"/>
          <w:color w:val="000000" w:themeColor="text1"/>
          <w:sz w:val="28"/>
          <w:szCs w:val="28"/>
          <w:highlight w:val="none"/>
          <w:lang w:eastAsia="zh-CN"/>
        </w:rPr>
        <w:t>应急预案评审记录、应急预案备案登记表、应急预案演练记录（样张）</w:t>
      </w:r>
    </w:p>
    <w:p w14:paraId="4061010B">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lang w:eastAsia="zh-CN"/>
        </w:rPr>
      </w:pPr>
      <w:r>
        <w:rPr>
          <w:rFonts w:hint="eastAsia"/>
          <w:color w:val="000000" w:themeColor="text1"/>
          <w:sz w:val="28"/>
          <w:szCs w:val="28"/>
          <w:highlight w:val="none"/>
          <w:lang w:eastAsia="zh-CN"/>
        </w:rPr>
        <w:t>员工工伤保险参保证明</w:t>
      </w:r>
    </w:p>
    <w:p w14:paraId="412BD615">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lang w:eastAsia="zh-CN"/>
        </w:rPr>
      </w:pPr>
      <w:r>
        <w:rPr>
          <w:rFonts w:hint="eastAsia"/>
          <w:color w:val="000000" w:themeColor="text1"/>
          <w:sz w:val="28"/>
          <w:szCs w:val="28"/>
          <w:highlight w:val="none"/>
          <w:lang w:eastAsia="zh-CN"/>
        </w:rPr>
        <w:t>危险化学品</w:t>
      </w:r>
      <w:r>
        <w:rPr>
          <w:rFonts w:hint="eastAsia"/>
          <w:color w:val="000000" w:themeColor="text1"/>
          <w:sz w:val="28"/>
          <w:szCs w:val="28"/>
          <w:highlight w:val="none"/>
          <w:lang w:val="en-US" w:eastAsia="zh-CN"/>
        </w:rPr>
        <w:t>MSDS</w:t>
      </w:r>
    </w:p>
    <w:p w14:paraId="03AD0569">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color w:val="000000" w:themeColor="text1"/>
          <w:sz w:val="28"/>
          <w:szCs w:val="28"/>
          <w:highlight w:val="none"/>
          <w:lang w:eastAsia="zh-CN"/>
        </w:rPr>
      </w:pPr>
      <w:r>
        <w:rPr>
          <w:rFonts w:hint="eastAsia"/>
          <w:color w:val="000000" w:themeColor="text1"/>
          <w:sz w:val="28"/>
          <w:szCs w:val="28"/>
          <w:highlight w:val="none"/>
          <w:lang w:eastAsia="zh-CN"/>
        </w:rPr>
        <w:t>总平面布置图</w:t>
      </w:r>
    </w:p>
    <w:p w14:paraId="3245A5C0">
      <w:pPr>
        <w:keepNext w:val="0"/>
        <w:keepLines w:val="0"/>
        <w:pageBreakBefore w:val="0"/>
        <w:widowControl w:val="0"/>
        <w:kinsoku/>
        <w:wordWrap/>
        <w:topLinePunct w:val="0"/>
        <w:bidi w:val="0"/>
        <w:adjustRightInd w:val="0"/>
        <w:snapToGrid w:val="0"/>
        <w:spacing w:line="360" w:lineRule="auto"/>
        <w:ind w:firstLine="480" w:firstLineChars="200"/>
        <w:outlineLvl w:val="9"/>
        <w:rPr>
          <w:color w:val="000000" w:themeColor="text1"/>
          <w:highlight w:val="none"/>
        </w:rPr>
      </w:pPr>
    </w:p>
    <w:p w14:paraId="30FAC3BA">
      <w:pPr>
        <w:widowControl w:val="0"/>
        <w:adjustRightInd w:val="0"/>
        <w:snapToGrid w:val="0"/>
        <w:rPr>
          <w:color w:val="000000" w:themeColor="text1"/>
          <w:highlight w:val="none"/>
        </w:rPr>
      </w:pPr>
    </w:p>
    <w:sectPr>
      <w:pgSz w:w="11907" w:h="16840"/>
      <w:pgMar w:top="1417" w:right="1134" w:bottom="1134" w:left="1587" w:header="794" w:footer="794" w:gutter="0"/>
      <w:pgBorders>
        <w:top w:val="none" w:sz="0" w:space="0"/>
        <w:left w:val="none" w:sz="0" w:space="0"/>
        <w:bottom w:val="none" w:sz="0" w:space="0"/>
        <w:right w:val="none" w:sz="0" w:space="0"/>
      </w:pgBorders>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楷体_GB2312">
    <w:altName w:val="楷体"/>
    <w:panose1 w:val="00000000000000000000"/>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MingLiU">
    <w:panose1 w:val="02020509000000000000"/>
    <w:charset w:val="88"/>
    <w:family w:val="modern"/>
    <w:pitch w:val="default"/>
    <w:sig w:usb0="A00002FF" w:usb1="28CFFCFA" w:usb2="00000016" w:usb3="00000000" w:csb0="00100001" w:csb1="00000000"/>
  </w:font>
  <w:font w:name="ˎ̥">
    <w:altName w:val="微软雅黑"/>
    <w:panose1 w:val="00000000000000000000"/>
    <w:charset w:val="00"/>
    <w:family w:val="roman"/>
    <w:pitch w:val="default"/>
    <w:sig w:usb0="00000000" w:usb1="00000000" w:usb2="00000000" w:usb3="00000000" w:csb0="00040001" w:csb1="00000000"/>
  </w:font>
  <w:font w:name="Georgia">
    <w:panose1 w:val="02040502050405090303"/>
    <w:charset w:val="00"/>
    <w:family w:val="roman"/>
    <w:pitch w:val="default"/>
    <w:sig w:usb0="00000287" w:usb1="00000000" w:usb2="00000000" w:usb3="00000000" w:csb0="2000009F" w:csb1="00000000"/>
  </w:font>
  <w:font w:name="CG Times">
    <w:altName w:val="Times New Roman"/>
    <w:panose1 w:val="00000000000000000000"/>
    <w:charset w:val="00"/>
    <w:family w:val="roman"/>
    <w:pitch w:val="default"/>
    <w:sig w:usb0="00000000" w:usb1="00000000" w:usb2="00000000" w:usb3="00000000" w:csb0="00000001" w:csb1="00000000"/>
  </w:font>
  <w:font w:name="Batang">
    <w:panose1 w:val="02030600000101010101"/>
    <w:charset w:val="81"/>
    <w:family w:val="roman"/>
    <w:pitch w:val="default"/>
    <w:sig w:usb0="B00002AF" w:usb1="69D77CFB" w:usb2="00000030" w:usb3="00000000" w:csb0="4008009F" w:csb1="DFD70000"/>
  </w:font>
  <w:font w:name="仿宋体">
    <w:altName w:val="仿宋"/>
    <w:panose1 w:val="00000000000000000000"/>
    <w:charset w:val="86"/>
    <w:family w:val="roma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Futura Bk BT">
    <w:panose1 w:val="020B0502020204020303"/>
    <w:charset w:val="B1"/>
    <w:family w:val="swiss"/>
    <w:pitch w:val="default"/>
    <w:sig w:usb0="800000AF" w:usb1="1000204A" w:usb2="00000000" w:usb3="00000000" w:csb0="00000011" w:csb1="00000000"/>
  </w:font>
  <w:font w:name="Arial Unicode MS">
    <w:altName w:val="宋体"/>
    <w:panose1 w:val="020B0604020202020204"/>
    <w:charset w:val="86"/>
    <w:family w:val="roman"/>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Times">
    <w:altName w:val="Times New Roman"/>
    <w:panose1 w:val="00000500000000020000"/>
    <w:charset w:val="00"/>
    <w:family w:val="roman"/>
    <w:pitch w:val="default"/>
    <w:sig w:usb0="00000000" w:usb1="00000000" w:usb2="00000000" w:usb3="00000000" w:csb0="00000000" w:csb1="00000000"/>
  </w:font>
  <w:font w:name="Arial Black">
    <w:panose1 w:val="020B0A04020102020204"/>
    <w:charset w:val="00"/>
    <w:family w:val="swiss"/>
    <w:pitch w:val="default"/>
    <w:sig w:usb0="00000287" w:usb1="00000000" w:usb2="00000000" w:usb3="00000000" w:csb0="2000009F" w:csb1="DFD70000"/>
  </w:font>
  <w:font w:name="TimesNewRoman">
    <w:altName w:val="宋体"/>
    <w:panose1 w:val="00000000000000000000"/>
    <w:charset w:val="86"/>
    <w:family w:val="auto"/>
    <w:pitch w:val="default"/>
    <w:sig w:usb0="00000000" w:usb1="00000000" w:usb2="0000001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 w:name="Բ">
    <w:altName w:val="微软雅黑"/>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方正粗圆简体">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Helvetica">
    <w:altName w:val="Arial"/>
    <w:panose1 w:val="00000000000000000000"/>
    <w:charset w:val="00"/>
    <w:family w:val="swiss"/>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800000000000000"/>
    <w:charset w:val="00"/>
    <w:family w:val="auto"/>
    <w:pitch w:val="default"/>
    <w:sig w:usb0="0000028F" w:usb1="00000000" w:usb2="00000000" w:usb3="00000000" w:csb0="2000009F" w:csb1="4701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0F5CB">
    <w:pPr>
      <w:pStyle w:val="39"/>
      <w:framePr w:wrap="around" w:vAnchor="text" w:hAnchor="margin" w:xAlign="center" w:y="1"/>
      <w:rPr>
        <w:rStyle w:val="65"/>
      </w:rPr>
    </w:pPr>
    <w:r>
      <w:fldChar w:fldCharType="begin"/>
    </w:r>
    <w:r>
      <w:rPr>
        <w:rStyle w:val="65"/>
      </w:rPr>
      <w:instrText xml:space="preserve">PAGE  </w:instrText>
    </w:r>
    <w:r>
      <w:fldChar w:fldCharType="separate"/>
    </w:r>
    <w:r>
      <w:rPr>
        <w:rStyle w:val="65"/>
      </w:rPr>
      <w:t>78</w:t>
    </w:r>
    <w:r>
      <w:fldChar w:fldCharType="end"/>
    </w:r>
  </w:p>
  <w:p w14:paraId="04522151">
    <w:pPr>
      <w:pStyle w:val="3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F02323">
    <w:pPr>
      <w:pStyle w:val="39"/>
      <w:framePr w:wrap="around" w:vAnchor="text" w:hAnchor="margin" w:xAlign="center" w:yAlign="top"/>
    </w:pPr>
    <w:r>
      <w:rPr>
        <w:rFonts w:hint="eastAsia"/>
      </w:rPr>
      <w:fldChar w:fldCharType="begin"/>
    </w:r>
    <w:r>
      <w:rPr>
        <w:rStyle w:val="65"/>
        <w:rFonts w:hint="eastAsia"/>
      </w:rPr>
      <w:instrText xml:space="preserve"> PAGE  </w:instrText>
    </w:r>
    <w:r>
      <w:rPr>
        <w:rFonts w:hint="eastAsia"/>
      </w:rPr>
      <w:fldChar w:fldCharType="separate"/>
    </w:r>
    <w:r>
      <w:rPr>
        <w:rStyle w:val="65"/>
        <w:rFonts w:hint="eastAsia"/>
      </w:rPr>
      <w:t>1</w:t>
    </w:r>
    <w:r>
      <w:rPr>
        <w:rFonts w:hint="eastAsia"/>
      </w:rPr>
      <w:fldChar w:fldCharType="end"/>
    </w:r>
  </w:p>
  <w:p w14:paraId="1322BF3A">
    <w:pPr>
      <w:pStyle w:val="39"/>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EFCFB5">
    <w:pPr>
      <w:pStyle w:val="3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F7185">
    <w:pPr>
      <w:pStyle w:val="39"/>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sz w:val="21"/>
        <w:szCs w:val="21"/>
      </w:rPr>
      <w:fldChar w:fldCharType="begin"/>
    </w:r>
    <w:r>
      <w:rPr>
        <w:rStyle w:val="65"/>
        <w:sz w:val="21"/>
        <w:szCs w:val="21"/>
      </w:rPr>
      <w:instrText xml:space="preserve"> PAGE </w:instrText>
    </w:r>
    <w:r>
      <w:rPr>
        <w:sz w:val="21"/>
        <w:szCs w:val="21"/>
      </w:rPr>
      <w:fldChar w:fldCharType="separate"/>
    </w:r>
    <w:r>
      <w:rPr>
        <w:rStyle w:val="65"/>
        <w:sz w:val="21"/>
        <w:szCs w:val="21"/>
      </w:rPr>
      <w:t>I</w:t>
    </w:r>
    <w:r>
      <w:rPr>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6BD8C">
    <w:pPr>
      <w:pStyle w:val="39"/>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sz w:val="21"/>
        <w:szCs w:val="21"/>
      </w:rPr>
      <w:fldChar w:fldCharType="begin"/>
    </w:r>
    <w:r>
      <w:rPr>
        <w:rStyle w:val="65"/>
        <w:sz w:val="21"/>
        <w:szCs w:val="21"/>
      </w:rPr>
      <w:instrText xml:space="preserve"> PAGE </w:instrText>
    </w:r>
    <w:r>
      <w:rPr>
        <w:sz w:val="21"/>
        <w:szCs w:val="21"/>
      </w:rPr>
      <w:fldChar w:fldCharType="separate"/>
    </w:r>
    <w:r>
      <w:rPr>
        <w:rStyle w:val="65"/>
        <w:sz w:val="21"/>
        <w:szCs w:val="21"/>
      </w:rPr>
      <w:t>67</w:t>
    </w:r>
    <w:r>
      <w:rPr>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D9AD10">
    <w:pPr>
      <w:pStyle w:val="39"/>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sz w:val="21"/>
        <w:szCs w:val="21"/>
      </w:rPr>
      <w:fldChar w:fldCharType="begin"/>
    </w:r>
    <w:r>
      <w:rPr>
        <w:rStyle w:val="65"/>
        <w:sz w:val="21"/>
        <w:szCs w:val="21"/>
      </w:rPr>
      <w:instrText xml:space="preserve"> PAGE </w:instrText>
    </w:r>
    <w:r>
      <w:rPr>
        <w:sz w:val="21"/>
        <w:szCs w:val="21"/>
      </w:rPr>
      <w:fldChar w:fldCharType="separate"/>
    </w:r>
    <w:r>
      <w:rPr>
        <w:rStyle w:val="65"/>
        <w:sz w:val="21"/>
        <w:szCs w:val="21"/>
      </w:rPr>
      <w:t>67</w:t>
    </w:r>
    <w:r>
      <w:rPr>
        <w:sz w:val="21"/>
        <w:szCs w:val="21"/>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9DF47C">
    <w:pPr>
      <w:pStyle w:val="39"/>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sz w:val="21"/>
        <w:szCs w:val="21"/>
      </w:rPr>
      <w:fldChar w:fldCharType="begin"/>
    </w:r>
    <w:r>
      <w:rPr>
        <w:rStyle w:val="65"/>
        <w:sz w:val="21"/>
        <w:szCs w:val="21"/>
      </w:rPr>
      <w:instrText xml:space="preserve"> PAGE </w:instrText>
    </w:r>
    <w:r>
      <w:rPr>
        <w:sz w:val="21"/>
        <w:szCs w:val="21"/>
      </w:rPr>
      <w:fldChar w:fldCharType="separate"/>
    </w:r>
    <w:r>
      <w:rPr>
        <w:rStyle w:val="65"/>
        <w:sz w:val="21"/>
        <w:szCs w:val="21"/>
      </w:rPr>
      <w:t>67</w:t>
    </w:r>
    <w:r>
      <w:rPr>
        <w:sz w:val="21"/>
        <w:szCs w:val="21"/>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FCFBB">
    <w:pPr>
      <w:pStyle w:val="39"/>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default"/>
        <w:sz w:val="21"/>
        <w:szCs w:val="21"/>
        <w:lang w:val="en-US"/>
      </w:rPr>
      <w:t xml:space="preserve">                       </w:t>
    </w:r>
    <w:r>
      <w:rPr>
        <w:rFonts w:hint="eastAsia"/>
        <w:sz w:val="21"/>
        <w:szCs w:val="21"/>
      </w:rPr>
      <w:t xml:space="preserve"> </w:t>
    </w:r>
    <w:r>
      <w:rPr>
        <w:sz w:val="21"/>
        <w:szCs w:val="21"/>
      </w:rPr>
      <w:fldChar w:fldCharType="begin"/>
    </w:r>
    <w:r>
      <w:rPr>
        <w:rStyle w:val="65"/>
        <w:sz w:val="21"/>
        <w:szCs w:val="21"/>
      </w:rPr>
      <w:instrText xml:space="preserve"> PAGE </w:instrText>
    </w:r>
    <w:r>
      <w:rPr>
        <w:sz w:val="21"/>
        <w:szCs w:val="21"/>
      </w:rPr>
      <w:fldChar w:fldCharType="separate"/>
    </w:r>
    <w:r>
      <w:rPr>
        <w:rStyle w:val="65"/>
        <w:sz w:val="21"/>
        <w:szCs w:val="21"/>
      </w:rPr>
      <w:t>67</w:t>
    </w:r>
    <w:r>
      <w:rPr>
        <w:sz w:val="21"/>
        <w:szCs w:val="21"/>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A4E69B">
    <w:pPr>
      <w:pStyle w:val="39"/>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sz w:val="21"/>
        <w:szCs w:val="21"/>
      </w:rPr>
      <w:fldChar w:fldCharType="begin"/>
    </w:r>
    <w:r>
      <w:rPr>
        <w:rStyle w:val="65"/>
        <w:sz w:val="21"/>
        <w:szCs w:val="21"/>
      </w:rPr>
      <w:instrText xml:space="preserve"> PAGE </w:instrText>
    </w:r>
    <w:r>
      <w:rPr>
        <w:sz w:val="21"/>
        <w:szCs w:val="21"/>
      </w:rPr>
      <w:fldChar w:fldCharType="separate"/>
    </w:r>
    <w:r>
      <w:rPr>
        <w:rStyle w:val="65"/>
        <w:sz w:val="21"/>
        <w:szCs w:val="21"/>
      </w:rPr>
      <w:t>67</w:t>
    </w:r>
    <w:r>
      <w:rPr>
        <w:sz w:val="21"/>
        <w:szCs w:val="21"/>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8607AE">
    <w:pPr>
      <w:pStyle w:val="39"/>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sz w:val="21"/>
        <w:szCs w:val="21"/>
      </w:rPr>
      <w:fldChar w:fldCharType="begin"/>
    </w:r>
    <w:r>
      <w:rPr>
        <w:rStyle w:val="65"/>
        <w:sz w:val="21"/>
        <w:szCs w:val="21"/>
      </w:rPr>
      <w:instrText xml:space="preserve"> PAGE </w:instrText>
    </w:r>
    <w:r>
      <w:rPr>
        <w:sz w:val="21"/>
        <w:szCs w:val="21"/>
      </w:rPr>
      <w:fldChar w:fldCharType="separate"/>
    </w:r>
    <w:r>
      <w:rPr>
        <w:rStyle w:val="65"/>
        <w:sz w:val="21"/>
        <w:szCs w:val="21"/>
      </w:rPr>
      <w:t>67</w:t>
    </w:r>
    <w:r>
      <w:rPr>
        <w:sz w:val="21"/>
        <w:szCs w:val="21"/>
      </w:rP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7ED8C">
    <w:pPr>
      <w:pStyle w:val="39"/>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sz w:val="21"/>
        <w:szCs w:val="21"/>
      </w:rPr>
      <w:fldChar w:fldCharType="begin"/>
    </w:r>
    <w:r>
      <w:rPr>
        <w:rStyle w:val="65"/>
        <w:sz w:val="21"/>
        <w:szCs w:val="21"/>
      </w:rPr>
      <w:instrText xml:space="preserve"> PAGE </w:instrText>
    </w:r>
    <w:r>
      <w:rPr>
        <w:sz w:val="21"/>
        <w:szCs w:val="21"/>
      </w:rPr>
      <w:fldChar w:fldCharType="separate"/>
    </w:r>
    <w:r>
      <w:rPr>
        <w:rStyle w:val="65"/>
        <w:sz w:val="21"/>
        <w:szCs w:val="21"/>
      </w:rPr>
      <w:t>67</w:t>
    </w:r>
    <w:r>
      <w:rPr>
        <w:sz w:val="21"/>
        <w:szCs w:val="21"/>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69FF74">
    <w:pPr>
      <w:pStyle w:val="39"/>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sz w:val="21"/>
        <w:szCs w:val="21"/>
      </w:rPr>
      <w:fldChar w:fldCharType="begin"/>
    </w:r>
    <w:r>
      <w:rPr>
        <w:rStyle w:val="65"/>
        <w:sz w:val="21"/>
        <w:szCs w:val="21"/>
      </w:rPr>
      <w:instrText xml:space="preserve"> PAGE </w:instrText>
    </w:r>
    <w:r>
      <w:rPr>
        <w:sz w:val="21"/>
        <w:szCs w:val="21"/>
      </w:rPr>
      <w:fldChar w:fldCharType="separate"/>
    </w:r>
    <w:r>
      <w:rPr>
        <w:rStyle w:val="65"/>
        <w:sz w:val="21"/>
        <w:szCs w:val="21"/>
      </w:rPr>
      <w:t>67</w:t>
    </w:r>
    <w:r>
      <w:rPr>
        <w:sz w:val="21"/>
        <w:szCs w:val="21"/>
      </w:rP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9D013">
    <w:pPr>
      <w:pStyle w:val="39"/>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sz w:val="21"/>
        <w:szCs w:val="21"/>
      </w:rPr>
      <w:fldChar w:fldCharType="begin"/>
    </w:r>
    <w:r>
      <w:rPr>
        <w:rStyle w:val="65"/>
        <w:sz w:val="21"/>
        <w:szCs w:val="21"/>
      </w:rPr>
      <w:instrText xml:space="preserve"> PAGE </w:instrText>
    </w:r>
    <w:r>
      <w:rPr>
        <w:sz w:val="21"/>
        <w:szCs w:val="21"/>
      </w:rPr>
      <w:fldChar w:fldCharType="separate"/>
    </w:r>
    <w:r>
      <w:rPr>
        <w:rStyle w:val="65"/>
        <w:sz w:val="21"/>
        <w:szCs w:val="21"/>
      </w:rPr>
      <w:t>67</w:t>
    </w:r>
    <w:r>
      <w:rPr>
        <w:sz w:val="21"/>
        <w:szCs w:val="21"/>
      </w:rPr>
      <w:fldChar w:fldCharType="end"/>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2E4CFF">
    <w:pPr>
      <w:pStyle w:val="39"/>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sz w:val="21"/>
        <w:szCs w:val="21"/>
      </w:rPr>
      <w:fldChar w:fldCharType="begin"/>
    </w:r>
    <w:r>
      <w:rPr>
        <w:rStyle w:val="65"/>
        <w:sz w:val="21"/>
        <w:szCs w:val="21"/>
      </w:rPr>
      <w:instrText xml:space="preserve"> PAGE </w:instrText>
    </w:r>
    <w:r>
      <w:rPr>
        <w:sz w:val="21"/>
        <w:szCs w:val="21"/>
      </w:rPr>
      <w:fldChar w:fldCharType="separate"/>
    </w:r>
    <w:r>
      <w:rPr>
        <w:rStyle w:val="65"/>
        <w:sz w:val="21"/>
        <w:szCs w:val="21"/>
      </w:rPr>
      <w:t>67</w:t>
    </w:r>
    <w:r>
      <w:rPr>
        <w:sz w:val="21"/>
        <w:szCs w:val="21"/>
      </w:rP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27AC3">
    <w:pPr>
      <w:pStyle w:val="39"/>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sz w:val="21"/>
        <w:szCs w:val="21"/>
      </w:rPr>
      <w:fldChar w:fldCharType="begin"/>
    </w:r>
    <w:r>
      <w:rPr>
        <w:rStyle w:val="65"/>
        <w:sz w:val="21"/>
        <w:szCs w:val="21"/>
      </w:rPr>
      <w:instrText xml:space="preserve"> PAGE </w:instrText>
    </w:r>
    <w:r>
      <w:rPr>
        <w:sz w:val="21"/>
        <w:szCs w:val="21"/>
      </w:rPr>
      <w:fldChar w:fldCharType="separate"/>
    </w:r>
    <w:r>
      <w:rPr>
        <w:rStyle w:val="65"/>
        <w:sz w:val="21"/>
        <w:szCs w:val="21"/>
      </w:rPr>
      <w:t>67</w:t>
    </w:r>
    <w:r>
      <w:rPr>
        <w:sz w:val="21"/>
        <w:szCs w:val="21"/>
      </w:rPr>
      <w:fldChar w:fldCharType="end"/>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39589F">
    <w:pPr>
      <w:pStyle w:val="39"/>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sz w:val="21"/>
        <w:szCs w:val="21"/>
      </w:rPr>
      <w:fldChar w:fldCharType="begin"/>
    </w:r>
    <w:r>
      <w:rPr>
        <w:rStyle w:val="65"/>
        <w:sz w:val="21"/>
        <w:szCs w:val="21"/>
      </w:rPr>
      <w:instrText xml:space="preserve"> PAGE </w:instrText>
    </w:r>
    <w:r>
      <w:rPr>
        <w:sz w:val="21"/>
        <w:szCs w:val="21"/>
      </w:rPr>
      <w:fldChar w:fldCharType="separate"/>
    </w:r>
    <w:r>
      <w:rPr>
        <w:rStyle w:val="65"/>
        <w:sz w:val="21"/>
        <w:szCs w:val="21"/>
      </w:rPr>
      <w:t>67</w:t>
    </w:r>
    <w:r>
      <w:rPr>
        <w:sz w:val="21"/>
        <w:szCs w:val="21"/>
      </w:rPr>
      <w:fldChar w:fldCharType="end"/>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1CA10">
    <w:pPr>
      <w:pStyle w:val="39"/>
      <w:pBdr>
        <w:top w:val="thinThickSmallGap" w:color="auto" w:sz="24" w:space="1"/>
      </w:pBdr>
      <w:rPr>
        <w:sz w:val="21"/>
        <w:szCs w:val="21"/>
      </w:rPr>
    </w:pPr>
    <w:r>
      <w:rPr>
        <w:rFonts w:hint="eastAsia"/>
        <w:sz w:val="21"/>
        <w:szCs w:val="21"/>
        <w:lang w:eastAsia="zh-CN"/>
      </w:rPr>
      <w:t>山东实华安全技术有限公司</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sz w:val="21"/>
        <w:szCs w:val="21"/>
      </w:rPr>
      <w:fldChar w:fldCharType="begin"/>
    </w:r>
    <w:r>
      <w:rPr>
        <w:rStyle w:val="65"/>
        <w:sz w:val="21"/>
        <w:szCs w:val="21"/>
      </w:rPr>
      <w:instrText xml:space="preserve"> PAGE </w:instrText>
    </w:r>
    <w:r>
      <w:rPr>
        <w:sz w:val="21"/>
        <w:szCs w:val="21"/>
      </w:rPr>
      <w:fldChar w:fldCharType="separate"/>
    </w:r>
    <w:r>
      <w:rPr>
        <w:rStyle w:val="65"/>
        <w:sz w:val="21"/>
        <w:szCs w:val="21"/>
      </w:rPr>
      <w:t>67</w:t>
    </w:r>
    <w:r>
      <w:rPr>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7801CB">
    <w:pPr>
      <w:pStyle w:val="41"/>
      <w:pBdr>
        <w:top w:val="none" w:color="auto" w:sz="0" w:space="1"/>
        <w:left w:val="none" w:color="auto" w:sz="0" w:space="4"/>
        <w:bottom w:val="none" w:color="auto" w:sz="0" w:space="1"/>
        <w:right w:val="none" w:color="auto" w:sz="0" w:space="4"/>
      </w:pBdr>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6754D">
    <w:pPr>
      <w:pStyle w:val="4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21986"/>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25A49">
    <w:pPr>
      <w:pStyle w:val="41"/>
      <w:pBdr>
        <w:bottom w:val="thinThickSmallGap" w:color="auto" w:sz="24" w:space="1"/>
      </w:pBdr>
    </w:pPr>
    <w:r>
      <w:rPr>
        <w:rFonts w:hint="eastAsia"/>
        <w:sz w:val="21"/>
        <w:szCs w:val="21"/>
      </w:rPr>
      <w:t>华美线业有限公司危险化学品使用专项安全</w:t>
    </w:r>
    <w:r>
      <w:rPr>
        <w:rFonts w:hint="eastAsia"/>
        <w:sz w:val="21"/>
        <w:szCs w:val="21"/>
        <w:lang w:eastAsia="zh-CN"/>
      </w:rPr>
      <w:t>现状</w:t>
    </w:r>
    <w:r>
      <w:rPr>
        <w:rFonts w:hint="eastAsia"/>
        <w:sz w:val="21"/>
        <w:szCs w:val="21"/>
      </w:rPr>
      <w:t>评价报告</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4ABB6">
    <w:pPr>
      <w:pStyle w:val="41"/>
      <w:pBdr>
        <w:bottom w:val="thinThickSmallGap" w:color="auto" w:sz="24" w:space="1"/>
      </w:pBdr>
      <w:rPr>
        <w:sz w:val="21"/>
        <w:szCs w:val="21"/>
      </w:rPr>
    </w:pPr>
    <w:r>
      <w:rPr>
        <w:rFonts w:hint="eastAsia"/>
        <w:sz w:val="21"/>
        <w:szCs w:val="21"/>
      </w:rPr>
      <w:t>华美线业有限公司危险化学品使用专项安全</w:t>
    </w:r>
    <w:r>
      <w:rPr>
        <w:rFonts w:hint="eastAsia"/>
        <w:sz w:val="21"/>
        <w:szCs w:val="21"/>
        <w:lang w:eastAsia="zh-CN"/>
      </w:rPr>
      <w:t>现状</w:t>
    </w:r>
    <w:r>
      <w:rPr>
        <w:rFonts w:hint="eastAsia"/>
        <w:sz w:val="21"/>
        <w:szCs w:val="21"/>
      </w:rPr>
      <w:t>评价报告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234F1">
    <w:pPr>
      <w:pStyle w:val="41"/>
      <w:pBdr>
        <w:bottom w:val="thinThickSmallGap" w:color="auto" w:sz="24" w:space="1"/>
      </w:pBdr>
      <w:rPr>
        <w:sz w:val="21"/>
        <w:szCs w:val="21"/>
      </w:rPr>
    </w:pPr>
    <w:r>
      <w:rPr>
        <w:rFonts w:hint="eastAsia"/>
        <w:sz w:val="21"/>
        <w:szCs w:val="21"/>
      </w:rPr>
      <w:t>华美线业有限公司危险化学品使用专项安全评价报告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6B0D4"/>
    <w:multiLevelType w:val="singleLevel"/>
    <w:tmpl w:val="8336B0D4"/>
    <w:lvl w:ilvl="0" w:tentative="0">
      <w:start w:val="1"/>
      <w:numFmt w:val="decimal"/>
      <w:lvlText w:val="(%1)"/>
      <w:lvlJc w:val="left"/>
      <w:pPr>
        <w:ind w:left="425" w:hanging="425"/>
      </w:pPr>
      <w:rPr>
        <w:rFonts w:hint="default" w:ascii="宋体" w:hAnsi="宋体" w:eastAsia="宋体" w:cs="宋体"/>
        <w:sz w:val="28"/>
        <w:szCs w:val="28"/>
      </w:rPr>
    </w:lvl>
  </w:abstractNum>
  <w:abstractNum w:abstractNumId="1">
    <w:nsid w:val="83A61F76"/>
    <w:multiLevelType w:val="singleLevel"/>
    <w:tmpl w:val="83A61F76"/>
    <w:lvl w:ilvl="0" w:tentative="0">
      <w:start w:val="1"/>
      <w:numFmt w:val="decimal"/>
      <w:lvlText w:val="%1)"/>
      <w:lvlJc w:val="left"/>
      <w:pPr>
        <w:ind w:left="425" w:hanging="425"/>
      </w:pPr>
      <w:rPr>
        <w:rFonts w:hint="default"/>
      </w:rPr>
    </w:lvl>
  </w:abstractNum>
  <w:abstractNum w:abstractNumId="2">
    <w:nsid w:val="91A6A920"/>
    <w:multiLevelType w:val="singleLevel"/>
    <w:tmpl w:val="91A6A920"/>
    <w:lvl w:ilvl="0" w:tentative="0">
      <w:start w:val="1"/>
      <w:numFmt w:val="decimal"/>
      <w:lvlText w:val="%1."/>
      <w:lvlJc w:val="left"/>
      <w:pPr>
        <w:ind w:left="425" w:hanging="425"/>
      </w:pPr>
      <w:rPr>
        <w:rFonts w:hint="default"/>
      </w:rPr>
    </w:lvl>
  </w:abstractNum>
  <w:abstractNum w:abstractNumId="3">
    <w:nsid w:val="986E55C4"/>
    <w:multiLevelType w:val="singleLevel"/>
    <w:tmpl w:val="986E55C4"/>
    <w:lvl w:ilvl="0" w:tentative="0">
      <w:start w:val="1"/>
      <w:numFmt w:val="decimal"/>
      <w:lvlText w:val="%1."/>
      <w:lvlJc w:val="left"/>
      <w:pPr>
        <w:ind w:left="425" w:hanging="425"/>
      </w:pPr>
      <w:rPr>
        <w:rFonts w:hint="default"/>
      </w:rPr>
    </w:lvl>
  </w:abstractNum>
  <w:abstractNum w:abstractNumId="4">
    <w:nsid w:val="A71E661E"/>
    <w:multiLevelType w:val="singleLevel"/>
    <w:tmpl w:val="A71E661E"/>
    <w:lvl w:ilvl="0" w:tentative="0">
      <w:start w:val="1"/>
      <w:numFmt w:val="decimal"/>
      <w:lvlText w:val="%1."/>
      <w:lvlJc w:val="left"/>
      <w:pPr>
        <w:ind w:left="425" w:hanging="425"/>
      </w:pPr>
      <w:rPr>
        <w:rFonts w:hint="default"/>
      </w:rPr>
    </w:lvl>
  </w:abstractNum>
  <w:abstractNum w:abstractNumId="5">
    <w:nsid w:val="A831D3D7"/>
    <w:multiLevelType w:val="singleLevel"/>
    <w:tmpl w:val="A831D3D7"/>
    <w:lvl w:ilvl="0" w:tentative="0">
      <w:start w:val="1"/>
      <w:numFmt w:val="decimal"/>
      <w:lvlText w:val="(%1)"/>
      <w:lvlJc w:val="left"/>
      <w:pPr>
        <w:ind w:left="425" w:hanging="425"/>
      </w:pPr>
      <w:rPr>
        <w:rFonts w:hint="default" w:ascii="宋体" w:hAnsi="宋体" w:eastAsia="宋体" w:cs="宋体"/>
        <w:sz w:val="28"/>
        <w:szCs w:val="28"/>
      </w:rPr>
    </w:lvl>
  </w:abstractNum>
  <w:abstractNum w:abstractNumId="6">
    <w:nsid w:val="BC429CEB"/>
    <w:multiLevelType w:val="singleLevel"/>
    <w:tmpl w:val="BC429CEB"/>
    <w:lvl w:ilvl="0" w:tentative="0">
      <w:start w:val="1"/>
      <w:numFmt w:val="decimal"/>
      <w:lvlText w:val="(%1)"/>
      <w:lvlJc w:val="left"/>
      <w:pPr>
        <w:ind w:left="425" w:hanging="425"/>
      </w:pPr>
      <w:rPr>
        <w:rFonts w:hint="default" w:ascii="宋体" w:hAnsi="宋体" w:eastAsia="宋体" w:cs="宋体"/>
        <w:sz w:val="28"/>
        <w:szCs w:val="28"/>
      </w:rPr>
    </w:lvl>
  </w:abstractNum>
  <w:abstractNum w:abstractNumId="7">
    <w:nsid w:val="BD074742"/>
    <w:multiLevelType w:val="singleLevel"/>
    <w:tmpl w:val="BD074742"/>
    <w:lvl w:ilvl="0" w:tentative="0">
      <w:start w:val="1"/>
      <w:numFmt w:val="decimal"/>
      <w:lvlText w:val="(%1)"/>
      <w:lvlJc w:val="left"/>
      <w:pPr>
        <w:ind w:left="425" w:hanging="425"/>
      </w:pPr>
      <w:rPr>
        <w:rFonts w:hint="default" w:ascii="宋体" w:hAnsi="宋体" w:eastAsia="宋体" w:cs="宋体"/>
        <w:sz w:val="28"/>
        <w:szCs w:val="28"/>
      </w:rPr>
    </w:lvl>
  </w:abstractNum>
  <w:abstractNum w:abstractNumId="8">
    <w:nsid w:val="BE2F49B3"/>
    <w:multiLevelType w:val="singleLevel"/>
    <w:tmpl w:val="BE2F49B3"/>
    <w:lvl w:ilvl="0" w:tentative="0">
      <w:start w:val="1"/>
      <w:numFmt w:val="decimal"/>
      <w:lvlText w:val="%1)"/>
      <w:lvlJc w:val="left"/>
      <w:pPr>
        <w:ind w:left="425" w:hanging="425"/>
      </w:pPr>
      <w:rPr>
        <w:rFonts w:hint="default"/>
      </w:rPr>
    </w:lvl>
  </w:abstractNum>
  <w:abstractNum w:abstractNumId="9">
    <w:nsid w:val="BE5449AC"/>
    <w:multiLevelType w:val="singleLevel"/>
    <w:tmpl w:val="BE5449AC"/>
    <w:lvl w:ilvl="0" w:tentative="0">
      <w:start w:val="1"/>
      <w:numFmt w:val="decimal"/>
      <w:lvlText w:val="%1)"/>
      <w:lvlJc w:val="left"/>
      <w:pPr>
        <w:ind w:left="425" w:hanging="425"/>
      </w:pPr>
      <w:rPr>
        <w:rFonts w:hint="default"/>
      </w:rPr>
    </w:lvl>
  </w:abstractNum>
  <w:abstractNum w:abstractNumId="10">
    <w:nsid w:val="BEEE9D84"/>
    <w:multiLevelType w:val="singleLevel"/>
    <w:tmpl w:val="BEEE9D84"/>
    <w:lvl w:ilvl="0" w:tentative="0">
      <w:start w:val="1"/>
      <w:numFmt w:val="decimal"/>
      <w:lvlText w:val="(%1)"/>
      <w:lvlJc w:val="left"/>
      <w:pPr>
        <w:ind w:left="425" w:hanging="425"/>
      </w:pPr>
      <w:rPr>
        <w:rFonts w:hint="default"/>
      </w:rPr>
    </w:lvl>
  </w:abstractNum>
  <w:abstractNum w:abstractNumId="11">
    <w:nsid w:val="C5ED79DA"/>
    <w:multiLevelType w:val="singleLevel"/>
    <w:tmpl w:val="C5ED79DA"/>
    <w:lvl w:ilvl="0" w:tentative="0">
      <w:start w:val="1"/>
      <w:numFmt w:val="decimal"/>
      <w:lvlText w:val="%1."/>
      <w:lvlJc w:val="left"/>
      <w:pPr>
        <w:ind w:left="425" w:hanging="425"/>
      </w:pPr>
      <w:rPr>
        <w:rFonts w:hint="default"/>
      </w:rPr>
    </w:lvl>
  </w:abstractNum>
  <w:abstractNum w:abstractNumId="12">
    <w:nsid w:val="C9BCA7CC"/>
    <w:multiLevelType w:val="singleLevel"/>
    <w:tmpl w:val="C9BCA7CC"/>
    <w:lvl w:ilvl="0" w:tentative="0">
      <w:start w:val="1"/>
      <w:numFmt w:val="decimal"/>
      <w:lvlText w:val="(%1)"/>
      <w:lvlJc w:val="left"/>
      <w:pPr>
        <w:ind w:left="425" w:hanging="425"/>
      </w:pPr>
      <w:rPr>
        <w:rFonts w:hint="default"/>
      </w:rPr>
    </w:lvl>
  </w:abstractNum>
  <w:abstractNum w:abstractNumId="13">
    <w:nsid w:val="CA893036"/>
    <w:multiLevelType w:val="singleLevel"/>
    <w:tmpl w:val="CA893036"/>
    <w:lvl w:ilvl="0" w:tentative="0">
      <w:start w:val="1"/>
      <w:numFmt w:val="decimal"/>
      <w:lvlText w:val="%1."/>
      <w:lvlJc w:val="left"/>
      <w:pPr>
        <w:ind w:left="425" w:hanging="425"/>
      </w:pPr>
      <w:rPr>
        <w:rFonts w:hint="default"/>
      </w:rPr>
    </w:lvl>
  </w:abstractNum>
  <w:abstractNum w:abstractNumId="14">
    <w:nsid w:val="CCDCDB0A"/>
    <w:multiLevelType w:val="singleLevel"/>
    <w:tmpl w:val="CCDCDB0A"/>
    <w:lvl w:ilvl="0" w:tentative="0">
      <w:start w:val="1"/>
      <w:numFmt w:val="decimal"/>
      <w:lvlText w:val="%1."/>
      <w:lvlJc w:val="left"/>
      <w:pPr>
        <w:ind w:left="425" w:hanging="425"/>
      </w:pPr>
      <w:rPr>
        <w:rFonts w:hint="default"/>
      </w:rPr>
    </w:lvl>
  </w:abstractNum>
  <w:abstractNum w:abstractNumId="15">
    <w:nsid w:val="D1C919AF"/>
    <w:multiLevelType w:val="singleLevel"/>
    <w:tmpl w:val="D1C919AF"/>
    <w:lvl w:ilvl="0" w:tentative="0">
      <w:start w:val="1"/>
      <w:numFmt w:val="decimal"/>
      <w:lvlText w:val="(%1)"/>
      <w:lvlJc w:val="left"/>
      <w:pPr>
        <w:ind w:left="425" w:hanging="425"/>
      </w:pPr>
      <w:rPr>
        <w:rFonts w:hint="default" w:ascii="宋体" w:hAnsi="宋体" w:eastAsia="宋体" w:cs="宋体"/>
        <w:sz w:val="28"/>
        <w:szCs w:val="28"/>
      </w:rPr>
    </w:lvl>
  </w:abstractNum>
  <w:abstractNum w:abstractNumId="16">
    <w:nsid w:val="D23A0AD9"/>
    <w:multiLevelType w:val="singleLevel"/>
    <w:tmpl w:val="D23A0AD9"/>
    <w:lvl w:ilvl="0" w:tentative="0">
      <w:start w:val="1"/>
      <w:numFmt w:val="decimal"/>
      <w:lvlText w:val="%1)"/>
      <w:lvlJc w:val="left"/>
      <w:pPr>
        <w:ind w:left="425" w:hanging="425"/>
      </w:pPr>
      <w:rPr>
        <w:rFonts w:hint="default"/>
      </w:rPr>
    </w:lvl>
  </w:abstractNum>
  <w:abstractNum w:abstractNumId="17">
    <w:nsid w:val="D3A3C728"/>
    <w:multiLevelType w:val="singleLevel"/>
    <w:tmpl w:val="D3A3C728"/>
    <w:lvl w:ilvl="0" w:tentative="0">
      <w:start w:val="1"/>
      <w:numFmt w:val="decimal"/>
      <w:lvlText w:val="%1."/>
      <w:lvlJc w:val="left"/>
      <w:pPr>
        <w:ind w:left="425" w:hanging="425"/>
      </w:pPr>
      <w:rPr>
        <w:rFonts w:hint="default"/>
      </w:rPr>
    </w:lvl>
  </w:abstractNum>
  <w:abstractNum w:abstractNumId="18">
    <w:nsid w:val="D6B19593"/>
    <w:multiLevelType w:val="singleLevel"/>
    <w:tmpl w:val="D6B19593"/>
    <w:lvl w:ilvl="0" w:tentative="0">
      <w:start w:val="1"/>
      <w:numFmt w:val="decimal"/>
      <w:lvlText w:val="(%1)"/>
      <w:lvlJc w:val="left"/>
      <w:pPr>
        <w:ind w:left="425" w:hanging="425"/>
      </w:pPr>
      <w:rPr>
        <w:rFonts w:hint="default" w:ascii="宋体" w:hAnsi="宋体" w:eastAsia="宋体" w:cs="宋体"/>
        <w:sz w:val="28"/>
        <w:szCs w:val="28"/>
      </w:rPr>
    </w:lvl>
  </w:abstractNum>
  <w:abstractNum w:abstractNumId="19">
    <w:nsid w:val="D7DBF90B"/>
    <w:multiLevelType w:val="singleLevel"/>
    <w:tmpl w:val="D7DBF90B"/>
    <w:lvl w:ilvl="0" w:tentative="0">
      <w:start w:val="1"/>
      <w:numFmt w:val="decimal"/>
      <w:lvlText w:val="%1."/>
      <w:lvlJc w:val="left"/>
      <w:pPr>
        <w:ind w:left="425" w:hanging="425"/>
      </w:pPr>
      <w:rPr>
        <w:rFonts w:hint="default"/>
      </w:rPr>
    </w:lvl>
  </w:abstractNum>
  <w:abstractNum w:abstractNumId="20">
    <w:nsid w:val="DA192140"/>
    <w:multiLevelType w:val="singleLevel"/>
    <w:tmpl w:val="DA192140"/>
    <w:lvl w:ilvl="0" w:tentative="0">
      <w:start w:val="1"/>
      <w:numFmt w:val="decimal"/>
      <w:lvlText w:val="%1."/>
      <w:lvlJc w:val="left"/>
      <w:pPr>
        <w:ind w:left="425" w:hanging="425"/>
      </w:pPr>
      <w:rPr>
        <w:rFonts w:hint="default"/>
      </w:rPr>
    </w:lvl>
  </w:abstractNum>
  <w:abstractNum w:abstractNumId="21">
    <w:nsid w:val="DA51B879"/>
    <w:multiLevelType w:val="singleLevel"/>
    <w:tmpl w:val="DA51B879"/>
    <w:lvl w:ilvl="0" w:tentative="0">
      <w:start w:val="1"/>
      <w:numFmt w:val="chineseCounting"/>
      <w:suff w:val="nothing"/>
      <w:lvlText w:val="%1、"/>
      <w:lvlJc w:val="left"/>
      <w:pPr>
        <w:ind w:left="0" w:firstLine="0"/>
      </w:pPr>
      <w:rPr>
        <w:rFonts w:hint="eastAsia"/>
      </w:rPr>
    </w:lvl>
  </w:abstractNum>
  <w:abstractNum w:abstractNumId="22">
    <w:nsid w:val="DB8E5527"/>
    <w:multiLevelType w:val="singleLevel"/>
    <w:tmpl w:val="DB8E5527"/>
    <w:lvl w:ilvl="0" w:tentative="0">
      <w:start w:val="1"/>
      <w:numFmt w:val="decimal"/>
      <w:lvlText w:val="%1."/>
      <w:lvlJc w:val="left"/>
      <w:pPr>
        <w:ind w:left="425" w:hanging="425"/>
      </w:pPr>
      <w:rPr>
        <w:rFonts w:hint="default"/>
      </w:rPr>
    </w:lvl>
  </w:abstractNum>
  <w:abstractNum w:abstractNumId="23">
    <w:nsid w:val="DC5A0C7F"/>
    <w:multiLevelType w:val="singleLevel"/>
    <w:tmpl w:val="DC5A0C7F"/>
    <w:lvl w:ilvl="0" w:tentative="0">
      <w:start w:val="1"/>
      <w:numFmt w:val="decimal"/>
      <w:lvlText w:val="(%1)"/>
      <w:lvlJc w:val="left"/>
      <w:pPr>
        <w:ind w:left="425" w:hanging="425"/>
      </w:pPr>
      <w:rPr>
        <w:rFonts w:hint="default" w:ascii="宋体" w:hAnsi="宋体" w:eastAsia="宋体" w:cs="宋体"/>
        <w:sz w:val="28"/>
        <w:szCs w:val="28"/>
      </w:rPr>
    </w:lvl>
  </w:abstractNum>
  <w:abstractNum w:abstractNumId="24">
    <w:nsid w:val="DCA76249"/>
    <w:multiLevelType w:val="singleLevel"/>
    <w:tmpl w:val="DCA76249"/>
    <w:lvl w:ilvl="0" w:tentative="0">
      <w:start w:val="1"/>
      <w:numFmt w:val="decimal"/>
      <w:lvlText w:val="%1."/>
      <w:lvlJc w:val="left"/>
      <w:pPr>
        <w:ind w:left="425" w:hanging="425"/>
      </w:pPr>
      <w:rPr>
        <w:rFonts w:hint="default"/>
      </w:rPr>
    </w:lvl>
  </w:abstractNum>
  <w:abstractNum w:abstractNumId="25">
    <w:nsid w:val="DCC18426"/>
    <w:multiLevelType w:val="singleLevel"/>
    <w:tmpl w:val="DCC18426"/>
    <w:lvl w:ilvl="0" w:tentative="0">
      <w:start w:val="1"/>
      <w:numFmt w:val="decimal"/>
      <w:lvlText w:val="%1."/>
      <w:lvlJc w:val="left"/>
      <w:pPr>
        <w:ind w:left="425" w:hanging="425"/>
      </w:pPr>
      <w:rPr>
        <w:rFonts w:hint="default"/>
      </w:rPr>
    </w:lvl>
  </w:abstractNum>
  <w:abstractNum w:abstractNumId="26">
    <w:nsid w:val="DF5051AB"/>
    <w:multiLevelType w:val="singleLevel"/>
    <w:tmpl w:val="DF5051AB"/>
    <w:lvl w:ilvl="0" w:tentative="0">
      <w:start w:val="1"/>
      <w:numFmt w:val="decimal"/>
      <w:lvlText w:val="(%1)"/>
      <w:lvlJc w:val="left"/>
      <w:pPr>
        <w:ind w:left="425" w:hanging="425"/>
      </w:pPr>
      <w:rPr>
        <w:rFonts w:hint="default" w:ascii="宋体" w:hAnsi="宋体" w:eastAsia="宋体" w:cs="宋体"/>
        <w:sz w:val="28"/>
        <w:szCs w:val="28"/>
      </w:rPr>
    </w:lvl>
  </w:abstractNum>
  <w:abstractNum w:abstractNumId="27">
    <w:nsid w:val="DFDE5DAA"/>
    <w:multiLevelType w:val="singleLevel"/>
    <w:tmpl w:val="DFDE5DAA"/>
    <w:lvl w:ilvl="0" w:tentative="0">
      <w:start w:val="1"/>
      <w:numFmt w:val="decimal"/>
      <w:lvlText w:val="(%1)"/>
      <w:lvlJc w:val="left"/>
      <w:pPr>
        <w:ind w:left="425" w:hanging="425"/>
      </w:pPr>
      <w:rPr>
        <w:rFonts w:hint="default"/>
      </w:rPr>
    </w:lvl>
  </w:abstractNum>
  <w:abstractNum w:abstractNumId="28">
    <w:nsid w:val="E0F2CD8F"/>
    <w:multiLevelType w:val="singleLevel"/>
    <w:tmpl w:val="E0F2CD8F"/>
    <w:lvl w:ilvl="0" w:tentative="0">
      <w:start w:val="1"/>
      <w:numFmt w:val="decimal"/>
      <w:lvlText w:val="%1."/>
      <w:lvlJc w:val="left"/>
      <w:pPr>
        <w:ind w:left="425" w:hanging="425"/>
      </w:pPr>
      <w:rPr>
        <w:rFonts w:hint="default"/>
      </w:rPr>
    </w:lvl>
  </w:abstractNum>
  <w:abstractNum w:abstractNumId="29">
    <w:nsid w:val="E35A426F"/>
    <w:multiLevelType w:val="singleLevel"/>
    <w:tmpl w:val="E35A426F"/>
    <w:lvl w:ilvl="0" w:tentative="0">
      <w:start w:val="1"/>
      <w:numFmt w:val="decimal"/>
      <w:lvlText w:val="(%1)"/>
      <w:lvlJc w:val="left"/>
      <w:pPr>
        <w:ind w:left="425" w:hanging="425"/>
      </w:pPr>
      <w:rPr>
        <w:rFonts w:hint="default" w:ascii="宋体" w:hAnsi="宋体" w:eastAsia="宋体" w:cs="宋体"/>
        <w:sz w:val="28"/>
        <w:szCs w:val="28"/>
      </w:rPr>
    </w:lvl>
  </w:abstractNum>
  <w:abstractNum w:abstractNumId="30">
    <w:nsid w:val="E47CBAF4"/>
    <w:multiLevelType w:val="singleLevel"/>
    <w:tmpl w:val="E47CBAF4"/>
    <w:lvl w:ilvl="0" w:tentative="0">
      <w:start w:val="1"/>
      <w:numFmt w:val="decimal"/>
      <w:lvlText w:val="%1."/>
      <w:lvlJc w:val="left"/>
      <w:pPr>
        <w:ind w:left="425" w:hanging="425"/>
      </w:pPr>
      <w:rPr>
        <w:rFonts w:hint="default"/>
      </w:rPr>
    </w:lvl>
  </w:abstractNum>
  <w:abstractNum w:abstractNumId="31">
    <w:nsid w:val="EA7B1B20"/>
    <w:multiLevelType w:val="singleLevel"/>
    <w:tmpl w:val="EA7B1B20"/>
    <w:lvl w:ilvl="0" w:tentative="0">
      <w:start w:val="1"/>
      <w:numFmt w:val="decimal"/>
      <w:lvlText w:val="%1)"/>
      <w:lvlJc w:val="left"/>
      <w:pPr>
        <w:ind w:left="425" w:hanging="425"/>
      </w:pPr>
      <w:rPr>
        <w:rFonts w:hint="default"/>
      </w:rPr>
    </w:lvl>
  </w:abstractNum>
  <w:abstractNum w:abstractNumId="32">
    <w:nsid w:val="EB14A755"/>
    <w:multiLevelType w:val="singleLevel"/>
    <w:tmpl w:val="EB14A755"/>
    <w:lvl w:ilvl="0" w:tentative="0">
      <w:start w:val="1"/>
      <w:numFmt w:val="decimal"/>
      <w:lvlText w:val="(%1)"/>
      <w:lvlJc w:val="left"/>
      <w:pPr>
        <w:ind w:left="425" w:hanging="425"/>
      </w:pPr>
      <w:rPr>
        <w:rFonts w:hint="default"/>
      </w:rPr>
    </w:lvl>
  </w:abstractNum>
  <w:abstractNum w:abstractNumId="33">
    <w:nsid w:val="01A96EEF"/>
    <w:multiLevelType w:val="multilevel"/>
    <w:tmpl w:val="01A96EEF"/>
    <w:lvl w:ilvl="0" w:tentative="0">
      <w:start w:val="1"/>
      <w:numFmt w:val="decimal"/>
      <w:lvlText w:val="%1)"/>
      <w:lvlJc w:val="left"/>
      <w:pPr>
        <w:ind w:left="987"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4">
    <w:nsid w:val="05B775D1"/>
    <w:multiLevelType w:val="multilevel"/>
    <w:tmpl w:val="05B775D1"/>
    <w:lvl w:ilvl="0" w:tentative="0">
      <w:start w:val="5"/>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0D0B1DA9"/>
    <w:multiLevelType w:val="singleLevel"/>
    <w:tmpl w:val="0D0B1DA9"/>
    <w:lvl w:ilvl="0" w:tentative="0">
      <w:start w:val="1"/>
      <w:numFmt w:val="decimal"/>
      <w:lvlText w:val="(%1)"/>
      <w:lvlJc w:val="left"/>
      <w:pPr>
        <w:ind w:left="425" w:hanging="425"/>
      </w:pPr>
      <w:rPr>
        <w:rFonts w:hint="default"/>
      </w:rPr>
    </w:lvl>
  </w:abstractNum>
  <w:abstractNum w:abstractNumId="36">
    <w:nsid w:val="0D5945F1"/>
    <w:multiLevelType w:val="multilevel"/>
    <w:tmpl w:val="0D5945F1"/>
    <w:lvl w:ilvl="0" w:tentative="0">
      <w:start w:val="1"/>
      <w:numFmt w:val="decimal"/>
      <w:lvlText w:val="(%1)"/>
      <w:lvlJc w:val="left"/>
      <w:pPr>
        <w:tabs>
          <w:tab w:val="left" w:pos="561"/>
        </w:tabs>
        <w:ind w:left="0" w:firstLine="0"/>
      </w:pPr>
      <w:rPr>
        <w:rFonts w:hint="default"/>
      </w:rPr>
    </w:lvl>
    <w:lvl w:ilvl="1" w:tentative="0">
      <w:start w:val="1"/>
      <w:numFmt w:val="decimal"/>
      <w:lvlText w:val="%2）"/>
      <w:lvlJc w:val="left"/>
      <w:pPr>
        <w:ind w:left="1140" w:hanging="720"/>
      </w:pPr>
      <w:rPr>
        <w:rFonts w:hint="default"/>
      </w:rPr>
    </w:lvl>
    <w:lvl w:ilvl="2" w:tentative="0">
      <w:start w:val="1"/>
      <w:numFmt w:val="decimal"/>
      <w:lvlText w:val="（%3）"/>
      <w:lvlJc w:val="left"/>
      <w:pPr>
        <w:tabs>
          <w:tab w:val="left" w:pos="1260"/>
        </w:tabs>
        <w:ind w:left="1260" w:hanging="420"/>
      </w:pPr>
      <w:rPr>
        <w:rFonts w:hint="eastAsia"/>
      </w:rPr>
    </w:lvl>
    <w:lvl w:ilvl="3" w:tentative="0">
      <w:start w:val="3"/>
      <w:numFmt w:val="decimal"/>
      <w:lvlText w:val="%4）"/>
      <w:lvlJc w:val="left"/>
      <w:pPr>
        <w:ind w:left="1980" w:hanging="720"/>
      </w:pPr>
      <w:rPr>
        <w:rFonts w:hint="default"/>
      </w:rPr>
    </w:lvl>
    <w:lvl w:ilvl="4" w:tentative="0">
      <w:start w:val="1"/>
      <w:numFmt w:val="decimalEnclosedCircle"/>
      <w:lvlText w:val="%5"/>
      <w:lvlJc w:val="left"/>
      <w:pPr>
        <w:ind w:left="2520" w:hanging="840"/>
      </w:pPr>
      <w:rPr>
        <w:rFonts w:hint="default"/>
      </w:rPr>
    </w:lvl>
    <w:lvl w:ilvl="5" w:tentative="0">
      <w:start w:val="1"/>
      <w:numFmt w:val="upperLetter"/>
      <w:lvlText w:val="%6."/>
      <w:lvlJc w:val="left"/>
      <w:pPr>
        <w:ind w:left="3090" w:hanging="990"/>
      </w:pPr>
      <w:rPr>
        <w:rFonts w:hint="default"/>
      </w:rPr>
    </w:lvl>
    <w:lvl w:ilvl="6" w:tentative="0">
      <w:start w:val="1"/>
      <w:numFmt w:val="lowerLetter"/>
      <w:lvlText w:val="%7）"/>
      <w:lvlJc w:val="left"/>
      <w:pPr>
        <w:ind w:left="3510" w:hanging="990"/>
      </w:pPr>
      <w:rPr>
        <w:rFonts w:hint="default"/>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7">
    <w:nsid w:val="0E145BB9"/>
    <w:multiLevelType w:val="singleLevel"/>
    <w:tmpl w:val="0E145BB9"/>
    <w:lvl w:ilvl="0" w:tentative="0">
      <w:start w:val="1"/>
      <w:numFmt w:val="decimal"/>
      <w:lvlText w:val="%1."/>
      <w:lvlJc w:val="left"/>
      <w:pPr>
        <w:ind w:left="425" w:hanging="425"/>
      </w:pPr>
      <w:rPr>
        <w:rFonts w:hint="default"/>
      </w:rPr>
    </w:lvl>
  </w:abstractNum>
  <w:abstractNum w:abstractNumId="38">
    <w:nsid w:val="10837295"/>
    <w:multiLevelType w:val="singleLevel"/>
    <w:tmpl w:val="10837295"/>
    <w:lvl w:ilvl="0" w:tentative="0">
      <w:start w:val="1"/>
      <w:numFmt w:val="decimal"/>
      <w:lvlText w:val="%1."/>
      <w:lvlJc w:val="left"/>
      <w:pPr>
        <w:ind w:left="425" w:hanging="425"/>
      </w:pPr>
      <w:rPr>
        <w:rFonts w:hint="default"/>
      </w:rPr>
    </w:lvl>
  </w:abstractNum>
  <w:abstractNum w:abstractNumId="39">
    <w:nsid w:val="1293C826"/>
    <w:multiLevelType w:val="singleLevel"/>
    <w:tmpl w:val="1293C826"/>
    <w:lvl w:ilvl="0" w:tentative="0">
      <w:start w:val="1"/>
      <w:numFmt w:val="decimal"/>
      <w:lvlText w:val="%1."/>
      <w:lvlJc w:val="left"/>
      <w:pPr>
        <w:ind w:left="425" w:hanging="425"/>
      </w:pPr>
      <w:rPr>
        <w:rFonts w:hint="default"/>
      </w:rPr>
    </w:lvl>
  </w:abstractNum>
  <w:abstractNum w:abstractNumId="40">
    <w:nsid w:val="1B09557D"/>
    <w:multiLevelType w:val="multilevel"/>
    <w:tmpl w:val="1B09557D"/>
    <w:lvl w:ilvl="0" w:tentative="0">
      <w:start w:val="1"/>
      <w:numFmt w:val="decimal"/>
      <w:lvlText w:val="%1)"/>
      <w:lvlJc w:val="left"/>
      <w:pPr>
        <w:ind w:left="562" w:hanging="420"/>
      </w:p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41">
    <w:nsid w:val="1C8A588C"/>
    <w:multiLevelType w:val="singleLevel"/>
    <w:tmpl w:val="1C8A588C"/>
    <w:lvl w:ilvl="0" w:tentative="0">
      <w:start w:val="1"/>
      <w:numFmt w:val="decimal"/>
      <w:lvlText w:val="%1."/>
      <w:lvlJc w:val="left"/>
      <w:pPr>
        <w:ind w:left="425" w:hanging="425"/>
      </w:pPr>
      <w:rPr>
        <w:rFonts w:hint="default"/>
      </w:rPr>
    </w:lvl>
  </w:abstractNum>
  <w:abstractNum w:abstractNumId="42">
    <w:nsid w:val="1DED1DD6"/>
    <w:multiLevelType w:val="singleLevel"/>
    <w:tmpl w:val="1DED1DD6"/>
    <w:lvl w:ilvl="0" w:tentative="0">
      <w:start w:val="1"/>
      <w:numFmt w:val="decimal"/>
      <w:lvlText w:val="(%1)"/>
      <w:lvlJc w:val="left"/>
      <w:pPr>
        <w:ind w:left="425" w:hanging="425"/>
      </w:pPr>
      <w:rPr>
        <w:rFonts w:hint="default"/>
      </w:rPr>
    </w:lvl>
  </w:abstractNum>
  <w:abstractNum w:abstractNumId="43">
    <w:nsid w:val="1DF90011"/>
    <w:multiLevelType w:val="singleLevel"/>
    <w:tmpl w:val="1DF90011"/>
    <w:lvl w:ilvl="0" w:tentative="0">
      <w:start w:val="1"/>
      <w:numFmt w:val="decimal"/>
      <w:lvlText w:val="(%1)"/>
      <w:lvlJc w:val="left"/>
      <w:pPr>
        <w:ind w:left="425" w:hanging="425"/>
      </w:pPr>
      <w:rPr>
        <w:rFonts w:hint="default"/>
      </w:rPr>
    </w:lvl>
  </w:abstractNum>
  <w:abstractNum w:abstractNumId="44">
    <w:nsid w:val="26F538C8"/>
    <w:multiLevelType w:val="singleLevel"/>
    <w:tmpl w:val="26F538C8"/>
    <w:lvl w:ilvl="0" w:tentative="0">
      <w:start w:val="1"/>
      <w:numFmt w:val="decimal"/>
      <w:lvlText w:val="%1."/>
      <w:lvlJc w:val="left"/>
      <w:pPr>
        <w:ind w:left="425" w:hanging="425"/>
      </w:pPr>
      <w:rPr>
        <w:rFonts w:hint="default"/>
      </w:rPr>
    </w:lvl>
  </w:abstractNum>
  <w:abstractNum w:abstractNumId="45">
    <w:nsid w:val="286658B7"/>
    <w:multiLevelType w:val="singleLevel"/>
    <w:tmpl w:val="286658B7"/>
    <w:lvl w:ilvl="0" w:tentative="0">
      <w:start w:val="1"/>
      <w:numFmt w:val="decimal"/>
      <w:lvlText w:val="(%1)"/>
      <w:lvlJc w:val="left"/>
      <w:pPr>
        <w:ind w:left="425" w:hanging="425"/>
      </w:pPr>
      <w:rPr>
        <w:rFonts w:hint="default" w:ascii="宋体" w:hAnsi="宋体" w:eastAsia="宋体" w:cs="宋体"/>
        <w:sz w:val="28"/>
        <w:szCs w:val="28"/>
      </w:rPr>
    </w:lvl>
  </w:abstractNum>
  <w:abstractNum w:abstractNumId="46">
    <w:nsid w:val="29B7A219"/>
    <w:multiLevelType w:val="singleLevel"/>
    <w:tmpl w:val="29B7A219"/>
    <w:lvl w:ilvl="0" w:tentative="0">
      <w:start w:val="1"/>
      <w:numFmt w:val="decimal"/>
      <w:lvlText w:val="%1."/>
      <w:lvlJc w:val="left"/>
      <w:pPr>
        <w:ind w:left="425" w:hanging="425"/>
      </w:pPr>
      <w:rPr>
        <w:rFonts w:hint="default"/>
      </w:rPr>
    </w:lvl>
  </w:abstractNum>
  <w:abstractNum w:abstractNumId="47">
    <w:nsid w:val="2DB77570"/>
    <w:multiLevelType w:val="multilevel"/>
    <w:tmpl w:val="2DB77570"/>
    <w:lvl w:ilvl="0" w:tentative="0">
      <w:start w:val="1"/>
      <w:numFmt w:val="decimal"/>
      <w:lvlText w:val="%1."/>
      <w:lvlJc w:val="left"/>
      <w:pPr>
        <w:ind w:left="425" w:hanging="425"/>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48">
    <w:nsid w:val="33965CC2"/>
    <w:multiLevelType w:val="singleLevel"/>
    <w:tmpl w:val="33965CC2"/>
    <w:lvl w:ilvl="0" w:tentative="0">
      <w:start w:val="1"/>
      <w:numFmt w:val="decimal"/>
      <w:lvlText w:val="%1."/>
      <w:lvlJc w:val="left"/>
      <w:pPr>
        <w:ind w:left="425" w:hanging="425"/>
      </w:pPr>
      <w:rPr>
        <w:rFonts w:hint="default"/>
      </w:rPr>
    </w:lvl>
  </w:abstractNum>
  <w:abstractNum w:abstractNumId="49">
    <w:nsid w:val="35B78382"/>
    <w:multiLevelType w:val="singleLevel"/>
    <w:tmpl w:val="35B78382"/>
    <w:lvl w:ilvl="0" w:tentative="0">
      <w:start w:val="1"/>
      <w:numFmt w:val="decimal"/>
      <w:lvlText w:val="(%1)"/>
      <w:lvlJc w:val="left"/>
      <w:pPr>
        <w:ind w:left="425" w:hanging="425"/>
      </w:pPr>
      <w:rPr>
        <w:rFonts w:hint="default"/>
      </w:rPr>
    </w:lvl>
  </w:abstractNum>
  <w:abstractNum w:abstractNumId="50">
    <w:nsid w:val="368A5F8E"/>
    <w:multiLevelType w:val="singleLevel"/>
    <w:tmpl w:val="368A5F8E"/>
    <w:lvl w:ilvl="0" w:tentative="0">
      <w:start w:val="1"/>
      <w:numFmt w:val="decimal"/>
      <w:lvlText w:val="%1."/>
      <w:lvlJc w:val="left"/>
      <w:pPr>
        <w:ind w:left="425" w:hanging="425"/>
      </w:pPr>
      <w:rPr>
        <w:rFonts w:hint="default"/>
      </w:rPr>
    </w:lvl>
  </w:abstractNum>
  <w:abstractNum w:abstractNumId="51">
    <w:nsid w:val="3B33E394"/>
    <w:multiLevelType w:val="singleLevel"/>
    <w:tmpl w:val="3B33E394"/>
    <w:lvl w:ilvl="0" w:tentative="0">
      <w:start w:val="1"/>
      <w:numFmt w:val="decimal"/>
      <w:lvlText w:val="(%1)"/>
      <w:lvlJc w:val="left"/>
      <w:pPr>
        <w:ind w:left="425" w:hanging="425"/>
      </w:pPr>
      <w:rPr>
        <w:rFonts w:hint="default" w:ascii="宋体" w:hAnsi="宋体" w:eastAsia="宋体" w:cs="宋体"/>
        <w:sz w:val="28"/>
        <w:szCs w:val="28"/>
      </w:rPr>
    </w:lvl>
  </w:abstractNum>
  <w:abstractNum w:abstractNumId="52">
    <w:nsid w:val="3CEE373F"/>
    <w:multiLevelType w:val="multilevel"/>
    <w:tmpl w:val="3CEE373F"/>
    <w:lvl w:ilvl="0" w:tentative="0">
      <w:start w:val="1"/>
      <w:numFmt w:val="decimal"/>
      <w:lvlText w:val="（%1）"/>
      <w:lvlJc w:val="left"/>
      <w:pPr>
        <w:ind w:left="846"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3F2C4243"/>
    <w:multiLevelType w:val="singleLevel"/>
    <w:tmpl w:val="3F2C4243"/>
    <w:lvl w:ilvl="0" w:tentative="0">
      <w:start w:val="1"/>
      <w:numFmt w:val="decimal"/>
      <w:lvlText w:val="(%1)"/>
      <w:lvlJc w:val="left"/>
      <w:pPr>
        <w:ind w:left="425" w:hanging="425"/>
      </w:pPr>
      <w:rPr>
        <w:rFonts w:hint="default"/>
      </w:rPr>
    </w:lvl>
  </w:abstractNum>
  <w:abstractNum w:abstractNumId="54">
    <w:nsid w:val="424DF45D"/>
    <w:multiLevelType w:val="singleLevel"/>
    <w:tmpl w:val="424DF45D"/>
    <w:lvl w:ilvl="0" w:tentative="0">
      <w:start w:val="1"/>
      <w:numFmt w:val="decimal"/>
      <w:lvlText w:val="%1."/>
      <w:lvlJc w:val="left"/>
      <w:pPr>
        <w:ind w:left="425" w:hanging="425"/>
      </w:pPr>
      <w:rPr>
        <w:rFonts w:hint="default"/>
      </w:rPr>
    </w:lvl>
  </w:abstractNum>
  <w:abstractNum w:abstractNumId="55">
    <w:nsid w:val="4797BE6F"/>
    <w:multiLevelType w:val="singleLevel"/>
    <w:tmpl w:val="4797BE6F"/>
    <w:lvl w:ilvl="0" w:tentative="0">
      <w:start w:val="1"/>
      <w:numFmt w:val="decimal"/>
      <w:lvlText w:val="(%1)"/>
      <w:lvlJc w:val="left"/>
      <w:pPr>
        <w:ind w:left="425" w:hanging="425"/>
      </w:pPr>
      <w:rPr>
        <w:rFonts w:hint="default"/>
      </w:rPr>
    </w:lvl>
  </w:abstractNum>
  <w:abstractNum w:abstractNumId="56">
    <w:nsid w:val="480515F2"/>
    <w:multiLevelType w:val="singleLevel"/>
    <w:tmpl w:val="480515F2"/>
    <w:lvl w:ilvl="0" w:tentative="0">
      <w:start w:val="1"/>
      <w:numFmt w:val="decimal"/>
      <w:lvlText w:val="%1."/>
      <w:lvlJc w:val="left"/>
      <w:pPr>
        <w:ind w:left="425" w:hanging="425"/>
      </w:pPr>
      <w:rPr>
        <w:rFonts w:hint="default"/>
      </w:rPr>
    </w:lvl>
  </w:abstractNum>
  <w:abstractNum w:abstractNumId="57">
    <w:nsid w:val="52D2138A"/>
    <w:multiLevelType w:val="singleLevel"/>
    <w:tmpl w:val="52D2138A"/>
    <w:lvl w:ilvl="0" w:tentative="0">
      <w:start w:val="1"/>
      <w:numFmt w:val="decimal"/>
      <w:lvlText w:val="%1."/>
      <w:lvlJc w:val="left"/>
      <w:pPr>
        <w:ind w:left="425" w:hanging="425"/>
      </w:pPr>
      <w:rPr>
        <w:rFonts w:hint="default"/>
      </w:rPr>
    </w:lvl>
  </w:abstractNum>
  <w:abstractNum w:abstractNumId="58">
    <w:nsid w:val="578BC882"/>
    <w:multiLevelType w:val="singleLevel"/>
    <w:tmpl w:val="578BC882"/>
    <w:lvl w:ilvl="0" w:tentative="0">
      <w:start w:val="1"/>
      <w:numFmt w:val="decimal"/>
      <w:lvlText w:val="(%1)"/>
      <w:lvlJc w:val="left"/>
      <w:pPr>
        <w:ind w:left="425" w:hanging="425"/>
      </w:pPr>
      <w:rPr>
        <w:rFonts w:hint="default"/>
      </w:rPr>
    </w:lvl>
  </w:abstractNum>
  <w:abstractNum w:abstractNumId="59">
    <w:nsid w:val="5795BF98"/>
    <w:multiLevelType w:val="singleLevel"/>
    <w:tmpl w:val="5795BF98"/>
    <w:lvl w:ilvl="0" w:tentative="0">
      <w:start w:val="1"/>
      <w:numFmt w:val="decimal"/>
      <w:lvlText w:val="(%1)"/>
      <w:lvlJc w:val="left"/>
      <w:pPr>
        <w:ind w:left="425" w:hanging="425"/>
      </w:pPr>
      <w:rPr>
        <w:rFonts w:hint="default" w:ascii="宋体" w:hAnsi="宋体" w:eastAsia="宋体" w:cs="宋体"/>
        <w:sz w:val="28"/>
        <w:szCs w:val="28"/>
      </w:rPr>
    </w:lvl>
  </w:abstractNum>
  <w:abstractNum w:abstractNumId="60">
    <w:nsid w:val="5ACF330F"/>
    <w:multiLevelType w:val="singleLevel"/>
    <w:tmpl w:val="5ACF330F"/>
    <w:lvl w:ilvl="0" w:tentative="0">
      <w:start w:val="1"/>
      <w:numFmt w:val="decimal"/>
      <w:lvlText w:val="(%1)"/>
      <w:lvlJc w:val="left"/>
      <w:pPr>
        <w:ind w:left="425" w:hanging="425"/>
      </w:pPr>
      <w:rPr>
        <w:rFonts w:hint="default"/>
      </w:rPr>
    </w:lvl>
  </w:abstractNum>
  <w:abstractNum w:abstractNumId="61">
    <w:nsid w:val="5BB4403F"/>
    <w:multiLevelType w:val="singleLevel"/>
    <w:tmpl w:val="5BB4403F"/>
    <w:lvl w:ilvl="0" w:tentative="0">
      <w:start w:val="1"/>
      <w:numFmt w:val="decimal"/>
      <w:lvlText w:val="%1."/>
      <w:lvlJc w:val="left"/>
      <w:pPr>
        <w:ind w:left="425" w:hanging="425"/>
      </w:pPr>
      <w:rPr>
        <w:rFonts w:hint="default"/>
      </w:rPr>
    </w:lvl>
  </w:abstractNum>
  <w:abstractNum w:abstractNumId="62">
    <w:nsid w:val="5FFC16E8"/>
    <w:multiLevelType w:val="singleLevel"/>
    <w:tmpl w:val="5FFC16E8"/>
    <w:lvl w:ilvl="0" w:tentative="0">
      <w:start w:val="1"/>
      <w:numFmt w:val="decimal"/>
      <w:lvlText w:val="%1)"/>
      <w:lvlJc w:val="left"/>
      <w:pPr>
        <w:ind w:left="425" w:hanging="425"/>
      </w:pPr>
      <w:rPr>
        <w:rFonts w:hint="default"/>
      </w:rPr>
    </w:lvl>
  </w:abstractNum>
  <w:abstractNum w:abstractNumId="63">
    <w:nsid w:val="64129D1F"/>
    <w:multiLevelType w:val="singleLevel"/>
    <w:tmpl w:val="64129D1F"/>
    <w:lvl w:ilvl="0" w:tentative="0">
      <w:start w:val="1"/>
      <w:numFmt w:val="decimal"/>
      <w:lvlText w:val="%1."/>
      <w:lvlJc w:val="left"/>
      <w:pPr>
        <w:ind w:left="425" w:hanging="425"/>
      </w:pPr>
      <w:rPr>
        <w:rFonts w:hint="default"/>
      </w:rPr>
    </w:lvl>
  </w:abstractNum>
  <w:abstractNum w:abstractNumId="64">
    <w:nsid w:val="64D304B3"/>
    <w:multiLevelType w:val="singleLevel"/>
    <w:tmpl w:val="64D304B3"/>
    <w:lvl w:ilvl="0" w:tentative="0">
      <w:start w:val="1"/>
      <w:numFmt w:val="decimal"/>
      <w:lvlText w:val="(%1)"/>
      <w:lvlJc w:val="left"/>
      <w:pPr>
        <w:ind w:left="425" w:hanging="425"/>
      </w:pPr>
      <w:rPr>
        <w:rFonts w:hint="default"/>
      </w:rPr>
    </w:lvl>
  </w:abstractNum>
  <w:abstractNum w:abstractNumId="65">
    <w:nsid w:val="654A7E5A"/>
    <w:multiLevelType w:val="singleLevel"/>
    <w:tmpl w:val="654A7E5A"/>
    <w:lvl w:ilvl="0" w:tentative="0">
      <w:start w:val="1"/>
      <w:numFmt w:val="decimal"/>
      <w:lvlText w:val="%1."/>
      <w:lvlJc w:val="left"/>
      <w:pPr>
        <w:ind w:left="425" w:hanging="425"/>
      </w:pPr>
      <w:rPr>
        <w:rFonts w:hint="default"/>
      </w:rPr>
    </w:lvl>
  </w:abstractNum>
  <w:abstractNum w:abstractNumId="66">
    <w:nsid w:val="7445A545"/>
    <w:multiLevelType w:val="singleLevel"/>
    <w:tmpl w:val="7445A545"/>
    <w:lvl w:ilvl="0" w:tentative="0">
      <w:start w:val="1"/>
      <w:numFmt w:val="decimal"/>
      <w:lvlText w:val="(%1)"/>
      <w:lvlJc w:val="left"/>
      <w:pPr>
        <w:ind w:left="425" w:hanging="425"/>
      </w:pPr>
      <w:rPr>
        <w:rFonts w:hint="default" w:ascii="宋体" w:hAnsi="宋体" w:eastAsia="宋体" w:cs="宋体"/>
        <w:sz w:val="28"/>
        <w:szCs w:val="28"/>
      </w:rPr>
    </w:lvl>
  </w:abstractNum>
  <w:abstractNum w:abstractNumId="67">
    <w:nsid w:val="746F13C4"/>
    <w:multiLevelType w:val="multilevel"/>
    <w:tmpl w:val="746F13C4"/>
    <w:lvl w:ilvl="0" w:tentative="0">
      <w:start w:val="1"/>
      <w:numFmt w:val="decimal"/>
      <w:lvlText w:val="（%1）"/>
      <w:lvlJc w:val="left"/>
      <w:pPr>
        <w:ind w:left="1413" w:hanging="420"/>
      </w:pPr>
      <w:rPr>
        <w:rFonts w:hint="default"/>
        <w:sz w:val="28"/>
        <w:szCs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68">
    <w:nsid w:val="768353F3"/>
    <w:multiLevelType w:val="multilevel"/>
    <w:tmpl w:val="768353F3"/>
    <w:lvl w:ilvl="0" w:tentative="0">
      <w:start w:val="8"/>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785CBB52"/>
    <w:multiLevelType w:val="singleLevel"/>
    <w:tmpl w:val="785CBB52"/>
    <w:lvl w:ilvl="0" w:tentative="0">
      <w:start w:val="1"/>
      <w:numFmt w:val="decimal"/>
      <w:lvlText w:val="%1)"/>
      <w:lvlJc w:val="left"/>
      <w:pPr>
        <w:ind w:left="425" w:hanging="425"/>
      </w:pPr>
      <w:rPr>
        <w:rFonts w:hint="default"/>
      </w:rPr>
    </w:lvl>
  </w:abstractNum>
  <w:abstractNum w:abstractNumId="70">
    <w:nsid w:val="79231990"/>
    <w:multiLevelType w:val="singleLevel"/>
    <w:tmpl w:val="79231990"/>
    <w:lvl w:ilvl="0" w:tentative="0">
      <w:start w:val="1"/>
      <w:numFmt w:val="decimal"/>
      <w:lvlText w:val="(%1)"/>
      <w:lvlJc w:val="left"/>
      <w:pPr>
        <w:ind w:left="425" w:hanging="425"/>
      </w:pPr>
      <w:rPr>
        <w:rFonts w:hint="default" w:ascii="宋体" w:hAnsi="宋体" w:eastAsia="宋体" w:cs="宋体"/>
        <w:sz w:val="28"/>
        <w:szCs w:val="28"/>
      </w:rPr>
    </w:lvl>
  </w:abstractNum>
  <w:abstractNum w:abstractNumId="71">
    <w:nsid w:val="799FC3FE"/>
    <w:multiLevelType w:val="singleLevel"/>
    <w:tmpl w:val="799FC3FE"/>
    <w:lvl w:ilvl="0" w:tentative="0">
      <w:start w:val="1"/>
      <w:numFmt w:val="decimal"/>
      <w:lvlText w:val="(%1)"/>
      <w:lvlJc w:val="left"/>
      <w:pPr>
        <w:ind w:left="425" w:hanging="425"/>
      </w:pPr>
      <w:rPr>
        <w:rFonts w:hint="default"/>
      </w:rPr>
    </w:lvl>
  </w:abstractNum>
  <w:abstractNum w:abstractNumId="72">
    <w:nsid w:val="7B21CD1E"/>
    <w:multiLevelType w:val="singleLevel"/>
    <w:tmpl w:val="7B21CD1E"/>
    <w:lvl w:ilvl="0" w:tentative="0">
      <w:start w:val="1"/>
      <w:numFmt w:val="decimal"/>
      <w:lvlText w:val="(%1)"/>
      <w:lvlJc w:val="left"/>
      <w:pPr>
        <w:ind w:left="425" w:hanging="425"/>
      </w:pPr>
      <w:rPr>
        <w:rFonts w:hint="default"/>
      </w:rPr>
    </w:lvl>
  </w:abstractNum>
  <w:abstractNum w:abstractNumId="73">
    <w:nsid w:val="7E350FA6"/>
    <w:multiLevelType w:val="multilevel"/>
    <w:tmpl w:val="7E350FA6"/>
    <w:lvl w:ilvl="0" w:tentative="0">
      <w:start w:val="1"/>
      <w:numFmt w:val="decimal"/>
      <w:lvlText w:val="（%1）"/>
      <w:lvlJc w:val="left"/>
      <w:pPr>
        <w:ind w:left="846" w:hanging="420"/>
      </w:pPr>
      <w:rPr>
        <w:rFonts w:hint="default"/>
        <w:sz w:val="28"/>
        <w:szCs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7EBE7F1D"/>
    <w:multiLevelType w:val="singleLevel"/>
    <w:tmpl w:val="7EBE7F1D"/>
    <w:lvl w:ilvl="0" w:tentative="0">
      <w:start w:val="1"/>
      <w:numFmt w:val="decimal"/>
      <w:lvlText w:val="(%1)"/>
      <w:lvlJc w:val="left"/>
      <w:pPr>
        <w:ind w:left="425" w:hanging="425"/>
      </w:pPr>
      <w:rPr>
        <w:rFonts w:hint="default"/>
      </w:rPr>
    </w:lvl>
  </w:abstractNum>
  <w:num w:numId="1">
    <w:abstractNumId w:val="73"/>
  </w:num>
  <w:num w:numId="2">
    <w:abstractNumId w:val="67"/>
  </w:num>
  <w:num w:numId="3">
    <w:abstractNumId w:val="66"/>
  </w:num>
  <w:num w:numId="4">
    <w:abstractNumId w:val="24"/>
  </w:num>
  <w:num w:numId="5">
    <w:abstractNumId w:val="35"/>
  </w:num>
  <w:num w:numId="6">
    <w:abstractNumId w:val="32"/>
  </w:num>
  <w:num w:numId="7">
    <w:abstractNumId w:val="60"/>
  </w:num>
  <w:num w:numId="8">
    <w:abstractNumId w:val="72"/>
  </w:num>
  <w:num w:numId="9">
    <w:abstractNumId w:val="8"/>
  </w:num>
  <w:num w:numId="10">
    <w:abstractNumId w:val="65"/>
  </w:num>
  <w:num w:numId="11">
    <w:abstractNumId w:val="31"/>
  </w:num>
  <w:num w:numId="12">
    <w:abstractNumId w:val="22"/>
  </w:num>
  <w:num w:numId="13">
    <w:abstractNumId w:val="74"/>
  </w:num>
  <w:num w:numId="14">
    <w:abstractNumId w:val="58"/>
  </w:num>
  <w:num w:numId="15">
    <w:abstractNumId w:val="16"/>
  </w:num>
  <w:num w:numId="16">
    <w:abstractNumId w:val="69"/>
  </w:num>
  <w:num w:numId="17">
    <w:abstractNumId w:val="11"/>
  </w:num>
  <w:num w:numId="18">
    <w:abstractNumId w:val="47"/>
  </w:num>
  <w:num w:numId="19">
    <w:abstractNumId w:val="40"/>
  </w:num>
  <w:num w:numId="20">
    <w:abstractNumId w:val="55"/>
  </w:num>
  <w:num w:numId="21">
    <w:abstractNumId w:val="0"/>
  </w:num>
  <w:num w:numId="22">
    <w:abstractNumId w:val="61"/>
  </w:num>
  <w:num w:numId="23">
    <w:abstractNumId w:val="4"/>
  </w:num>
  <w:num w:numId="24">
    <w:abstractNumId w:val="12"/>
  </w:num>
  <w:num w:numId="25">
    <w:abstractNumId w:val="41"/>
  </w:num>
  <w:num w:numId="26">
    <w:abstractNumId w:val="23"/>
  </w:num>
  <w:num w:numId="27">
    <w:abstractNumId w:val="28"/>
  </w:num>
  <w:num w:numId="28">
    <w:abstractNumId w:val="46"/>
  </w:num>
  <w:num w:numId="29">
    <w:abstractNumId w:val="10"/>
  </w:num>
  <w:num w:numId="30">
    <w:abstractNumId w:val="9"/>
  </w:num>
  <w:num w:numId="31">
    <w:abstractNumId w:val="57"/>
  </w:num>
  <w:num w:numId="32">
    <w:abstractNumId w:val="17"/>
  </w:num>
  <w:num w:numId="33">
    <w:abstractNumId w:val="33"/>
  </w:num>
  <w:num w:numId="34">
    <w:abstractNumId w:val="71"/>
  </w:num>
  <w:num w:numId="35">
    <w:abstractNumId w:val="6"/>
  </w:num>
  <w:num w:numId="36">
    <w:abstractNumId w:val="2"/>
  </w:num>
  <w:num w:numId="37">
    <w:abstractNumId w:val="5"/>
  </w:num>
  <w:num w:numId="38">
    <w:abstractNumId w:val="7"/>
  </w:num>
  <w:num w:numId="39">
    <w:abstractNumId w:val="64"/>
  </w:num>
  <w:num w:numId="40">
    <w:abstractNumId w:val="62"/>
  </w:num>
  <w:num w:numId="41">
    <w:abstractNumId w:val="43"/>
  </w:num>
  <w:num w:numId="42">
    <w:abstractNumId w:val="49"/>
  </w:num>
  <w:num w:numId="43">
    <w:abstractNumId w:val="36"/>
  </w:num>
  <w:num w:numId="44">
    <w:abstractNumId w:val="27"/>
  </w:num>
  <w:num w:numId="45">
    <w:abstractNumId w:val="1"/>
  </w:num>
  <w:num w:numId="46">
    <w:abstractNumId w:val="29"/>
  </w:num>
  <w:num w:numId="47">
    <w:abstractNumId w:val="54"/>
  </w:num>
  <w:num w:numId="48">
    <w:abstractNumId w:val="42"/>
  </w:num>
  <w:num w:numId="49">
    <w:abstractNumId w:val="34"/>
  </w:num>
  <w:num w:numId="50">
    <w:abstractNumId w:val="50"/>
  </w:num>
  <w:num w:numId="51">
    <w:abstractNumId w:val="30"/>
  </w:num>
  <w:num w:numId="52">
    <w:abstractNumId w:val="18"/>
  </w:num>
  <w:num w:numId="53">
    <w:abstractNumId w:val="59"/>
  </w:num>
  <w:num w:numId="54">
    <w:abstractNumId w:val="26"/>
  </w:num>
  <w:num w:numId="55">
    <w:abstractNumId w:val="37"/>
  </w:num>
  <w:num w:numId="56">
    <w:abstractNumId w:val="51"/>
  </w:num>
  <w:num w:numId="57">
    <w:abstractNumId w:val="53"/>
  </w:num>
  <w:num w:numId="58">
    <w:abstractNumId w:val="39"/>
  </w:num>
  <w:num w:numId="59">
    <w:abstractNumId w:val="25"/>
  </w:num>
  <w:num w:numId="60">
    <w:abstractNumId w:val="44"/>
  </w:num>
  <w:num w:numId="61">
    <w:abstractNumId w:val="45"/>
  </w:num>
  <w:num w:numId="62">
    <w:abstractNumId w:val="19"/>
  </w:num>
  <w:num w:numId="63">
    <w:abstractNumId w:val="38"/>
  </w:num>
  <w:num w:numId="64">
    <w:abstractNumId w:val="21"/>
  </w:num>
  <w:num w:numId="65">
    <w:abstractNumId w:val="3"/>
  </w:num>
  <w:num w:numId="66">
    <w:abstractNumId w:val="48"/>
  </w:num>
  <w:num w:numId="67">
    <w:abstractNumId w:val="13"/>
  </w:num>
  <w:num w:numId="68">
    <w:abstractNumId w:val="56"/>
  </w:num>
  <w:num w:numId="69">
    <w:abstractNumId w:val="20"/>
  </w:num>
  <w:num w:numId="70">
    <w:abstractNumId w:val="14"/>
  </w:num>
  <w:num w:numId="71">
    <w:abstractNumId w:val="63"/>
  </w:num>
  <w:num w:numId="72">
    <w:abstractNumId w:val="52"/>
  </w:num>
  <w:num w:numId="73">
    <w:abstractNumId w:val="15"/>
  </w:num>
  <w:num w:numId="74">
    <w:abstractNumId w:val="68"/>
  </w:num>
  <w:num w:numId="75">
    <w:abstractNumId w:val="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trackRevisions w:val="1"/>
  <w:documentProtection w:enforcement="0"/>
  <w:defaultTabStop w:val="140"/>
  <w:drawingGridHorizontalSpacing w:val="223"/>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2IzOTYwODFmOGFiNzRhZTdkZDlkMTMxODk2NzRiN2EifQ=="/>
  </w:docVars>
  <w:rsids>
    <w:rsidRoot w:val="00946F49"/>
    <w:rsid w:val="00000F70"/>
    <w:rsid w:val="00000FD4"/>
    <w:rsid w:val="00001093"/>
    <w:rsid w:val="000010F7"/>
    <w:rsid w:val="00001199"/>
    <w:rsid w:val="00001531"/>
    <w:rsid w:val="00001A9F"/>
    <w:rsid w:val="00001C8B"/>
    <w:rsid w:val="0000204B"/>
    <w:rsid w:val="0000221B"/>
    <w:rsid w:val="000032A2"/>
    <w:rsid w:val="0000380F"/>
    <w:rsid w:val="00003817"/>
    <w:rsid w:val="00003A3F"/>
    <w:rsid w:val="00004307"/>
    <w:rsid w:val="000049DF"/>
    <w:rsid w:val="00004EC0"/>
    <w:rsid w:val="00006603"/>
    <w:rsid w:val="000066A7"/>
    <w:rsid w:val="00006AD8"/>
    <w:rsid w:val="00007154"/>
    <w:rsid w:val="00007B05"/>
    <w:rsid w:val="00007E7C"/>
    <w:rsid w:val="00007F24"/>
    <w:rsid w:val="000102C4"/>
    <w:rsid w:val="00010B26"/>
    <w:rsid w:val="00010F45"/>
    <w:rsid w:val="00011F73"/>
    <w:rsid w:val="00012C16"/>
    <w:rsid w:val="00012FB7"/>
    <w:rsid w:val="00013992"/>
    <w:rsid w:val="00013F8D"/>
    <w:rsid w:val="000145D0"/>
    <w:rsid w:val="0001475F"/>
    <w:rsid w:val="00015959"/>
    <w:rsid w:val="00015FB1"/>
    <w:rsid w:val="0001608D"/>
    <w:rsid w:val="0001637B"/>
    <w:rsid w:val="000164B3"/>
    <w:rsid w:val="00017142"/>
    <w:rsid w:val="0001773B"/>
    <w:rsid w:val="00017784"/>
    <w:rsid w:val="00020AD9"/>
    <w:rsid w:val="00020E22"/>
    <w:rsid w:val="00020E99"/>
    <w:rsid w:val="00020F9D"/>
    <w:rsid w:val="000213FB"/>
    <w:rsid w:val="00021AC0"/>
    <w:rsid w:val="00021C96"/>
    <w:rsid w:val="00022A99"/>
    <w:rsid w:val="0002347B"/>
    <w:rsid w:val="0002461C"/>
    <w:rsid w:val="00024706"/>
    <w:rsid w:val="00024E79"/>
    <w:rsid w:val="000250E9"/>
    <w:rsid w:val="00025322"/>
    <w:rsid w:val="0002592E"/>
    <w:rsid w:val="00025B5C"/>
    <w:rsid w:val="00025D13"/>
    <w:rsid w:val="00026418"/>
    <w:rsid w:val="00026925"/>
    <w:rsid w:val="00026C62"/>
    <w:rsid w:val="000270E0"/>
    <w:rsid w:val="000274DE"/>
    <w:rsid w:val="00027DAE"/>
    <w:rsid w:val="00030A0F"/>
    <w:rsid w:val="00030DDA"/>
    <w:rsid w:val="0003165A"/>
    <w:rsid w:val="0003184B"/>
    <w:rsid w:val="0003200F"/>
    <w:rsid w:val="00032135"/>
    <w:rsid w:val="00032466"/>
    <w:rsid w:val="00032503"/>
    <w:rsid w:val="00032C17"/>
    <w:rsid w:val="00032DF7"/>
    <w:rsid w:val="00033297"/>
    <w:rsid w:val="000334F6"/>
    <w:rsid w:val="000337BB"/>
    <w:rsid w:val="00034C5D"/>
    <w:rsid w:val="00035584"/>
    <w:rsid w:val="0003590B"/>
    <w:rsid w:val="00040286"/>
    <w:rsid w:val="0004150B"/>
    <w:rsid w:val="000423B8"/>
    <w:rsid w:val="00043428"/>
    <w:rsid w:val="0004424F"/>
    <w:rsid w:val="000442B7"/>
    <w:rsid w:val="000446B6"/>
    <w:rsid w:val="00045C24"/>
    <w:rsid w:val="00045E08"/>
    <w:rsid w:val="00045FD3"/>
    <w:rsid w:val="000461C0"/>
    <w:rsid w:val="00046886"/>
    <w:rsid w:val="000469A6"/>
    <w:rsid w:val="00047BA3"/>
    <w:rsid w:val="000501FD"/>
    <w:rsid w:val="00050635"/>
    <w:rsid w:val="00051420"/>
    <w:rsid w:val="0005143F"/>
    <w:rsid w:val="00051FA0"/>
    <w:rsid w:val="00052A7C"/>
    <w:rsid w:val="00053D2F"/>
    <w:rsid w:val="00054681"/>
    <w:rsid w:val="00054B03"/>
    <w:rsid w:val="00054CC2"/>
    <w:rsid w:val="000551C8"/>
    <w:rsid w:val="000564B2"/>
    <w:rsid w:val="00056D55"/>
    <w:rsid w:val="0005743D"/>
    <w:rsid w:val="00057598"/>
    <w:rsid w:val="000578AF"/>
    <w:rsid w:val="00060131"/>
    <w:rsid w:val="00060186"/>
    <w:rsid w:val="00060611"/>
    <w:rsid w:val="000619C7"/>
    <w:rsid w:val="00061A26"/>
    <w:rsid w:val="00061AC4"/>
    <w:rsid w:val="0006287C"/>
    <w:rsid w:val="0006357B"/>
    <w:rsid w:val="00064158"/>
    <w:rsid w:val="000644D4"/>
    <w:rsid w:val="00064794"/>
    <w:rsid w:val="0006509A"/>
    <w:rsid w:val="00065465"/>
    <w:rsid w:val="0006589E"/>
    <w:rsid w:val="000704EB"/>
    <w:rsid w:val="00070622"/>
    <w:rsid w:val="00070710"/>
    <w:rsid w:val="000715ED"/>
    <w:rsid w:val="00071C1C"/>
    <w:rsid w:val="000720E6"/>
    <w:rsid w:val="00073F27"/>
    <w:rsid w:val="00074072"/>
    <w:rsid w:val="00074551"/>
    <w:rsid w:val="00074601"/>
    <w:rsid w:val="00075152"/>
    <w:rsid w:val="00076429"/>
    <w:rsid w:val="000765EA"/>
    <w:rsid w:val="0007719F"/>
    <w:rsid w:val="00077362"/>
    <w:rsid w:val="000777B4"/>
    <w:rsid w:val="00077E1B"/>
    <w:rsid w:val="00080263"/>
    <w:rsid w:val="00080A13"/>
    <w:rsid w:val="000816FE"/>
    <w:rsid w:val="00081A9F"/>
    <w:rsid w:val="00081D60"/>
    <w:rsid w:val="0008262B"/>
    <w:rsid w:val="000832E4"/>
    <w:rsid w:val="000833BE"/>
    <w:rsid w:val="00084D02"/>
    <w:rsid w:val="00084F0F"/>
    <w:rsid w:val="00084FFA"/>
    <w:rsid w:val="000851CB"/>
    <w:rsid w:val="00085312"/>
    <w:rsid w:val="000861EF"/>
    <w:rsid w:val="000865B6"/>
    <w:rsid w:val="00086796"/>
    <w:rsid w:val="000869AC"/>
    <w:rsid w:val="000869EE"/>
    <w:rsid w:val="00086F11"/>
    <w:rsid w:val="00087169"/>
    <w:rsid w:val="0009039E"/>
    <w:rsid w:val="00090409"/>
    <w:rsid w:val="00090CEF"/>
    <w:rsid w:val="000917C7"/>
    <w:rsid w:val="00091B23"/>
    <w:rsid w:val="00092817"/>
    <w:rsid w:val="000936AE"/>
    <w:rsid w:val="000943F4"/>
    <w:rsid w:val="00095246"/>
    <w:rsid w:val="0009570D"/>
    <w:rsid w:val="00096903"/>
    <w:rsid w:val="0009733F"/>
    <w:rsid w:val="00097432"/>
    <w:rsid w:val="000975AC"/>
    <w:rsid w:val="00097899"/>
    <w:rsid w:val="00097CE1"/>
    <w:rsid w:val="000A0B57"/>
    <w:rsid w:val="000A1847"/>
    <w:rsid w:val="000A2208"/>
    <w:rsid w:val="000A2E64"/>
    <w:rsid w:val="000A3405"/>
    <w:rsid w:val="000A39FF"/>
    <w:rsid w:val="000A3D4F"/>
    <w:rsid w:val="000A3F30"/>
    <w:rsid w:val="000A4227"/>
    <w:rsid w:val="000A4543"/>
    <w:rsid w:val="000A4F19"/>
    <w:rsid w:val="000A5245"/>
    <w:rsid w:val="000A5730"/>
    <w:rsid w:val="000A6F43"/>
    <w:rsid w:val="000A7279"/>
    <w:rsid w:val="000B06D3"/>
    <w:rsid w:val="000B0BB1"/>
    <w:rsid w:val="000B106D"/>
    <w:rsid w:val="000B1712"/>
    <w:rsid w:val="000B17D2"/>
    <w:rsid w:val="000B1E2E"/>
    <w:rsid w:val="000B2471"/>
    <w:rsid w:val="000B2FAA"/>
    <w:rsid w:val="000B3841"/>
    <w:rsid w:val="000B41F5"/>
    <w:rsid w:val="000B437A"/>
    <w:rsid w:val="000B5F7A"/>
    <w:rsid w:val="000B64BB"/>
    <w:rsid w:val="000B73DF"/>
    <w:rsid w:val="000C026F"/>
    <w:rsid w:val="000C066F"/>
    <w:rsid w:val="000C0722"/>
    <w:rsid w:val="000C0FF2"/>
    <w:rsid w:val="000C1514"/>
    <w:rsid w:val="000C18D9"/>
    <w:rsid w:val="000C1A87"/>
    <w:rsid w:val="000C21A2"/>
    <w:rsid w:val="000C221E"/>
    <w:rsid w:val="000C2566"/>
    <w:rsid w:val="000C287A"/>
    <w:rsid w:val="000C296A"/>
    <w:rsid w:val="000C2F52"/>
    <w:rsid w:val="000C300A"/>
    <w:rsid w:val="000C30C5"/>
    <w:rsid w:val="000C31A3"/>
    <w:rsid w:val="000C31F1"/>
    <w:rsid w:val="000C32CA"/>
    <w:rsid w:val="000C3EB0"/>
    <w:rsid w:val="000C42B6"/>
    <w:rsid w:val="000C5167"/>
    <w:rsid w:val="000C585E"/>
    <w:rsid w:val="000C5C3A"/>
    <w:rsid w:val="000C6497"/>
    <w:rsid w:val="000C64FD"/>
    <w:rsid w:val="000C68E5"/>
    <w:rsid w:val="000C766A"/>
    <w:rsid w:val="000C7F72"/>
    <w:rsid w:val="000D0617"/>
    <w:rsid w:val="000D0FB4"/>
    <w:rsid w:val="000D1190"/>
    <w:rsid w:val="000D1ADB"/>
    <w:rsid w:val="000D256E"/>
    <w:rsid w:val="000D3FD4"/>
    <w:rsid w:val="000D40B0"/>
    <w:rsid w:val="000D5024"/>
    <w:rsid w:val="000D5719"/>
    <w:rsid w:val="000D6079"/>
    <w:rsid w:val="000D6B1F"/>
    <w:rsid w:val="000D6DDE"/>
    <w:rsid w:val="000D7650"/>
    <w:rsid w:val="000D7A0F"/>
    <w:rsid w:val="000E109F"/>
    <w:rsid w:val="000E1F1B"/>
    <w:rsid w:val="000E2522"/>
    <w:rsid w:val="000E2635"/>
    <w:rsid w:val="000E2B4B"/>
    <w:rsid w:val="000E31BD"/>
    <w:rsid w:val="000E3282"/>
    <w:rsid w:val="000E3C46"/>
    <w:rsid w:val="000E41B9"/>
    <w:rsid w:val="000E443F"/>
    <w:rsid w:val="000E46F8"/>
    <w:rsid w:val="000E5CB9"/>
    <w:rsid w:val="000E5DA9"/>
    <w:rsid w:val="000E66A3"/>
    <w:rsid w:val="000E7BA7"/>
    <w:rsid w:val="000F002F"/>
    <w:rsid w:val="000F015B"/>
    <w:rsid w:val="000F0808"/>
    <w:rsid w:val="000F119F"/>
    <w:rsid w:val="000F1304"/>
    <w:rsid w:val="000F22C5"/>
    <w:rsid w:val="000F318F"/>
    <w:rsid w:val="000F45B5"/>
    <w:rsid w:val="000F47ED"/>
    <w:rsid w:val="000F4955"/>
    <w:rsid w:val="000F5270"/>
    <w:rsid w:val="000F53F1"/>
    <w:rsid w:val="000F5DC4"/>
    <w:rsid w:val="000F61A4"/>
    <w:rsid w:val="000F61DA"/>
    <w:rsid w:val="000F6E63"/>
    <w:rsid w:val="000F75C6"/>
    <w:rsid w:val="000F7635"/>
    <w:rsid w:val="00100B93"/>
    <w:rsid w:val="001012B5"/>
    <w:rsid w:val="00101384"/>
    <w:rsid w:val="00101746"/>
    <w:rsid w:val="00103958"/>
    <w:rsid w:val="00103EAA"/>
    <w:rsid w:val="00104062"/>
    <w:rsid w:val="00104132"/>
    <w:rsid w:val="00104200"/>
    <w:rsid w:val="001043E5"/>
    <w:rsid w:val="00104424"/>
    <w:rsid w:val="00105D75"/>
    <w:rsid w:val="00105F2D"/>
    <w:rsid w:val="00106B8A"/>
    <w:rsid w:val="00106D63"/>
    <w:rsid w:val="001071CD"/>
    <w:rsid w:val="001072A2"/>
    <w:rsid w:val="00107526"/>
    <w:rsid w:val="00107A43"/>
    <w:rsid w:val="00107CFB"/>
    <w:rsid w:val="00107E3C"/>
    <w:rsid w:val="001102ED"/>
    <w:rsid w:val="0011046C"/>
    <w:rsid w:val="00110F4F"/>
    <w:rsid w:val="00111464"/>
    <w:rsid w:val="00113750"/>
    <w:rsid w:val="0011375F"/>
    <w:rsid w:val="00113C33"/>
    <w:rsid w:val="00113C67"/>
    <w:rsid w:val="00114280"/>
    <w:rsid w:val="0011636A"/>
    <w:rsid w:val="001164D5"/>
    <w:rsid w:val="001168B5"/>
    <w:rsid w:val="00116D78"/>
    <w:rsid w:val="00116E32"/>
    <w:rsid w:val="00116E8F"/>
    <w:rsid w:val="00117634"/>
    <w:rsid w:val="001206CF"/>
    <w:rsid w:val="00120D4D"/>
    <w:rsid w:val="001218C9"/>
    <w:rsid w:val="00121994"/>
    <w:rsid w:val="001222DB"/>
    <w:rsid w:val="00122D1A"/>
    <w:rsid w:val="0012376E"/>
    <w:rsid w:val="001237EF"/>
    <w:rsid w:val="0012395C"/>
    <w:rsid w:val="00123EFE"/>
    <w:rsid w:val="00124110"/>
    <w:rsid w:val="0012652B"/>
    <w:rsid w:val="00127DC5"/>
    <w:rsid w:val="001338BE"/>
    <w:rsid w:val="001343AA"/>
    <w:rsid w:val="00134714"/>
    <w:rsid w:val="00134717"/>
    <w:rsid w:val="00134B7E"/>
    <w:rsid w:val="00135408"/>
    <w:rsid w:val="0013540F"/>
    <w:rsid w:val="001354B5"/>
    <w:rsid w:val="001361F4"/>
    <w:rsid w:val="001365EA"/>
    <w:rsid w:val="001370E7"/>
    <w:rsid w:val="001374AF"/>
    <w:rsid w:val="0014081C"/>
    <w:rsid w:val="00141461"/>
    <w:rsid w:val="0014203D"/>
    <w:rsid w:val="00143EC2"/>
    <w:rsid w:val="00144227"/>
    <w:rsid w:val="00144D7A"/>
    <w:rsid w:val="001455C2"/>
    <w:rsid w:val="0014606E"/>
    <w:rsid w:val="0014684E"/>
    <w:rsid w:val="00146E4D"/>
    <w:rsid w:val="001507B3"/>
    <w:rsid w:val="00150B98"/>
    <w:rsid w:val="00153335"/>
    <w:rsid w:val="001541D8"/>
    <w:rsid w:val="00154263"/>
    <w:rsid w:val="001549F7"/>
    <w:rsid w:val="00154A38"/>
    <w:rsid w:val="001559A6"/>
    <w:rsid w:val="001563D5"/>
    <w:rsid w:val="00156450"/>
    <w:rsid w:val="0015651E"/>
    <w:rsid w:val="00160A71"/>
    <w:rsid w:val="00161F9A"/>
    <w:rsid w:val="0016317E"/>
    <w:rsid w:val="00163DD2"/>
    <w:rsid w:val="00163FDD"/>
    <w:rsid w:val="00165005"/>
    <w:rsid w:val="00165FCF"/>
    <w:rsid w:val="0016602D"/>
    <w:rsid w:val="00166845"/>
    <w:rsid w:val="00166E55"/>
    <w:rsid w:val="001672FB"/>
    <w:rsid w:val="00170314"/>
    <w:rsid w:val="00171854"/>
    <w:rsid w:val="00172668"/>
    <w:rsid w:val="00173835"/>
    <w:rsid w:val="00173A5F"/>
    <w:rsid w:val="00173B11"/>
    <w:rsid w:val="00173B4B"/>
    <w:rsid w:val="00176CF5"/>
    <w:rsid w:val="0017701F"/>
    <w:rsid w:val="00181380"/>
    <w:rsid w:val="001822C4"/>
    <w:rsid w:val="001827E9"/>
    <w:rsid w:val="0018302D"/>
    <w:rsid w:val="00183840"/>
    <w:rsid w:val="0018418C"/>
    <w:rsid w:val="00184A1F"/>
    <w:rsid w:val="00184EC3"/>
    <w:rsid w:val="00184F8E"/>
    <w:rsid w:val="0018516E"/>
    <w:rsid w:val="00185246"/>
    <w:rsid w:val="00185AEF"/>
    <w:rsid w:val="00185C8A"/>
    <w:rsid w:val="001867EC"/>
    <w:rsid w:val="001868D1"/>
    <w:rsid w:val="00186F9F"/>
    <w:rsid w:val="00187603"/>
    <w:rsid w:val="00187C22"/>
    <w:rsid w:val="00187D33"/>
    <w:rsid w:val="0019068E"/>
    <w:rsid w:val="001910C9"/>
    <w:rsid w:val="001911CE"/>
    <w:rsid w:val="0019160E"/>
    <w:rsid w:val="00191775"/>
    <w:rsid w:val="0019197D"/>
    <w:rsid w:val="00192438"/>
    <w:rsid w:val="001943A0"/>
    <w:rsid w:val="00194BD3"/>
    <w:rsid w:val="00194E19"/>
    <w:rsid w:val="001955A2"/>
    <w:rsid w:val="00195962"/>
    <w:rsid w:val="00196CDF"/>
    <w:rsid w:val="00196F75"/>
    <w:rsid w:val="00197550"/>
    <w:rsid w:val="00197912"/>
    <w:rsid w:val="00197BF3"/>
    <w:rsid w:val="00197FB2"/>
    <w:rsid w:val="001A020C"/>
    <w:rsid w:val="001A2C09"/>
    <w:rsid w:val="001A2D3D"/>
    <w:rsid w:val="001A2D6B"/>
    <w:rsid w:val="001A3C9C"/>
    <w:rsid w:val="001A3FFF"/>
    <w:rsid w:val="001A51A6"/>
    <w:rsid w:val="001A57A2"/>
    <w:rsid w:val="001A5D40"/>
    <w:rsid w:val="001A6267"/>
    <w:rsid w:val="001A6352"/>
    <w:rsid w:val="001A72A9"/>
    <w:rsid w:val="001A7618"/>
    <w:rsid w:val="001A76A8"/>
    <w:rsid w:val="001A7987"/>
    <w:rsid w:val="001B0397"/>
    <w:rsid w:val="001B0445"/>
    <w:rsid w:val="001B0A05"/>
    <w:rsid w:val="001B12BC"/>
    <w:rsid w:val="001B1395"/>
    <w:rsid w:val="001B1720"/>
    <w:rsid w:val="001B1D9D"/>
    <w:rsid w:val="001B30D8"/>
    <w:rsid w:val="001B3921"/>
    <w:rsid w:val="001B50B7"/>
    <w:rsid w:val="001B5BDD"/>
    <w:rsid w:val="001B5F55"/>
    <w:rsid w:val="001B60D7"/>
    <w:rsid w:val="001B6C5B"/>
    <w:rsid w:val="001B74E6"/>
    <w:rsid w:val="001C0037"/>
    <w:rsid w:val="001C15A5"/>
    <w:rsid w:val="001C15E3"/>
    <w:rsid w:val="001C16D2"/>
    <w:rsid w:val="001C1CDD"/>
    <w:rsid w:val="001C214C"/>
    <w:rsid w:val="001C2A2C"/>
    <w:rsid w:val="001C382E"/>
    <w:rsid w:val="001C3862"/>
    <w:rsid w:val="001C51EB"/>
    <w:rsid w:val="001C56AF"/>
    <w:rsid w:val="001C57B5"/>
    <w:rsid w:val="001C5DEA"/>
    <w:rsid w:val="001C5EB9"/>
    <w:rsid w:val="001C5FBC"/>
    <w:rsid w:val="001C65BC"/>
    <w:rsid w:val="001C6639"/>
    <w:rsid w:val="001C6C06"/>
    <w:rsid w:val="001C6E5F"/>
    <w:rsid w:val="001C75DD"/>
    <w:rsid w:val="001D10EB"/>
    <w:rsid w:val="001D12BF"/>
    <w:rsid w:val="001D139E"/>
    <w:rsid w:val="001D1FDA"/>
    <w:rsid w:val="001D23C1"/>
    <w:rsid w:val="001D2545"/>
    <w:rsid w:val="001D2707"/>
    <w:rsid w:val="001D2B1E"/>
    <w:rsid w:val="001D2DD9"/>
    <w:rsid w:val="001D35F7"/>
    <w:rsid w:val="001D3CE2"/>
    <w:rsid w:val="001D417A"/>
    <w:rsid w:val="001D4EF0"/>
    <w:rsid w:val="001D5E4D"/>
    <w:rsid w:val="001D6335"/>
    <w:rsid w:val="001D6640"/>
    <w:rsid w:val="001D670F"/>
    <w:rsid w:val="001D6BC4"/>
    <w:rsid w:val="001D6DB9"/>
    <w:rsid w:val="001D73D3"/>
    <w:rsid w:val="001D7F73"/>
    <w:rsid w:val="001E0017"/>
    <w:rsid w:val="001E0AB0"/>
    <w:rsid w:val="001E0E71"/>
    <w:rsid w:val="001E11F1"/>
    <w:rsid w:val="001E1489"/>
    <w:rsid w:val="001E1AC8"/>
    <w:rsid w:val="001E3AEC"/>
    <w:rsid w:val="001E3C46"/>
    <w:rsid w:val="001E45D7"/>
    <w:rsid w:val="001E530F"/>
    <w:rsid w:val="001E5349"/>
    <w:rsid w:val="001E53E8"/>
    <w:rsid w:val="001E56DB"/>
    <w:rsid w:val="001E643E"/>
    <w:rsid w:val="001E6563"/>
    <w:rsid w:val="001E6754"/>
    <w:rsid w:val="001E6809"/>
    <w:rsid w:val="001E6ED2"/>
    <w:rsid w:val="001E7E25"/>
    <w:rsid w:val="001F0559"/>
    <w:rsid w:val="001F07C0"/>
    <w:rsid w:val="001F0C3A"/>
    <w:rsid w:val="001F1068"/>
    <w:rsid w:val="001F1288"/>
    <w:rsid w:val="001F1318"/>
    <w:rsid w:val="001F1354"/>
    <w:rsid w:val="001F3A0D"/>
    <w:rsid w:val="001F4197"/>
    <w:rsid w:val="001F45C0"/>
    <w:rsid w:val="001F4C17"/>
    <w:rsid w:val="001F50F8"/>
    <w:rsid w:val="001F5325"/>
    <w:rsid w:val="001F5A28"/>
    <w:rsid w:val="001F5FBD"/>
    <w:rsid w:val="001F716E"/>
    <w:rsid w:val="001F73D9"/>
    <w:rsid w:val="001F75E3"/>
    <w:rsid w:val="00200762"/>
    <w:rsid w:val="002022F5"/>
    <w:rsid w:val="0020279A"/>
    <w:rsid w:val="0020292F"/>
    <w:rsid w:val="00202BA0"/>
    <w:rsid w:val="00202E04"/>
    <w:rsid w:val="00202FAE"/>
    <w:rsid w:val="0020374F"/>
    <w:rsid w:val="0020443F"/>
    <w:rsid w:val="00204530"/>
    <w:rsid w:val="00205966"/>
    <w:rsid w:val="00210E4E"/>
    <w:rsid w:val="00211700"/>
    <w:rsid w:val="002129B3"/>
    <w:rsid w:val="00212B4C"/>
    <w:rsid w:val="00213389"/>
    <w:rsid w:val="002135E8"/>
    <w:rsid w:val="00213B2E"/>
    <w:rsid w:val="00214EAC"/>
    <w:rsid w:val="00215009"/>
    <w:rsid w:val="00215113"/>
    <w:rsid w:val="002152BA"/>
    <w:rsid w:val="00215754"/>
    <w:rsid w:val="00215761"/>
    <w:rsid w:val="00215AC2"/>
    <w:rsid w:val="00217496"/>
    <w:rsid w:val="0021774C"/>
    <w:rsid w:val="0022004B"/>
    <w:rsid w:val="0022058D"/>
    <w:rsid w:val="0022076C"/>
    <w:rsid w:val="00220D24"/>
    <w:rsid w:val="00221041"/>
    <w:rsid w:val="002215B4"/>
    <w:rsid w:val="00221696"/>
    <w:rsid w:val="00221ACC"/>
    <w:rsid w:val="00221DEF"/>
    <w:rsid w:val="00221FD7"/>
    <w:rsid w:val="002229E5"/>
    <w:rsid w:val="0022371D"/>
    <w:rsid w:val="00224B47"/>
    <w:rsid w:val="00224ED2"/>
    <w:rsid w:val="00225157"/>
    <w:rsid w:val="00225B3A"/>
    <w:rsid w:val="00225EDA"/>
    <w:rsid w:val="00225FBF"/>
    <w:rsid w:val="0022610F"/>
    <w:rsid w:val="00226A49"/>
    <w:rsid w:val="00226ABA"/>
    <w:rsid w:val="00227994"/>
    <w:rsid w:val="00227B22"/>
    <w:rsid w:val="00227FD7"/>
    <w:rsid w:val="0023122E"/>
    <w:rsid w:val="00231DB7"/>
    <w:rsid w:val="00231F08"/>
    <w:rsid w:val="00231FAB"/>
    <w:rsid w:val="002320CC"/>
    <w:rsid w:val="00233E70"/>
    <w:rsid w:val="002346D2"/>
    <w:rsid w:val="002346FF"/>
    <w:rsid w:val="00234FC4"/>
    <w:rsid w:val="0023554B"/>
    <w:rsid w:val="00235A1C"/>
    <w:rsid w:val="0023701C"/>
    <w:rsid w:val="002372BE"/>
    <w:rsid w:val="0023733E"/>
    <w:rsid w:val="00237975"/>
    <w:rsid w:val="00237986"/>
    <w:rsid w:val="0024078E"/>
    <w:rsid w:val="0024164E"/>
    <w:rsid w:val="00242AB2"/>
    <w:rsid w:val="0024383C"/>
    <w:rsid w:val="00243960"/>
    <w:rsid w:val="00244797"/>
    <w:rsid w:val="00245612"/>
    <w:rsid w:val="002456CA"/>
    <w:rsid w:val="00245A32"/>
    <w:rsid w:val="00245CCC"/>
    <w:rsid w:val="00245EEA"/>
    <w:rsid w:val="00246880"/>
    <w:rsid w:val="00247137"/>
    <w:rsid w:val="0024746C"/>
    <w:rsid w:val="00247CCA"/>
    <w:rsid w:val="00247EED"/>
    <w:rsid w:val="00251258"/>
    <w:rsid w:val="002515CD"/>
    <w:rsid w:val="00251921"/>
    <w:rsid w:val="00251F02"/>
    <w:rsid w:val="002566CB"/>
    <w:rsid w:val="00256ADA"/>
    <w:rsid w:val="00256C43"/>
    <w:rsid w:val="00256DCD"/>
    <w:rsid w:val="00257BD7"/>
    <w:rsid w:val="00257DE0"/>
    <w:rsid w:val="0026074C"/>
    <w:rsid w:val="0026107A"/>
    <w:rsid w:val="00261172"/>
    <w:rsid w:val="00261240"/>
    <w:rsid w:val="00261E31"/>
    <w:rsid w:val="00262199"/>
    <w:rsid w:val="002624A6"/>
    <w:rsid w:val="002628C0"/>
    <w:rsid w:val="00264A49"/>
    <w:rsid w:val="00264B55"/>
    <w:rsid w:val="00265322"/>
    <w:rsid w:val="0026582C"/>
    <w:rsid w:val="00265A30"/>
    <w:rsid w:val="00265D3F"/>
    <w:rsid w:val="00266CF8"/>
    <w:rsid w:val="00267317"/>
    <w:rsid w:val="00267C21"/>
    <w:rsid w:val="00267EA4"/>
    <w:rsid w:val="002716CC"/>
    <w:rsid w:val="00272212"/>
    <w:rsid w:val="00273317"/>
    <w:rsid w:val="00273F2F"/>
    <w:rsid w:val="00274350"/>
    <w:rsid w:val="0027450F"/>
    <w:rsid w:val="00274758"/>
    <w:rsid w:val="00274AED"/>
    <w:rsid w:val="00275482"/>
    <w:rsid w:val="002758D8"/>
    <w:rsid w:val="00276006"/>
    <w:rsid w:val="00276687"/>
    <w:rsid w:val="00276CE9"/>
    <w:rsid w:val="00276DD9"/>
    <w:rsid w:val="0027715E"/>
    <w:rsid w:val="00277297"/>
    <w:rsid w:val="00277956"/>
    <w:rsid w:val="00277A0B"/>
    <w:rsid w:val="00277CFA"/>
    <w:rsid w:val="00277DE1"/>
    <w:rsid w:val="00277EB6"/>
    <w:rsid w:val="00277F54"/>
    <w:rsid w:val="002800A6"/>
    <w:rsid w:val="00280F2C"/>
    <w:rsid w:val="00281049"/>
    <w:rsid w:val="002813E6"/>
    <w:rsid w:val="002815B5"/>
    <w:rsid w:val="00282242"/>
    <w:rsid w:val="002826F1"/>
    <w:rsid w:val="00282723"/>
    <w:rsid w:val="00282C24"/>
    <w:rsid w:val="00282D19"/>
    <w:rsid w:val="0028334B"/>
    <w:rsid w:val="0028375F"/>
    <w:rsid w:val="00283829"/>
    <w:rsid w:val="002838F5"/>
    <w:rsid w:val="002839F4"/>
    <w:rsid w:val="00283B56"/>
    <w:rsid w:val="00283E66"/>
    <w:rsid w:val="00285F6C"/>
    <w:rsid w:val="002860A2"/>
    <w:rsid w:val="00286542"/>
    <w:rsid w:val="00287BB1"/>
    <w:rsid w:val="00287C23"/>
    <w:rsid w:val="00287D87"/>
    <w:rsid w:val="00287E1F"/>
    <w:rsid w:val="00287EC5"/>
    <w:rsid w:val="002912B5"/>
    <w:rsid w:val="002914E1"/>
    <w:rsid w:val="002917F9"/>
    <w:rsid w:val="00293023"/>
    <w:rsid w:val="00293A0F"/>
    <w:rsid w:val="002941FB"/>
    <w:rsid w:val="002943F6"/>
    <w:rsid w:val="00294948"/>
    <w:rsid w:val="00294B4A"/>
    <w:rsid w:val="00294D72"/>
    <w:rsid w:val="00294F73"/>
    <w:rsid w:val="0029551F"/>
    <w:rsid w:val="00295FBC"/>
    <w:rsid w:val="002961B9"/>
    <w:rsid w:val="002961CE"/>
    <w:rsid w:val="0029641E"/>
    <w:rsid w:val="002968BF"/>
    <w:rsid w:val="00297715"/>
    <w:rsid w:val="002A0256"/>
    <w:rsid w:val="002A0B8B"/>
    <w:rsid w:val="002A1336"/>
    <w:rsid w:val="002A1851"/>
    <w:rsid w:val="002A2B43"/>
    <w:rsid w:val="002A2CC9"/>
    <w:rsid w:val="002A2E83"/>
    <w:rsid w:val="002A3036"/>
    <w:rsid w:val="002A4995"/>
    <w:rsid w:val="002A4DBA"/>
    <w:rsid w:val="002A57BF"/>
    <w:rsid w:val="002A68DB"/>
    <w:rsid w:val="002A6DFB"/>
    <w:rsid w:val="002A7666"/>
    <w:rsid w:val="002A7D93"/>
    <w:rsid w:val="002A7F71"/>
    <w:rsid w:val="002B0DFF"/>
    <w:rsid w:val="002B24A0"/>
    <w:rsid w:val="002B2E78"/>
    <w:rsid w:val="002B4A3F"/>
    <w:rsid w:val="002B599F"/>
    <w:rsid w:val="002B5A25"/>
    <w:rsid w:val="002B6209"/>
    <w:rsid w:val="002B67CC"/>
    <w:rsid w:val="002C017A"/>
    <w:rsid w:val="002C04B5"/>
    <w:rsid w:val="002C0A2E"/>
    <w:rsid w:val="002C0D7C"/>
    <w:rsid w:val="002C1343"/>
    <w:rsid w:val="002C1928"/>
    <w:rsid w:val="002C1AA7"/>
    <w:rsid w:val="002C25B8"/>
    <w:rsid w:val="002C29AA"/>
    <w:rsid w:val="002C37C4"/>
    <w:rsid w:val="002C3911"/>
    <w:rsid w:val="002C4261"/>
    <w:rsid w:val="002C45F1"/>
    <w:rsid w:val="002C467B"/>
    <w:rsid w:val="002C55C0"/>
    <w:rsid w:val="002C573E"/>
    <w:rsid w:val="002C5CEF"/>
    <w:rsid w:val="002C6680"/>
    <w:rsid w:val="002C6DE1"/>
    <w:rsid w:val="002C79BE"/>
    <w:rsid w:val="002D0CFC"/>
    <w:rsid w:val="002D1EA7"/>
    <w:rsid w:val="002D2B40"/>
    <w:rsid w:val="002D303F"/>
    <w:rsid w:val="002D3069"/>
    <w:rsid w:val="002D3185"/>
    <w:rsid w:val="002D338D"/>
    <w:rsid w:val="002D3592"/>
    <w:rsid w:val="002D41DF"/>
    <w:rsid w:val="002D5ED8"/>
    <w:rsid w:val="002D6B59"/>
    <w:rsid w:val="002D7169"/>
    <w:rsid w:val="002D7383"/>
    <w:rsid w:val="002D7C35"/>
    <w:rsid w:val="002E015A"/>
    <w:rsid w:val="002E0B84"/>
    <w:rsid w:val="002E0ECB"/>
    <w:rsid w:val="002E10A0"/>
    <w:rsid w:val="002E133B"/>
    <w:rsid w:val="002E1809"/>
    <w:rsid w:val="002E1F55"/>
    <w:rsid w:val="002E26FD"/>
    <w:rsid w:val="002E2A55"/>
    <w:rsid w:val="002E2FAD"/>
    <w:rsid w:val="002E31CE"/>
    <w:rsid w:val="002E3520"/>
    <w:rsid w:val="002E3527"/>
    <w:rsid w:val="002E3DA8"/>
    <w:rsid w:val="002E45B9"/>
    <w:rsid w:val="002E47FB"/>
    <w:rsid w:val="002E4A9C"/>
    <w:rsid w:val="002E5A1D"/>
    <w:rsid w:val="002E5B1A"/>
    <w:rsid w:val="002E6594"/>
    <w:rsid w:val="002E66E0"/>
    <w:rsid w:val="002E7F0F"/>
    <w:rsid w:val="002F00EB"/>
    <w:rsid w:val="002F06BC"/>
    <w:rsid w:val="002F1099"/>
    <w:rsid w:val="002F12F4"/>
    <w:rsid w:val="002F175C"/>
    <w:rsid w:val="002F1E2B"/>
    <w:rsid w:val="002F3604"/>
    <w:rsid w:val="002F378C"/>
    <w:rsid w:val="002F3862"/>
    <w:rsid w:val="002F4029"/>
    <w:rsid w:val="002F402C"/>
    <w:rsid w:val="002F43E4"/>
    <w:rsid w:val="002F4464"/>
    <w:rsid w:val="002F4A97"/>
    <w:rsid w:val="002F4B8D"/>
    <w:rsid w:val="002F5019"/>
    <w:rsid w:val="002F5416"/>
    <w:rsid w:val="002F5F3F"/>
    <w:rsid w:val="002F61D4"/>
    <w:rsid w:val="002F759A"/>
    <w:rsid w:val="002F75CA"/>
    <w:rsid w:val="002F7842"/>
    <w:rsid w:val="002F79EF"/>
    <w:rsid w:val="002F7B0F"/>
    <w:rsid w:val="00300A3F"/>
    <w:rsid w:val="0030142D"/>
    <w:rsid w:val="00301906"/>
    <w:rsid w:val="00301C47"/>
    <w:rsid w:val="003022B7"/>
    <w:rsid w:val="00303213"/>
    <w:rsid w:val="003034EC"/>
    <w:rsid w:val="003036FB"/>
    <w:rsid w:val="00304D77"/>
    <w:rsid w:val="00304EC2"/>
    <w:rsid w:val="00305247"/>
    <w:rsid w:val="00306FBF"/>
    <w:rsid w:val="00306FD9"/>
    <w:rsid w:val="00307128"/>
    <w:rsid w:val="00310965"/>
    <w:rsid w:val="00310E7C"/>
    <w:rsid w:val="003110FA"/>
    <w:rsid w:val="0031270B"/>
    <w:rsid w:val="00312B3F"/>
    <w:rsid w:val="0031301A"/>
    <w:rsid w:val="0031389E"/>
    <w:rsid w:val="00315078"/>
    <w:rsid w:val="00315E5E"/>
    <w:rsid w:val="00316478"/>
    <w:rsid w:val="00317133"/>
    <w:rsid w:val="0031797E"/>
    <w:rsid w:val="003206CA"/>
    <w:rsid w:val="00320720"/>
    <w:rsid w:val="00320A19"/>
    <w:rsid w:val="0032125D"/>
    <w:rsid w:val="00321364"/>
    <w:rsid w:val="00322799"/>
    <w:rsid w:val="00322980"/>
    <w:rsid w:val="00323259"/>
    <w:rsid w:val="00324B23"/>
    <w:rsid w:val="0032516D"/>
    <w:rsid w:val="0032533C"/>
    <w:rsid w:val="003253C4"/>
    <w:rsid w:val="0032552A"/>
    <w:rsid w:val="0032578F"/>
    <w:rsid w:val="00325B0E"/>
    <w:rsid w:val="00325F71"/>
    <w:rsid w:val="003261F3"/>
    <w:rsid w:val="00326AAA"/>
    <w:rsid w:val="00327244"/>
    <w:rsid w:val="0033097E"/>
    <w:rsid w:val="00330D0C"/>
    <w:rsid w:val="00330F32"/>
    <w:rsid w:val="00331018"/>
    <w:rsid w:val="003318FE"/>
    <w:rsid w:val="00332C0A"/>
    <w:rsid w:val="00333866"/>
    <w:rsid w:val="00333912"/>
    <w:rsid w:val="00333AB4"/>
    <w:rsid w:val="00333CE4"/>
    <w:rsid w:val="00333E4A"/>
    <w:rsid w:val="00334203"/>
    <w:rsid w:val="00334AA1"/>
    <w:rsid w:val="00334AEC"/>
    <w:rsid w:val="00334D1B"/>
    <w:rsid w:val="00335E21"/>
    <w:rsid w:val="003360AC"/>
    <w:rsid w:val="00337162"/>
    <w:rsid w:val="00337561"/>
    <w:rsid w:val="00337BF7"/>
    <w:rsid w:val="00337EEC"/>
    <w:rsid w:val="00337FCC"/>
    <w:rsid w:val="003405ED"/>
    <w:rsid w:val="00341333"/>
    <w:rsid w:val="00341A79"/>
    <w:rsid w:val="00342485"/>
    <w:rsid w:val="003429A4"/>
    <w:rsid w:val="00342ACF"/>
    <w:rsid w:val="00342FDA"/>
    <w:rsid w:val="003431FA"/>
    <w:rsid w:val="00343362"/>
    <w:rsid w:val="003439FD"/>
    <w:rsid w:val="00344442"/>
    <w:rsid w:val="00344687"/>
    <w:rsid w:val="00344C6F"/>
    <w:rsid w:val="00345147"/>
    <w:rsid w:val="003452C0"/>
    <w:rsid w:val="00345829"/>
    <w:rsid w:val="00346177"/>
    <w:rsid w:val="00346FEF"/>
    <w:rsid w:val="003471A6"/>
    <w:rsid w:val="0034768D"/>
    <w:rsid w:val="003476DC"/>
    <w:rsid w:val="003479D6"/>
    <w:rsid w:val="003479DE"/>
    <w:rsid w:val="00347E91"/>
    <w:rsid w:val="00350399"/>
    <w:rsid w:val="003511C3"/>
    <w:rsid w:val="00351AC5"/>
    <w:rsid w:val="00351DCD"/>
    <w:rsid w:val="003523F2"/>
    <w:rsid w:val="00354691"/>
    <w:rsid w:val="00356AAA"/>
    <w:rsid w:val="00356CF4"/>
    <w:rsid w:val="003572D9"/>
    <w:rsid w:val="00357475"/>
    <w:rsid w:val="00357A60"/>
    <w:rsid w:val="00357B8D"/>
    <w:rsid w:val="00361380"/>
    <w:rsid w:val="003613A0"/>
    <w:rsid w:val="003619CB"/>
    <w:rsid w:val="00361B12"/>
    <w:rsid w:val="00363160"/>
    <w:rsid w:val="0036454D"/>
    <w:rsid w:val="003649FE"/>
    <w:rsid w:val="003654CD"/>
    <w:rsid w:val="003655C8"/>
    <w:rsid w:val="00365AD2"/>
    <w:rsid w:val="00366699"/>
    <w:rsid w:val="00367BB3"/>
    <w:rsid w:val="00367C77"/>
    <w:rsid w:val="0037073A"/>
    <w:rsid w:val="003707E9"/>
    <w:rsid w:val="003716B3"/>
    <w:rsid w:val="003718F7"/>
    <w:rsid w:val="00371D1D"/>
    <w:rsid w:val="0037244C"/>
    <w:rsid w:val="00372EC2"/>
    <w:rsid w:val="00373A0C"/>
    <w:rsid w:val="003741C1"/>
    <w:rsid w:val="00374B1D"/>
    <w:rsid w:val="00374E5E"/>
    <w:rsid w:val="0037612A"/>
    <w:rsid w:val="003767A9"/>
    <w:rsid w:val="003767DB"/>
    <w:rsid w:val="00376822"/>
    <w:rsid w:val="003769FB"/>
    <w:rsid w:val="00376C9E"/>
    <w:rsid w:val="00377028"/>
    <w:rsid w:val="003773C3"/>
    <w:rsid w:val="00377CE3"/>
    <w:rsid w:val="00377E66"/>
    <w:rsid w:val="0038002A"/>
    <w:rsid w:val="003808AA"/>
    <w:rsid w:val="0038115C"/>
    <w:rsid w:val="00381527"/>
    <w:rsid w:val="00382B7B"/>
    <w:rsid w:val="00382DF7"/>
    <w:rsid w:val="0038330E"/>
    <w:rsid w:val="00383F5D"/>
    <w:rsid w:val="003840B5"/>
    <w:rsid w:val="00384110"/>
    <w:rsid w:val="00384238"/>
    <w:rsid w:val="00384EA3"/>
    <w:rsid w:val="003863C0"/>
    <w:rsid w:val="003863CB"/>
    <w:rsid w:val="0038696A"/>
    <w:rsid w:val="00387543"/>
    <w:rsid w:val="00387876"/>
    <w:rsid w:val="003879F8"/>
    <w:rsid w:val="0039017F"/>
    <w:rsid w:val="0039063C"/>
    <w:rsid w:val="00390A46"/>
    <w:rsid w:val="003916A2"/>
    <w:rsid w:val="00391C09"/>
    <w:rsid w:val="0039238F"/>
    <w:rsid w:val="00392559"/>
    <w:rsid w:val="00392755"/>
    <w:rsid w:val="0039340C"/>
    <w:rsid w:val="003939DF"/>
    <w:rsid w:val="00393C7F"/>
    <w:rsid w:val="003946A8"/>
    <w:rsid w:val="00394987"/>
    <w:rsid w:val="00394CB4"/>
    <w:rsid w:val="00396669"/>
    <w:rsid w:val="0039740F"/>
    <w:rsid w:val="003A0359"/>
    <w:rsid w:val="003A04E8"/>
    <w:rsid w:val="003A085D"/>
    <w:rsid w:val="003A12C9"/>
    <w:rsid w:val="003A1A96"/>
    <w:rsid w:val="003A1B6A"/>
    <w:rsid w:val="003A1CC0"/>
    <w:rsid w:val="003A1E3A"/>
    <w:rsid w:val="003A231B"/>
    <w:rsid w:val="003A2EAB"/>
    <w:rsid w:val="003A2F0C"/>
    <w:rsid w:val="003A34C3"/>
    <w:rsid w:val="003A36B5"/>
    <w:rsid w:val="003A3F55"/>
    <w:rsid w:val="003A3F95"/>
    <w:rsid w:val="003A5163"/>
    <w:rsid w:val="003A5C77"/>
    <w:rsid w:val="003A5DCE"/>
    <w:rsid w:val="003A5FA6"/>
    <w:rsid w:val="003A60E0"/>
    <w:rsid w:val="003A6C72"/>
    <w:rsid w:val="003A6DF1"/>
    <w:rsid w:val="003A762D"/>
    <w:rsid w:val="003A7CC8"/>
    <w:rsid w:val="003A7EE1"/>
    <w:rsid w:val="003B04A6"/>
    <w:rsid w:val="003B0DED"/>
    <w:rsid w:val="003B2474"/>
    <w:rsid w:val="003B2996"/>
    <w:rsid w:val="003B2A68"/>
    <w:rsid w:val="003B3C3B"/>
    <w:rsid w:val="003B4609"/>
    <w:rsid w:val="003B50F2"/>
    <w:rsid w:val="003B5717"/>
    <w:rsid w:val="003B57E4"/>
    <w:rsid w:val="003B5A07"/>
    <w:rsid w:val="003B6348"/>
    <w:rsid w:val="003B66ED"/>
    <w:rsid w:val="003B68E8"/>
    <w:rsid w:val="003B6A54"/>
    <w:rsid w:val="003B7002"/>
    <w:rsid w:val="003B7638"/>
    <w:rsid w:val="003B76CE"/>
    <w:rsid w:val="003B7754"/>
    <w:rsid w:val="003B7C60"/>
    <w:rsid w:val="003B7C89"/>
    <w:rsid w:val="003B7E41"/>
    <w:rsid w:val="003B7ED4"/>
    <w:rsid w:val="003C052A"/>
    <w:rsid w:val="003C10EB"/>
    <w:rsid w:val="003C1D39"/>
    <w:rsid w:val="003C1DFC"/>
    <w:rsid w:val="003C1F65"/>
    <w:rsid w:val="003C204E"/>
    <w:rsid w:val="003C3079"/>
    <w:rsid w:val="003C3BB6"/>
    <w:rsid w:val="003C3D59"/>
    <w:rsid w:val="003C3F53"/>
    <w:rsid w:val="003C4028"/>
    <w:rsid w:val="003C4315"/>
    <w:rsid w:val="003C4319"/>
    <w:rsid w:val="003C454C"/>
    <w:rsid w:val="003C4EDC"/>
    <w:rsid w:val="003C54A9"/>
    <w:rsid w:val="003C5778"/>
    <w:rsid w:val="003C64B2"/>
    <w:rsid w:val="003C6FC8"/>
    <w:rsid w:val="003C7423"/>
    <w:rsid w:val="003D0D67"/>
    <w:rsid w:val="003D15FD"/>
    <w:rsid w:val="003D21F8"/>
    <w:rsid w:val="003D2212"/>
    <w:rsid w:val="003D2449"/>
    <w:rsid w:val="003D2584"/>
    <w:rsid w:val="003D3192"/>
    <w:rsid w:val="003D4098"/>
    <w:rsid w:val="003D4290"/>
    <w:rsid w:val="003D462E"/>
    <w:rsid w:val="003D488F"/>
    <w:rsid w:val="003D4D97"/>
    <w:rsid w:val="003D57C3"/>
    <w:rsid w:val="003D581F"/>
    <w:rsid w:val="003D5B17"/>
    <w:rsid w:val="003D5DD4"/>
    <w:rsid w:val="003D6AC8"/>
    <w:rsid w:val="003D7366"/>
    <w:rsid w:val="003D75AD"/>
    <w:rsid w:val="003D79B1"/>
    <w:rsid w:val="003D7B44"/>
    <w:rsid w:val="003D7EA7"/>
    <w:rsid w:val="003E0390"/>
    <w:rsid w:val="003E0CFA"/>
    <w:rsid w:val="003E14F9"/>
    <w:rsid w:val="003E196E"/>
    <w:rsid w:val="003E1B54"/>
    <w:rsid w:val="003E1CD0"/>
    <w:rsid w:val="003E1F52"/>
    <w:rsid w:val="003E2020"/>
    <w:rsid w:val="003E2EB5"/>
    <w:rsid w:val="003E3181"/>
    <w:rsid w:val="003E4FB4"/>
    <w:rsid w:val="003E5197"/>
    <w:rsid w:val="003E52F2"/>
    <w:rsid w:val="003E636B"/>
    <w:rsid w:val="003F0319"/>
    <w:rsid w:val="003F0868"/>
    <w:rsid w:val="003F1884"/>
    <w:rsid w:val="003F1F4D"/>
    <w:rsid w:val="003F2110"/>
    <w:rsid w:val="003F26A3"/>
    <w:rsid w:val="003F27AE"/>
    <w:rsid w:val="003F2A45"/>
    <w:rsid w:val="003F32E1"/>
    <w:rsid w:val="003F3863"/>
    <w:rsid w:val="003F3A21"/>
    <w:rsid w:val="003F3FD3"/>
    <w:rsid w:val="003F59CD"/>
    <w:rsid w:val="003F6DAB"/>
    <w:rsid w:val="003F73FA"/>
    <w:rsid w:val="00400021"/>
    <w:rsid w:val="00400EA8"/>
    <w:rsid w:val="00401F56"/>
    <w:rsid w:val="00401FF6"/>
    <w:rsid w:val="00402481"/>
    <w:rsid w:val="004026BA"/>
    <w:rsid w:val="00402A58"/>
    <w:rsid w:val="00402C6A"/>
    <w:rsid w:val="004038B2"/>
    <w:rsid w:val="00403C7A"/>
    <w:rsid w:val="00404353"/>
    <w:rsid w:val="00404AB6"/>
    <w:rsid w:val="00405B24"/>
    <w:rsid w:val="00405E4B"/>
    <w:rsid w:val="00406109"/>
    <w:rsid w:val="00410FD7"/>
    <w:rsid w:val="00411715"/>
    <w:rsid w:val="00412366"/>
    <w:rsid w:val="004125FD"/>
    <w:rsid w:val="0041261A"/>
    <w:rsid w:val="00412A4A"/>
    <w:rsid w:val="00412A89"/>
    <w:rsid w:val="00413090"/>
    <w:rsid w:val="00413144"/>
    <w:rsid w:val="00413A6D"/>
    <w:rsid w:val="004143B8"/>
    <w:rsid w:val="004146FE"/>
    <w:rsid w:val="00414A0E"/>
    <w:rsid w:val="00416E3D"/>
    <w:rsid w:val="0042091C"/>
    <w:rsid w:val="00420995"/>
    <w:rsid w:val="00420A39"/>
    <w:rsid w:val="004218C9"/>
    <w:rsid w:val="00422AC9"/>
    <w:rsid w:val="00422D62"/>
    <w:rsid w:val="00424B63"/>
    <w:rsid w:val="00424F10"/>
    <w:rsid w:val="004250BA"/>
    <w:rsid w:val="0042514D"/>
    <w:rsid w:val="00426A55"/>
    <w:rsid w:val="00427348"/>
    <w:rsid w:val="004277B1"/>
    <w:rsid w:val="00427C69"/>
    <w:rsid w:val="00427D49"/>
    <w:rsid w:val="00431297"/>
    <w:rsid w:val="004312E0"/>
    <w:rsid w:val="00431340"/>
    <w:rsid w:val="00431EB3"/>
    <w:rsid w:val="004328E0"/>
    <w:rsid w:val="0043324B"/>
    <w:rsid w:val="004340B5"/>
    <w:rsid w:val="0043459B"/>
    <w:rsid w:val="00434F6E"/>
    <w:rsid w:val="00435452"/>
    <w:rsid w:val="00435549"/>
    <w:rsid w:val="00435F60"/>
    <w:rsid w:val="00436313"/>
    <w:rsid w:val="0043646E"/>
    <w:rsid w:val="00436A14"/>
    <w:rsid w:val="00436B7A"/>
    <w:rsid w:val="00436C36"/>
    <w:rsid w:val="004374A8"/>
    <w:rsid w:val="00437986"/>
    <w:rsid w:val="0044010B"/>
    <w:rsid w:val="004403D1"/>
    <w:rsid w:val="0044097D"/>
    <w:rsid w:val="00441417"/>
    <w:rsid w:val="00441C37"/>
    <w:rsid w:val="00442078"/>
    <w:rsid w:val="0044230A"/>
    <w:rsid w:val="004428CE"/>
    <w:rsid w:val="004433DD"/>
    <w:rsid w:val="00443A3D"/>
    <w:rsid w:val="00445C71"/>
    <w:rsid w:val="00445C82"/>
    <w:rsid w:val="004460EE"/>
    <w:rsid w:val="00447B98"/>
    <w:rsid w:val="00447F28"/>
    <w:rsid w:val="00447FB0"/>
    <w:rsid w:val="00450850"/>
    <w:rsid w:val="00450B09"/>
    <w:rsid w:val="00452725"/>
    <w:rsid w:val="0045348D"/>
    <w:rsid w:val="0045466E"/>
    <w:rsid w:val="00455234"/>
    <w:rsid w:val="004553D4"/>
    <w:rsid w:val="0045599A"/>
    <w:rsid w:val="004565ED"/>
    <w:rsid w:val="00456767"/>
    <w:rsid w:val="00457199"/>
    <w:rsid w:val="00457F4D"/>
    <w:rsid w:val="00460793"/>
    <w:rsid w:val="004616FA"/>
    <w:rsid w:val="004621B5"/>
    <w:rsid w:val="004622B4"/>
    <w:rsid w:val="00463E66"/>
    <w:rsid w:val="004640F2"/>
    <w:rsid w:val="004644CE"/>
    <w:rsid w:val="00464796"/>
    <w:rsid w:val="00464B08"/>
    <w:rsid w:val="0046543F"/>
    <w:rsid w:val="0046607D"/>
    <w:rsid w:val="00466A18"/>
    <w:rsid w:val="00466F47"/>
    <w:rsid w:val="00467759"/>
    <w:rsid w:val="0046790B"/>
    <w:rsid w:val="00467A9B"/>
    <w:rsid w:val="0047027A"/>
    <w:rsid w:val="0047065D"/>
    <w:rsid w:val="0047071B"/>
    <w:rsid w:val="00470C0C"/>
    <w:rsid w:val="004722DD"/>
    <w:rsid w:val="004725F6"/>
    <w:rsid w:val="004737AE"/>
    <w:rsid w:val="0047419C"/>
    <w:rsid w:val="004751B2"/>
    <w:rsid w:val="00475595"/>
    <w:rsid w:val="00475762"/>
    <w:rsid w:val="0047589F"/>
    <w:rsid w:val="00475BC0"/>
    <w:rsid w:val="00475F2B"/>
    <w:rsid w:val="00477515"/>
    <w:rsid w:val="00477DB0"/>
    <w:rsid w:val="0048196D"/>
    <w:rsid w:val="00483BFB"/>
    <w:rsid w:val="004847A2"/>
    <w:rsid w:val="00484C7C"/>
    <w:rsid w:val="0048512F"/>
    <w:rsid w:val="004861B4"/>
    <w:rsid w:val="00486462"/>
    <w:rsid w:val="004868A3"/>
    <w:rsid w:val="00486FBF"/>
    <w:rsid w:val="00487147"/>
    <w:rsid w:val="00487167"/>
    <w:rsid w:val="00487710"/>
    <w:rsid w:val="004878D7"/>
    <w:rsid w:val="00487DA1"/>
    <w:rsid w:val="00487ECC"/>
    <w:rsid w:val="0049043D"/>
    <w:rsid w:val="004907CD"/>
    <w:rsid w:val="00490E69"/>
    <w:rsid w:val="00491277"/>
    <w:rsid w:val="004918C7"/>
    <w:rsid w:val="00491A24"/>
    <w:rsid w:val="00491D3C"/>
    <w:rsid w:val="00492601"/>
    <w:rsid w:val="00492641"/>
    <w:rsid w:val="00492D48"/>
    <w:rsid w:val="00492F9C"/>
    <w:rsid w:val="00493888"/>
    <w:rsid w:val="004949EC"/>
    <w:rsid w:val="00494E9A"/>
    <w:rsid w:val="004951C1"/>
    <w:rsid w:val="00495240"/>
    <w:rsid w:val="00495F12"/>
    <w:rsid w:val="0049600F"/>
    <w:rsid w:val="00496612"/>
    <w:rsid w:val="004970D1"/>
    <w:rsid w:val="00497CD2"/>
    <w:rsid w:val="00497EE8"/>
    <w:rsid w:val="004A04E8"/>
    <w:rsid w:val="004A0D97"/>
    <w:rsid w:val="004A14F9"/>
    <w:rsid w:val="004A1BE7"/>
    <w:rsid w:val="004A2640"/>
    <w:rsid w:val="004A43F4"/>
    <w:rsid w:val="004A4BBC"/>
    <w:rsid w:val="004A51DF"/>
    <w:rsid w:val="004A5896"/>
    <w:rsid w:val="004A5BB8"/>
    <w:rsid w:val="004A5CE5"/>
    <w:rsid w:val="004A6736"/>
    <w:rsid w:val="004A689A"/>
    <w:rsid w:val="004A6B94"/>
    <w:rsid w:val="004A6EC4"/>
    <w:rsid w:val="004A7B98"/>
    <w:rsid w:val="004B0A74"/>
    <w:rsid w:val="004B0B49"/>
    <w:rsid w:val="004B0D48"/>
    <w:rsid w:val="004B0DEB"/>
    <w:rsid w:val="004B1066"/>
    <w:rsid w:val="004B207D"/>
    <w:rsid w:val="004B3150"/>
    <w:rsid w:val="004B325E"/>
    <w:rsid w:val="004B378C"/>
    <w:rsid w:val="004B3DD8"/>
    <w:rsid w:val="004B47B5"/>
    <w:rsid w:val="004B4E02"/>
    <w:rsid w:val="004B4E5D"/>
    <w:rsid w:val="004B5822"/>
    <w:rsid w:val="004B5B91"/>
    <w:rsid w:val="004B6055"/>
    <w:rsid w:val="004C0731"/>
    <w:rsid w:val="004C105D"/>
    <w:rsid w:val="004C1567"/>
    <w:rsid w:val="004C15C7"/>
    <w:rsid w:val="004C1AEF"/>
    <w:rsid w:val="004C285F"/>
    <w:rsid w:val="004C3530"/>
    <w:rsid w:val="004C3991"/>
    <w:rsid w:val="004C3F7E"/>
    <w:rsid w:val="004C4151"/>
    <w:rsid w:val="004C4CE2"/>
    <w:rsid w:val="004C5766"/>
    <w:rsid w:val="004C5D0D"/>
    <w:rsid w:val="004C61F4"/>
    <w:rsid w:val="004C63F6"/>
    <w:rsid w:val="004C6850"/>
    <w:rsid w:val="004C748A"/>
    <w:rsid w:val="004C7606"/>
    <w:rsid w:val="004C7F9A"/>
    <w:rsid w:val="004D09A8"/>
    <w:rsid w:val="004D0F69"/>
    <w:rsid w:val="004D1E8B"/>
    <w:rsid w:val="004D2271"/>
    <w:rsid w:val="004D26A3"/>
    <w:rsid w:val="004D2F4D"/>
    <w:rsid w:val="004D32EC"/>
    <w:rsid w:val="004D350A"/>
    <w:rsid w:val="004D36C0"/>
    <w:rsid w:val="004D3C81"/>
    <w:rsid w:val="004D3DCF"/>
    <w:rsid w:val="004D4518"/>
    <w:rsid w:val="004D4982"/>
    <w:rsid w:val="004D510D"/>
    <w:rsid w:val="004D562A"/>
    <w:rsid w:val="004D60DA"/>
    <w:rsid w:val="004D6A2F"/>
    <w:rsid w:val="004D6F83"/>
    <w:rsid w:val="004D7203"/>
    <w:rsid w:val="004D76FC"/>
    <w:rsid w:val="004D7B12"/>
    <w:rsid w:val="004E0004"/>
    <w:rsid w:val="004E0323"/>
    <w:rsid w:val="004E1359"/>
    <w:rsid w:val="004E1392"/>
    <w:rsid w:val="004E26F0"/>
    <w:rsid w:val="004E27F2"/>
    <w:rsid w:val="004E303B"/>
    <w:rsid w:val="004E327D"/>
    <w:rsid w:val="004E3770"/>
    <w:rsid w:val="004E3C86"/>
    <w:rsid w:val="004E4539"/>
    <w:rsid w:val="004E474A"/>
    <w:rsid w:val="004E62B7"/>
    <w:rsid w:val="004E6327"/>
    <w:rsid w:val="004E64C2"/>
    <w:rsid w:val="004E7C6F"/>
    <w:rsid w:val="004F0083"/>
    <w:rsid w:val="004F0208"/>
    <w:rsid w:val="004F0C8C"/>
    <w:rsid w:val="004F0E25"/>
    <w:rsid w:val="004F15F3"/>
    <w:rsid w:val="004F1A02"/>
    <w:rsid w:val="004F1A69"/>
    <w:rsid w:val="004F2E83"/>
    <w:rsid w:val="004F3344"/>
    <w:rsid w:val="004F347F"/>
    <w:rsid w:val="004F3EA1"/>
    <w:rsid w:val="004F4422"/>
    <w:rsid w:val="004F45C8"/>
    <w:rsid w:val="004F4610"/>
    <w:rsid w:val="004F48A7"/>
    <w:rsid w:val="004F4B48"/>
    <w:rsid w:val="004F4D69"/>
    <w:rsid w:val="004F4EAE"/>
    <w:rsid w:val="004F6142"/>
    <w:rsid w:val="004F63B8"/>
    <w:rsid w:val="004F6586"/>
    <w:rsid w:val="004F67A2"/>
    <w:rsid w:val="004F79CE"/>
    <w:rsid w:val="004F7A5C"/>
    <w:rsid w:val="004F7ADA"/>
    <w:rsid w:val="004F7DD8"/>
    <w:rsid w:val="005002FC"/>
    <w:rsid w:val="005007DE"/>
    <w:rsid w:val="00501A32"/>
    <w:rsid w:val="00501BA7"/>
    <w:rsid w:val="0050405D"/>
    <w:rsid w:val="00504342"/>
    <w:rsid w:val="005045E8"/>
    <w:rsid w:val="00504A06"/>
    <w:rsid w:val="00505186"/>
    <w:rsid w:val="00505379"/>
    <w:rsid w:val="00505BCB"/>
    <w:rsid w:val="00506153"/>
    <w:rsid w:val="00506255"/>
    <w:rsid w:val="00506EC5"/>
    <w:rsid w:val="00506F4F"/>
    <w:rsid w:val="00507035"/>
    <w:rsid w:val="005072BB"/>
    <w:rsid w:val="00507458"/>
    <w:rsid w:val="00507BAD"/>
    <w:rsid w:val="00510C70"/>
    <w:rsid w:val="0051103B"/>
    <w:rsid w:val="00511091"/>
    <w:rsid w:val="00511198"/>
    <w:rsid w:val="0051179C"/>
    <w:rsid w:val="005120D5"/>
    <w:rsid w:val="00512ABE"/>
    <w:rsid w:val="00512C8E"/>
    <w:rsid w:val="00512E38"/>
    <w:rsid w:val="00513762"/>
    <w:rsid w:val="0051445E"/>
    <w:rsid w:val="00515877"/>
    <w:rsid w:val="0051599A"/>
    <w:rsid w:val="005159A2"/>
    <w:rsid w:val="00516251"/>
    <w:rsid w:val="0051687F"/>
    <w:rsid w:val="005168C3"/>
    <w:rsid w:val="00516CB4"/>
    <w:rsid w:val="00517149"/>
    <w:rsid w:val="005178D9"/>
    <w:rsid w:val="005200D8"/>
    <w:rsid w:val="0052074A"/>
    <w:rsid w:val="0052190A"/>
    <w:rsid w:val="00522527"/>
    <w:rsid w:val="00522D2F"/>
    <w:rsid w:val="00523B6D"/>
    <w:rsid w:val="00523CD5"/>
    <w:rsid w:val="00524376"/>
    <w:rsid w:val="00524AE5"/>
    <w:rsid w:val="00524D40"/>
    <w:rsid w:val="00525B77"/>
    <w:rsid w:val="00525CBB"/>
    <w:rsid w:val="00526251"/>
    <w:rsid w:val="005265A5"/>
    <w:rsid w:val="00526A37"/>
    <w:rsid w:val="00526B33"/>
    <w:rsid w:val="00527A48"/>
    <w:rsid w:val="005310F0"/>
    <w:rsid w:val="00531703"/>
    <w:rsid w:val="00532144"/>
    <w:rsid w:val="005324FF"/>
    <w:rsid w:val="00532AF4"/>
    <w:rsid w:val="00532C19"/>
    <w:rsid w:val="00532EF8"/>
    <w:rsid w:val="00532F71"/>
    <w:rsid w:val="005332A5"/>
    <w:rsid w:val="0053385E"/>
    <w:rsid w:val="00533D15"/>
    <w:rsid w:val="00533D3C"/>
    <w:rsid w:val="00533FDC"/>
    <w:rsid w:val="00534F29"/>
    <w:rsid w:val="00535239"/>
    <w:rsid w:val="00536434"/>
    <w:rsid w:val="00536B30"/>
    <w:rsid w:val="00536F23"/>
    <w:rsid w:val="005371FB"/>
    <w:rsid w:val="00537FF2"/>
    <w:rsid w:val="00540117"/>
    <w:rsid w:val="005401DD"/>
    <w:rsid w:val="0054247B"/>
    <w:rsid w:val="0054252D"/>
    <w:rsid w:val="00542A06"/>
    <w:rsid w:val="005430FC"/>
    <w:rsid w:val="00543809"/>
    <w:rsid w:val="0054416F"/>
    <w:rsid w:val="00544305"/>
    <w:rsid w:val="005443D0"/>
    <w:rsid w:val="005447F3"/>
    <w:rsid w:val="00544C94"/>
    <w:rsid w:val="0054506A"/>
    <w:rsid w:val="00545ACF"/>
    <w:rsid w:val="005460F5"/>
    <w:rsid w:val="00546203"/>
    <w:rsid w:val="005468EF"/>
    <w:rsid w:val="00546953"/>
    <w:rsid w:val="00546BEC"/>
    <w:rsid w:val="00547275"/>
    <w:rsid w:val="005477C8"/>
    <w:rsid w:val="0054796B"/>
    <w:rsid w:val="00551E6E"/>
    <w:rsid w:val="005520CB"/>
    <w:rsid w:val="005526AC"/>
    <w:rsid w:val="00553063"/>
    <w:rsid w:val="00553753"/>
    <w:rsid w:val="00553788"/>
    <w:rsid w:val="00553A11"/>
    <w:rsid w:val="00553B2A"/>
    <w:rsid w:val="0055464C"/>
    <w:rsid w:val="005548E8"/>
    <w:rsid w:val="00554A3C"/>
    <w:rsid w:val="00554E09"/>
    <w:rsid w:val="00555C5B"/>
    <w:rsid w:val="0055621F"/>
    <w:rsid w:val="00556253"/>
    <w:rsid w:val="00556A0E"/>
    <w:rsid w:val="00557B5B"/>
    <w:rsid w:val="0056110B"/>
    <w:rsid w:val="0056154D"/>
    <w:rsid w:val="005620D4"/>
    <w:rsid w:val="00562225"/>
    <w:rsid w:val="0056258A"/>
    <w:rsid w:val="00562F6A"/>
    <w:rsid w:val="00563302"/>
    <w:rsid w:val="00564377"/>
    <w:rsid w:val="005647BD"/>
    <w:rsid w:val="005660D9"/>
    <w:rsid w:val="005667B2"/>
    <w:rsid w:val="00566B2C"/>
    <w:rsid w:val="00567675"/>
    <w:rsid w:val="0057009F"/>
    <w:rsid w:val="0057087F"/>
    <w:rsid w:val="005725E4"/>
    <w:rsid w:val="0057265E"/>
    <w:rsid w:val="0057342D"/>
    <w:rsid w:val="005738C1"/>
    <w:rsid w:val="00574412"/>
    <w:rsid w:val="00574680"/>
    <w:rsid w:val="00575053"/>
    <w:rsid w:val="005750A7"/>
    <w:rsid w:val="00575136"/>
    <w:rsid w:val="00575A52"/>
    <w:rsid w:val="00575E5F"/>
    <w:rsid w:val="00575F10"/>
    <w:rsid w:val="00576866"/>
    <w:rsid w:val="0057699B"/>
    <w:rsid w:val="00576BCF"/>
    <w:rsid w:val="00576BD5"/>
    <w:rsid w:val="005777F5"/>
    <w:rsid w:val="00577BE3"/>
    <w:rsid w:val="00577D96"/>
    <w:rsid w:val="00580BF4"/>
    <w:rsid w:val="00581DE8"/>
    <w:rsid w:val="00582B56"/>
    <w:rsid w:val="00583F94"/>
    <w:rsid w:val="00584047"/>
    <w:rsid w:val="005843E0"/>
    <w:rsid w:val="00584A36"/>
    <w:rsid w:val="00585278"/>
    <w:rsid w:val="00585977"/>
    <w:rsid w:val="005859C2"/>
    <w:rsid w:val="005863C1"/>
    <w:rsid w:val="005868C0"/>
    <w:rsid w:val="005878FE"/>
    <w:rsid w:val="005904EB"/>
    <w:rsid w:val="00591465"/>
    <w:rsid w:val="00591525"/>
    <w:rsid w:val="00591D17"/>
    <w:rsid w:val="00592836"/>
    <w:rsid w:val="005933D1"/>
    <w:rsid w:val="00593517"/>
    <w:rsid w:val="00594111"/>
    <w:rsid w:val="0059462A"/>
    <w:rsid w:val="005946F2"/>
    <w:rsid w:val="00594937"/>
    <w:rsid w:val="00594B1E"/>
    <w:rsid w:val="00594D38"/>
    <w:rsid w:val="00596A16"/>
    <w:rsid w:val="00596C8C"/>
    <w:rsid w:val="005974ED"/>
    <w:rsid w:val="00597C18"/>
    <w:rsid w:val="005A085E"/>
    <w:rsid w:val="005A0DC5"/>
    <w:rsid w:val="005A0E53"/>
    <w:rsid w:val="005A11E6"/>
    <w:rsid w:val="005A18EE"/>
    <w:rsid w:val="005A1B74"/>
    <w:rsid w:val="005A2A84"/>
    <w:rsid w:val="005A330C"/>
    <w:rsid w:val="005A466E"/>
    <w:rsid w:val="005A6246"/>
    <w:rsid w:val="005A67C8"/>
    <w:rsid w:val="005A727D"/>
    <w:rsid w:val="005A7390"/>
    <w:rsid w:val="005A7488"/>
    <w:rsid w:val="005B0D0B"/>
    <w:rsid w:val="005B170D"/>
    <w:rsid w:val="005B18D7"/>
    <w:rsid w:val="005B2118"/>
    <w:rsid w:val="005B23C4"/>
    <w:rsid w:val="005B3399"/>
    <w:rsid w:val="005B35D1"/>
    <w:rsid w:val="005B44C8"/>
    <w:rsid w:val="005B4CB2"/>
    <w:rsid w:val="005B4E43"/>
    <w:rsid w:val="005B5203"/>
    <w:rsid w:val="005B525E"/>
    <w:rsid w:val="005B5442"/>
    <w:rsid w:val="005B54EF"/>
    <w:rsid w:val="005B5D93"/>
    <w:rsid w:val="005B615E"/>
    <w:rsid w:val="005B6364"/>
    <w:rsid w:val="005B662A"/>
    <w:rsid w:val="005B6E8C"/>
    <w:rsid w:val="005B74E5"/>
    <w:rsid w:val="005B788E"/>
    <w:rsid w:val="005C06E4"/>
    <w:rsid w:val="005C0F99"/>
    <w:rsid w:val="005C136F"/>
    <w:rsid w:val="005C16FF"/>
    <w:rsid w:val="005C2FEF"/>
    <w:rsid w:val="005C3E17"/>
    <w:rsid w:val="005C51D5"/>
    <w:rsid w:val="005C5779"/>
    <w:rsid w:val="005C5795"/>
    <w:rsid w:val="005C59FE"/>
    <w:rsid w:val="005C5AF0"/>
    <w:rsid w:val="005C5F06"/>
    <w:rsid w:val="005C63CE"/>
    <w:rsid w:val="005C67E3"/>
    <w:rsid w:val="005D0007"/>
    <w:rsid w:val="005D03D9"/>
    <w:rsid w:val="005D097A"/>
    <w:rsid w:val="005D0A86"/>
    <w:rsid w:val="005D2129"/>
    <w:rsid w:val="005D4127"/>
    <w:rsid w:val="005D4DA9"/>
    <w:rsid w:val="005D4F9C"/>
    <w:rsid w:val="005D5711"/>
    <w:rsid w:val="005D5E75"/>
    <w:rsid w:val="005D6392"/>
    <w:rsid w:val="005D664B"/>
    <w:rsid w:val="005D67DA"/>
    <w:rsid w:val="005D6980"/>
    <w:rsid w:val="005D6C78"/>
    <w:rsid w:val="005D77BB"/>
    <w:rsid w:val="005E0231"/>
    <w:rsid w:val="005E0758"/>
    <w:rsid w:val="005E127C"/>
    <w:rsid w:val="005E2982"/>
    <w:rsid w:val="005E308B"/>
    <w:rsid w:val="005E3BB8"/>
    <w:rsid w:val="005E3CE9"/>
    <w:rsid w:val="005E4631"/>
    <w:rsid w:val="005E4AA5"/>
    <w:rsid w:val="005E4EF0"/>
    <w:rsid w:val="005E631F"/>
    <w:rsid w:val="005E70E0"/>
    <w:rsid w:val="005E7448"/>
    <w:rsid w:val="005E75D3"/>
    <w:rsid w:val="005E7A20"/>
    <w:rsid w:val="005E7E99"/>
    <w:rsid w:val="005F09DD"/>
    <w:rsid w:val="005F0F7A"/>
    <w:rsid w:val="005F191C"/>
    <w:rsid w:val="005F1946"/>
    <w:rsid w:val="005F209C"/>
    <w:rsid w:val="005F265C"/>
    <w:rsid w:val="005F301B"/>
    <w:rsid w:val="005F348D"/>
    <w:rsid w:val="005F4318"/>
    <w:rsid w:val="005F47BD"/>
    <w:rsid w:val="005F5758"/>
    <w:rsid w:val="005F6D18"/>
    <w:rsid w:val="0060024B"/>
    <w:rsid w:val="00601139"/>
    <w:rsid w:val="006015E1"/>
    <w:rsid w:val="006015FE"/>
    <w:rsid w:val="00601758"/>
    <w:rsid w:val="00601866"/>
    <w:rsid w:val="00602A71"/>
    <w:rsid w:val="00602F3E"/>
    <w:rsid w:val="006032DD"/>
    <w:rsid w:val="006034EF"/>
    <w:rsid w:val="00604E02"/>
    <w:rsid w:val="006051AB"/>
    <w:rsid w:val="00605210"/>
    <w:rsid w:val="00605469"/>
    <w:rsid w:val="006059DE"/>
    <w:rsid w:val="00606014"/>
    <w:rsid w:val="006061AB"/>
    <w:rsid w:val="00606321"/>
    <w:rsid w:val="00606769"/>
    <w:rsid w:val="00607934"/>
    <w:rsid w:val="00607C88"/>
    <w:rsid w:val="006100A3"/>
    <w:rsid w:val="0061160B"/>
    <w:rsid w:val="00611E94"/>
    <w:rsid w:val="00612113"/>
    <w:rsid w:val="00612B2B"/>
    <w:rsid w:val="006139A5"/>
    <w:rsid w:val="00613C86"/>
    <w:rsid w:val="00614A59"/>
    <w:rsid w:val="00615B11"/>
    <w:rsid w:val="00615BD1"/>
    <w:rsid w:val="00616047"/>
    <w:rsid w:val="00616C7E"/>
    <w:rsid w:val="006178F6"/>
    <w:rsid w:val="00617983"/>
    <w:rsid w:val="00617D61"/>
    <w:rsid w:val="0062080F"/>
    <w:rsid w:val="00620EDD"/>
    <w:rsid w:val="00621059"/>
    <w:rsid w:val="0062168B"/>
    <w:rsid w:val="00621E49"/>
    <w:rsid w:val="00622294"/>
    <w:rsid w:val="0062399D"/>
    <w:rsid w:val="00624316"/>
    <w:rsid w:val="00624A8A"/>
    <w:rsid w:val="006253D8"/>
    <w:rsid w:val="0062626E"/>
    <w:rsid w:val="00626936"/>
    <w:rsid w:val="00626EED"/>
    <w:rsid w:val="00627006"/>
    <w:rsid w:val="0062758F"/>
    <w:rsid w:val="0062793C"/>
    <w:rsid w:val="006300C0"/>
    <w:rsid w:val="0063026D"/>
    <w:rsid w:val="00630694"/>
    <w:rsid w:val="00631372"/>
    <w:rsid w:val="0063168D"/>
    <w:rsid w:val="006324EB"/>
    <w:rsid w:val="00633E8D"/>
    <w:rsid w:val="00634317"/>
    <w:rsid w:val="0063434A"/>
    <w:rsid w:val="00634D25"/>
    <w:rsid w:val="006356FB"/>
    <w:rsid w:val="006357A9"/>
    <w:rsid w:val="00635A87"/>
    <w:rsid w:val="00635BCF"/>
    <w:rsid w:val="00636198"/>
    <w:rsid w:val="00636433"/>
    <w:rsid w:val="00636938"/>
    <w:rsid w:val="00636C2D"/>
    <w:rsid w:val="00640719"/>
    <w:rsid w:val="0064184E"/>
    <w:rsid w:val="00641C7F"/>
    <w:rsid w:val="00641F95"/>
    <w:rsid w:val="00642FF4"/>
    <w:rsid w:val="006440E9"/>
    <w:rsid w:val="0064426A"/>
    <w:rsid w:val="006445FE"/>
    <w:rsid w:val="006449A2"/>
    <w:rsid w:val="006457D9"/>
    <w:rsid w:val="006462B8"/>
    <w:rsid w:val="006464A6"/>
    <w:rsid w:val="006464DF"/>
    <w:rsid w:val="00646EA4"/>
    <w:rsid w:val="00647758"/>
    <w:rsid w:val="00647B01"/>
    <w:rsid w:val="00647B5F"/>
    <w:rsid w:val="00650024"/>
    <w:rsid w:val="006500D8"/>
    <w:rsid w:val="006504C6"/>
    <w:rsid w:val="006510AF"/>
    <w:rsid w:val="00651A6C"/>
    <w:rsid w:val="00652030"/>
    <w:rsid w:val="00652332"/>
    <w:rsid w:val="006524AC"/>
    <w:rsid w:val="0065317A"/>
    <w:rsid w:val="00653948"/>
    <w:rsid w:val="00653CE7"/>
    <w:rsid w:val="0065423E"/>
    <w:rsid w:val="0065430D"/>
    <w:rsid w:val="006544FB"/>
    <w:rsid w:val="00654A3E"/>
    <w:rsid w:val="00655E24"/>
    <w:rsid w:val="006560FD"/>
    <w:rsid w:val="0065646D"/>
    <w:rsid w:val="0065661F"/>
    <w:rsid w:val="00656E75"/>
    <w:rsid w:val="006576D0"/>
    <w:rsid w:val="00660634"/>
    <w:rsid w:val="0066075D"/>
    <w:rsid w:val="00660D7E"/>
    <w:rsid w:val="00660FFA"/>
    <w:rsid w:val="00661E15"/>
    <w:rsid w:val="0066201C"/>
    <w:rsid w:val="0066227A"/>
    <w:rsid w:val="00662BC5"/>
    <w:rsid w:val="0066302B"/>
    <w:rsid w:val="0066431E"/>
    <w:rsid w:val="00664B00"/>
    <w:rsid w:val="00664E8D"/>
    <w:rsid w:val="00664FEF"/>
    <w:rsid w:val="006650FE"/>
    <w:rsid w:val="006652C2"/>
    <w:rsid w:val="0066647B"/>
    <w:rsid w:val="00666F47"/>
    <w:rsid w:val="0066751B"/>
    <w:rsid w:val="0067001D"/>
    <w:rsid w:val="00670A83"/>
    <w:rsid w:val="00671729"/>
    <w:rsid w:val="006717B3"/>
    <w:rsid w:val="006723A2"/>
    <w:rsid w:val="00672435"/>
    <w:rsid w:val="006727C5"/>
    <w:rsid w:val="0067324A"/>
    <w:rsid w:val="0067408E"/>
    <w:rsid w:val="006741AA"/>
    <w:rsid w:val="006752ED"/>
    <w:rsid w:val="00675598"/>
    <w:rsid w:val="00675DDD"/>
    <w:rsid w:val="00676909"/>
    <w:rsid w:val="00677868"/>
    <w:rsid w:val="00680169"/>
    <w:rsid w:val="0068065C"/>
    <w:rsid w:val="006809F6"/>
    <w:rsid w:val="00680DBB"/>
    <w:rsid w:val="00680E2F"/>
    <w:rsid w:val="00681838"/>
    <w:rsid w:val="00681D37"/>
    <w:rsid w:val="00681FD2"/>
    <w:rsid w:val="0068209F"/>
    <w:rsid w:val="00682664"/>
    <w:rsid w:val="00682DC9"/>
    <w:rsid w:val="0068335F"/>
    <w:rsid w:val="0068372B"/>
    <w:rsid w:val="00683A95"/>
    <w:rsid w:val="00683D76"/>
    <w:rsid w:val="00683FDC"/>
    <w:rsid w:val="00684B64"/>
    <w:rsid w:val="00684D95"/>
    <w:rsid w:val="00686A19"/>
    <w:rsid w:val="00686F98"/>
    <w:rsid w:val="00687941"/>
    <w:rsid w:val="00687F2F"/>
    <w:rsid w:val="00690313"/>
    <w:rsid w:val="00690715"/>
    <w:rsid w:val="00690D87"/>
    <w:rsid w:val="00691504"/>
    <w:rsid w:val="006919B6"/>
    <w:rsid w:val="00691C6B"/>
    <w:rsid w:val="00693D99"/>
    <w:rsid w:val="006943EB"/>
    <w:rsid w:val="00694501"/>
    <w:rsid w:val="00695267"/>
    <w:rsid w:val="0069558E"/>
    <w:rsid w:val="00695B62"/>
    <w:rsid w:val="00695D0D"/>
    <w:rsid w:val="0069665E"/>
    <w:rsid w:val="0069691A"/>
    <w:rsid w:val="006971EE"/>
    <w:rsid w:val="0069727B"/>
    <w:rsid w:val="00697F0B"/>
    <w:rsid w:val="00697FD7"/>
    <w:rsid w:val="006A086F"/>
    <w:rsid w:val="006A1A59"/>
    <w:rsid w:val="006A1E0A"/>
    <w:rsid w:val="006A1E40"/>
    <w:rsid w:val="006A2110"/>
    <w:rsid w:val="006A2891"/>
    <w:rsid w:val="006A28D9"/>
    <w:rsid w:val="006A34D4"/>
    <w:rsid w:val="006A37BA"/>
    <w:rsid w:val="006A40DC"/>
    <w:rsid w:val="006A4B7D"/>
    <w:rsid w:val="006A5B2F"/>
    <w:rsid w:val="006A6AAC"/>
    <w:rsid w:val="006A73FA"/>
    <w:rsid w:val="006A79C1"/>
    <w:rsid w:val="006A7F52"/>
    <w:rsid w:val="006B0156"/>
    <w:rsid w:val="006B07C8"/>
    <w:rsid w:val="006B0AA6"/>
    <w:rsid w:val="006B0CA7"/>
    <w:rsid w:val="006B2277"/>
    <w:rsid w:val="006B24EF"/>
    <w:rsid w:val="006B3227"/>
    <w:rsid w:val="006B3EE3"/>
    <w:rsid w:val="006B43F9"/>
    <w:rsid w:val="006B441D"/>
    <w:rsid w:val="006B4579"/>
    <w:rsid w:val="006B4770"/>
    <w:rsid w:val="006B4C5A"/>
    <w:rsid w:val="006B5FB8"/>
    <w:rsid w:val="006B6ECC"/>
    <w:rsid w:val="006B72EA"/>
    <w:rsid w:val="006B76E8"/>
    <w:rsid w:val="006B79D9"/>
    <w:rsid w:val="006B7EBF"/>
    <w:rsid w:val="006C0048"/>
    <w:rsid w:val="006C0D12"/>
    <w:rsid w:val="006C11F2"/>
    <w:rsid w:val="006C224C"/>
    <w:rsid w:val="006C26EF"/>
    <w:rsid w:val="006C3483"/>
    <w:rsid w:val="006C3B3B"/>
    <w:rsid w:val="006C4B50"/>
    <w:rsid w:val="006C53ED"/>
    <w:rsid w:val="006C5524"/>
    <w:rsid w:val="006C621F"/>
    <w:rsid w:val="006C67E4"/>
    <w:rsid w:val="006C6C94"/>
    <w:rsid w:val="006C7573"/>
    <w:rsid w:val="006C7794"/>
    <w:rsid w:val="006D060E"/>
    <w:rsid w:val="006D06FC"/>
    <w:rsid w:val="006D119C"/>
    <w:rsid w:val="006D229F"/>
    <w:rsid w:val="006D2A0B"/>
    <w:rsid w:val="006D3182"/>
    <w:rsid w:val="006D34EA"/>
    <w:rsid w:val="006D3574"/>
    <w:rsid w:val="006D3966"/>
    <w:rsid w:val="006D4601"/>
    <w:rsid w:val="006D5D2D"/>
    <w:rsid w:val="006D6016"/>
    <w:rsid w:val="006D6060"/>
    <w:rsid w:val="006D657E"/>
    <w:rsid w:val="006D6700"/>
    <w:rsid w:val="006D7869"/>
    <w:rsid w:val="006D7CA5"/>
    <w:rsid w:val="006D7F99"/>
    <w:rsid w:val="006E044E"/>
    <w:rsid w:val="006E0A1C"/>
    <w:rsid w:val="006E0B44"/>
    <w:rsid w:val="006E1699"/>
    <w:rsid w:val="006E18DA"/>
    <w:rsid w:val="006E1FB9"/>
    <w:rsid w:val="006E234F"/>
    <w:rsid w:val="006E2CCC"/>
    <w:rsid w:val="006E4AC3"/>
    <w:rsid w:val="006E4CD9"/>
    <w:rsid w:val="006E56E6"/>
    <w:rsid w:val="006E58F1"/>
    <w:rsid w:val="006E5DC9"/>
    <w:rsid w:val="006E6BD9"/>
    <w:rsid w:val="006E79D7"/>
    <w:rsid w:val="006E7D65"/>
    <w:rsid w:val="006F03B8"/>
    <w:rsid w:val="006F0869"/>
    <w:rsid w:val="006F0B8F"/>
    <w:rsid w:val="006F0F7C"/>
    <w:rsid w:val="006F12CA"/>
    <w:rsid w:val="006F16DA"/>
    <w:rsid w:val="006F1A65"/>
    <w:rsid w:val="006F29FD"/>
    <w:rsid w:val="006F364D"/>
    <w:rsid w:val="006F368A"/>
    <w:rsid w:val="006F3A3C"/>
    <w:rsid w:val="006F40D4"/>
    <w:rsid w:val="006F453C"/>
    <w:rsid w:val="006F4574"/>
    <w:rsid w:val="006F48F2"/>
    <w:rsid w:val="006F4ADF"/>
    <w:rsid w:val="006F4D72"/>
    <w:rsid w:val="006F5215"/>
    <w:rsid w:val="006F6D6D"/>
    <w:rsid w:val="006F759B"/>
    <w:rsid w:val="007000DA"/>
    <w:rsid w:val="00700F12"/>
    <w:rsid w:val="007017B8"/>
    <w:rsid w:val="007019EC"/>
    <w:rsid w:val="00702019"/>
    <w:rsid w:val="007028F3"/>
    <w:rsid w:val="00702E2B"/>
    <w:rsid w:val="0070314C"/>
    <w:rsid w:val="0070326E"/>
    <w:rsid w:val="0070348F"/>
    <w:rsid w:val="00703649"/>
    <w:rsid w:val="00703E3B"/>
    <w:rsid w:val="0070410B"/>
    <w:rsid w:val="0070469A"/>
    <w:rsid w:val="007046AD"/>
    <w:rsid w:val="00705147"/>
    <w:rsid w:val="00705380"/>
    <w:rsid w:val="00705558"/>
    <w:rsid w:val="00706AE1"/>
    <w:rsid w:val="00706E8E"/>
    <w:rsid w:val="007072B5"/>
    <w:rsid w:val="0070772C"/>
    <w:rsid w:val="00707D27"/>
    <w:rsid w:val="00710555"/>
    <w:rsid w:val="00710746"/>
    <w:rsid w:val="00710CC2"/>
    <w:rsid w:val="007123CE"/>
    <w:rsid w:val="00712FA1"/>
    <w:rsid w:val="00713A00"/>
    <w:rsid w:val="00713B10"/>
    <w:rsid w:val="00713F03"/>
    <w:rsid w:val="0071467E"/>
    <w:rsid w:val="007163DB"/>
    <w:rsid w:val="0071717B"/>
    <w:rsid w:val="00717395"/>
    <w:rsid w:val="00717B22"/>
    <w:rsid w:val="007203AC"/>
    <w:rsid w:val="00720913"/>
    <w:rsid w:val="00720F11"/>
    <w:rsid w:val="00723752"/>
    <w:rsid w:val="007238A8"/>
    <w:rsid w:val="007243F1"/>
    <w:rsid w:val="00724A98"/>
    <w:rsid w:val="00724C2C"/>
    <w:rsid w:val="00725232"/>
    <w:rsid w:val="00725666"/>
    <w:rsid w:val="00725902"/>
    <w:rsid w:val="0072600D"/>
    <w:rsid w:val="0072734A"/>
    <w:rsid w:val="00727584"/>
    <w:rsid w:val="0073133E"/>
    <w:rsid w:val="007318D5"/>
    <w:rsid w:val="00732063"/>
    <w:rsid w:val="00732986"/>
    <w:rsid w:val="00732ABB"/>
    <w:rsid w:val="00732E29"/>
    <w:rsid w:val="00733B55"/>
    <w:rsid w:val="0073419D"/>
    <w:rsid w:val="00735AE9"/>
    <w:rsid w:val="00735CCE"/>
    <w:rsid w:val="00735E30"/>
    <w:rsid w:val="00736083"/>
    <w:rsid w:val="00736084"/>
    <w:rsid w:val="007373B1"/>
    <w:rsid w:val="007379EA"/>
    <w:rsid w:val="00737B78"/>
    <w:rsid w:val="00740864"/>
    <w:rsid w:val="00741070"/>
    <w:rsid w:val="00741ED7"/>
    <w:rsid w:val="007421F2"/>
    <w:rsid w:val="00742677"/>
    <w:rsid w:val="0074307A"/>
    <w:rsid w:val="007436D5"/>
    <w:rsid w:val="0074431A"/>
    <w:rsid w:val="00744C94"/>
    <w:rsid w:val="007462EB"/>
    <w:rsid w:val="007464D2"/>
    <w:rsid w:val="00746A1D"/>
    <w:rsid w:val="0074711D"/>
    <w:rsid w:val="00747200"/>
    <w:rsid w:val="0074733A"/>
    <w:rsid w:val="00747CE1"/>
    <w:rsid w:val="00747FD9"/>
    <w:rsid w:val="00750A7E"/>
    <w:rsid w:val="00750CBE"/>
    <w:rsid w:val="007510A0"/>
    <w:rsid w:val="007517E0"/>
    <w:rsid w:val="0075187E"/>
    <w:rsid w:val="00751A88"/>
    <w:rsid w:val="00752477"/>
    <w:rsid w:val="00752C5C"/>
    <w:rsid w:val="007530BB"/>
    <w:rsid w:val="00753FC7"/>
    <w:rsid w:val="007543C4"/>
    <w:rsid w:val="00754D7E"/>
    <w:rsid w:val="00755CE0"/>
    <w:rsid w:val="00757629"/>
    <w:rsid w:val="00760685"/>
    <w:rsid w:val="00760FF2"/>
    <w:rsid w:val="0076103A"/>
    <w:rsid w:val="00761519"/>
    <w:rsid w:val="0076197F"/>
    <w:rsid w:val="00762AC8"/>
    <w:rsid w:val="00762CC1"/>
    <w:rsid w:val="007638AF"/>
    <w:rsid w:val="00763EFA"/>
    <w:rsid w:val="00764374"/>
    <w:rsid w:val="007643D4"/>
    <w:rsid w:val="007643D9"/>
    <w:rsid w:val="007645C2"/>
    <w:rsid w:val="00764DB1"/>
    <w:rsid w:val="00765609"/>
    <w:rsid w:val="00765709"/>
    <w:rsid w:val="00765862"/>
    <w:rsid w:val="00766218"/>
    <w:rsid w:val="007668B3"/>
    <w:rsid w:val="00767661"/>
    <w:rsid w:val="00767814"/>
    <w:rsid w:val="00767AF8"/>
    <w:rsid w:val="00771408"/>
    <w:rsid w:val="007715C1"/>
    <w:rsid w:val="00771D3E"/>
    <w:rsid w:val="007720E5"/>
    <w:rsid w:val="00772A49"/>
    <w:rsid w:val="00773A95"/>
    <w:rsid w:val="0077507A"/>
    <w:rsid w:val="0077575A"/>
    <w:rsid w:val="0077655A"/>
    <w:rsid w:val="00776785"/>
    <w:rsid w:val="00776E2D"/>
    <w:rsid w:val="00777023"/>
    <w:rsid w:val="0077751C"/>
    <w:rsid w:val="00777626"/>
    <w:rsid w:val="0078171E"/>
    <w:rsid w:val="00782A9E"/>
    <w:rsid w:val="00782C6F"/>
    <w:rsid w:val="00783682"/>
    <w:rsid w:val="00783CA8"/>
    <w:rsid w:val="00783F2D"/>
    <w:rsid w:val="00784232"/>
    <w:rsid w:val="00785761"/>
    <w:rsid w:val="00785CCF"/>
    <w:rsid w:val="00785D55"/>
    <w:rsid w:val="00785FD9"/>
    <w:rsid w:val="00786D09"/>
    <w:rsid w:val="00787126"/>
    <w:rsid w:val="007876BB"/>
    <w:rsid w:val="00787962"/>
    <w:rsid w:val="00787E5B"/>
    <w:rsid w:val="007905A9"/>
    <w:rsid w:val="00792195"/>
    <w:rsid w:val="00792290"/>
    <w:rsid w:val="007928D8"/>
    <w:rsid w:val="007933E0"/>
    <w:rsid w:val="0079347B"/>
    <w:rsid w:val="00793E7F"/>
    <w:rsid w:val="00794BB2"/>
    <w:rsid w:val="00794FE3"/>
    <w:rsid w:val="007953CD"/>
    <w:rsid w:val="00795713"/>
    <w:rsid w:val="00795BB1"/>
    <w:rsid w:val="00795CEE"/>
    <w:rsid w:val="00796256"/>
    <w:rsid w:val="00796A08"/>
    <w:rsid w:val="00796DCA"/>
    <w:rsid w:val="007975A0"/>
    <w:rsid w:val="007978F8"/>
    <w:rsid w:val="007A00E1"/>
    <w:rsid w:val="007A0221"/>
    <w:rsid w:val="007A08F3"/>
    <w:rsid w:val="007A0C07"/>
    <w:rsid w:val="007A1542"/>
    <w:rsid w:val="007A1F3C"/>
    <w:rsid w:val="007A1F44"/>
    <w:rsid w:val="007A2D78"/>
    <w:rsid w:val="007A349D"/>
    <w:rsid w:val="007A36E5"/>
    <w:rsid w:val="007A3999"/>
    <w:rsid w:val="007A3FD8"/>
    <w:rsid w:val="007A4D09"/>
    <w:rsid w:val="007A5ACC"/>
    <w:rsid w:val="007A5E49"/>
    <w:rsid w:val="007A70F2"/>
    <w:rsid w:val="007A7522"/>
    <w:rsid w:val="007A79D4"/>
    <w:rsid w:val="007A7C2F"/>
    <w:rsid w:val="007B0E6D"/>
    <w:rsid w:val="007B16E6"/>
    <w:rsid w:val="007B1A58"/>
    <w:rsid w:val="007B22C1"/>
    <w:rsid w:val="007B3195"/>
    <w:rsid w:val="007B3282"/>
    <w:rsid w:val="007B34C3"/>
    <w:rsid w:val="007B3BFE"/>
    <w:rsid w:val="007B3D1F"/>
    <w:rsid w:val="007B4432"/>
    <w:rsid w:val="007B4823"/>
    <w:rsid w:val="007B4CD3"/>
    <w:rsid w:val="007B5AFF"/>
    <w:rsid w:val="007B5C1B"/>
    <w:rsid w:val="007B621E"/>
    <w:rsid w:val="007B638E"/>
    <w:rsid w:val="007B6C26"/>
    <w:rsid w:val="007B745F"/>
    <w:rsid w:val="007C03E8"/>
    <w:rsid w:val="007C088F"/>
    <w:rsid w:val="007C1109"/>
    <w:rsid w:val="007C1F64"/>
    <w:rsid w:val="007C2BB0"/>
    <w:rsid w:val="007C3D06"/>
    <w:rsid w:val="007C41E2"/>
    <w:rsid w:val="007C4AE4"/>
    <w:rsid w:val="007C5AAA"/>
    <w:rsid w:val="007C5CBE"/>
    <w:rsid w:val="007C6B1D"/>
    <w:rsid w:val="007C736F"/>
    <w:rsid w:val="007C755B"/>
    <w:rsid w:val="007C7AF6"/>
    <w:rsid w:val="007C7E89"/>
    <w:rsid w:val="007D0153"/>
    <w:rsid w:val="007D02C0"/>
    <w:rsid w:val="007D0348"/>
    <w:rsid w:val="007D0502"/>
    <w:rsid w:val="007D0DF6"/>
    <w:rsid w:val="007D101A"/>
    <w:rsid w:val="007D155F"/>
    <w:rsid w:val="007D1D91"/>
    <w:rsid w:val="007D3181"/>
    <w:rsid w:val="007D39F0"/>
    <w:rsid w:val="007D545E"/>
    <w:rsid w:val="007D6A95"/>
    <w:rsid w:val="007E0867"/>
    <w:rsid w:val="007E0A6B"/>
    <w:rsid w:val="007E0A97"/>
    <w:rsid w:val="007E1E92"/>
    <w:rsid w:val="007E2CF1"/>
    <w:rsid w:val="007E4E3A"/>
    <w:rsid w:val="007E5276"/>
    <w:rsid w:val="007E53FF"/>
    <w:rsid w:val="007E5F41"/>
    <w:rsid w:val="007E601B"/>
    <w:rsid w:val="007E70EA"/>
    <w:rsid w:val="007E7245"/>
    <w:rsid w:val="007E7A14"/>
    <w:rsid w:val="007E7D87"/>
    <w:rsid w:val="007F019E"/>
    <w:rsid w:val="007F1CB4"/>
    <w:rsid w:val="007F1FE4"/>
    <w:rsid w:val="007F2165"/>
    <w:rsid w:val="007F27B5"/>
    <w:rsid w:val="007F28F6"/>
    <w:rsid w:val="007F2A40"/>
    <w:rsid w:val="007F338A"/>
    <w:rsid w:val="007F3454"/>
    <w:rsid w:val="007F3851"/>
    <w:rsid w:val="007F3AC8"/>
    <w:rsid w:val="007F4A8C"/>
    <w:rsid w:val="007F5340"/>
    <w:rsid w:val="007F55F8"/>
    <w:rsid w:val="007F5971"/>
    <w:rsid w:val="007F60CE"/>
    <w:rsid w:val="007F7D56"/>
    <w:rsid w:val="00800149"/>
    <w:rsid w:val="0080054C"/>
    <w:rsid w:val="00802356"/>
    <w:rsid w:val="00802F19"/>
    <w:rsid w:val="00803433"/>
    <w:rsid w:val="00804098"/>
    <w:rsid w:val="008042C6"/>
    <w:rsid w:val="00804764"/>
    <w:rsid w:val="00804D30"/>
    <w:rsid w:val="008055E9"/>
    <w:rsid w:val="00805BF2"/>
    <w:rsid w:val="008068A9"/>
    <w:rsid w:val="00806A8D"/>
    <w:rsid w:val="00806EF0"/>
    <w:rsid w:val="00806FF8"/>
    <w:rsid w:val="008073CF"/>
    <w:rsid w:val="008079E2"/>
    <w:rsid w:val="00812436"/>
    <w:rsid w:val="0081277D"/>
    <w:rsid w:val="00813218"/>
    <w:rsid w:val="008139F4"/>
    <w:rsid w:val="008158E2"/>
    <w:rsid w:val="008159B1"/>
    <w:rsid w:val="00816ABE"/>
    <w:rsid w:val="0081797A"/>
    <w:rsid w:val="00817FE5"/>
    <w:rsid w:val="00820004"/>
    <w:rsid w:val="008206B0"/>
    <w:rsid w:val="00820E95"/>
    <w:rsid w:val="00821003"/>
    <w:rsid w:val="008214A6"/>
    <w:rsid w:val="00821798"/>
    <w:rsid w:val="00821A06"/>
    <w:rsid w:val="008227F9"/>
    <w:rsid w:val="00823BE5"/>
    <w:rsid w:val="008243C7"/>
    <w:rsid w:val="0082481D"/>
    <w:rsid w:val="00825752"/>
    <w:rsid w:val="0082600A"/>
    <w:rsid w:val="0082678B"/>
    <w:rsid w:val="00826D81"/>
    <w:rsid w:val="00826DF6"/>
    <w:rsid w:val="0082706F"/>
    <w:rsid w:val="00827242"/>
    <w:rsid w:val="008305D9"/>
    <w:rsid w:val="008315E3"/>
    <w:rsid w:val="00832669"/>
    <w:rsid w:val="008328B0"/>
    <w:rsid w:val="00833BEA"/>
    <w:rsid w:val="00833D1F"/>
    <w:rsid w:val="00833E4F"/>
    <w:rsid w:val="00834DE8"/>
    <w:rsid w:val="00834E28"/>
    <w:rsid w:val="00834E3E"/>
    <w:rsid w:val="00834EDA"/>
    <w:rsid w:val="0083760E"/>
    <w:rsid w:val="008378B9"/>
    <w:rsid w:val="00837AAB"/>
    <w:rsid w:val="00837BEE"/>
    <w:rsid w:val="008402BF"/>
    <w:rsid w:val="00840315"/>
    <w:rsid w:val="0084087D"/>
    <w:rsid w:val="0084168D"/>
    <w:rsid w:val="00841B7B"/>
    <w:rsid w:val="0084235A"/>
    <w:rsid w:val="00842360"/>
    <w:rsid w:val="00842508"/>
    <w:rsid w:val="00842F8E"/>
    <w:rsid w:val="008434A8"/>
    <w:rsid w:val="00843581"/>
    <w:rsid w:val="00843988"/>
    <w:rsid w:val="00843A78"/>
    <w:rsid w:val="00846903"/>
    <w:rsid w:val="0084699D"/>
    <w:rsid w:val="008507DA"/>
    <w:rsid w:val="00850BED"/>
    <w:rsid w:val="00850CE2"/>
    <w:rsid w:val="008515B7"/>
    <w:rsid w:val="0085174B"/>
    <w:rsid w:val="008519FB"/>
    <w:rsid w:val="00851ED0"/>
    <w:rsid w:val="008536EC"/>
    <w:rsid w:val="008536F4"/>
    <w:rsid w:val="00853841"/>
    <w:rsid w:val="00853AE0"/>
    <w:rsid w:val="00854291"/>
    <w:rsid w:val="00855A52"/>
    <w:rsid w:val="00855FF8"/>
    <w:rsid w:val="00856061"/>
    <w:rsid w:val="0085647F"/>
    <w:rsid w:val="00857B13"/>
    <w:rsid w:val="00857DDC"/>
    <w:rsid w:val="00857FBF"/>
    <w:rsid w:val="00862904"/>
    <w:rsid w:val="0086330E"/>
    <w:rsid w:val="00863347"/>
    <w:rsid w:val="008633E6"/>
    <w:rsid w:val="00864350"/>
    <w:rsid w:val="008653CA"/>
    <w:rsid w:val="00870C8B"/>
    <w:rsid w:val="008713E8"/>
    <w:rsid w:val="008715C0"/>
    <w:rsid w:val="00871C24"/>
    <w:rsid w:val="0087219A"/>
    <w:rsid w:val="00872BA3"/>
    <w:rsid w:val="00873514"/>
    <w:rsid w:val="008735A0"/>
    <w:rsid w:val="008735A9"/>
    <w:rsid w:val="00873AC7"/>
    <w:rsid w:val="00873B58"/>
    <w:rsid w:val="00873CC1"/>
    <w:rsid w:val="00873EB5"/>
    <w:rsid w:val="008741B2"/>
    <w:rsid w:val="00874565"/>
    <w:rsid w:val="008746E6"/>
    <w:rsid w:val="00874D2F"/>
    <w:rsid w:val="008755B2"/>
    <w:rsid w:val="00875BE3"/>
    <w:rsid w:val="00876901"/>
    <w:rsid w:val="008771EA"/>
    <w:rsid w:val="00877294"/>
    <w:rsid w:val="00877533"/>
    <w:rsid w:val="00877860"/>
    <w:rsid w:val="00880ABB"/>
    <w:rsid w:val="008817DB"/>
    <w:rsid w:val="00882450"/>
    <w:rsid w:val="008827BB"/>
    <w:rsid w:val="00882E73"/>
    <w:rsid w:val="008830D8"/>
    <w:rsid w:val="008837FB"/>
    <w:rsid w:val="00884650"/>
    <w:rsid w:val="00884F0D"/>
    <w:rsid w:val="00885DF6"/>
    <w:rsid w:val="00886AF0"/>
    <w:rsid w:val="00886F73"/>
    <w:rsid w:val="00887270"/>
    <w:rsid w:val="00887847"/>
    <w:rsid w:val="00887E81"/>
    <w:rsid w:val="00890ABB"/>
    <w:rsid w:val="0089128A"/>
    <w:rsid w:val="00891A0E"/>
    <w:rsid w:val="00891A96"/>
    <w:rsid w:val="008922A2"/>
    <w:rsid w:val="0089386E"/>
    <w:rsid w:val="00893936"/>
    <w:rsid w:val="00893EF6"/>
    <w:rsid w:val="00894343"/>
    <w:rsid w:val="00894CA6"/>
    <w:rsid w:val="00895690"/>
    <w:rsid w:val="0089624D"/>
    <w:rsid w:val="00897283"/>
    <w:rsid w:val="008A01D1"/>
    <w:rsid w:val="008A0786"/>
    <w:rsid w:val="008A08E4"/>
    <w:rsid w:val="008A0DA2"/>
    <w:rsid w:val="008A3DFA"/>
    <w:rsid w:val="008A4068"/>
    <w:rsid w:val="008A42E9"/>
    <w:rsid w:val="008A4A8C"/>
    <w:rsid w:val="008A4E71"/>
    <w:rsid w:val="008A4F4E"/>
    <w:rsid w:val="008A5163"/>
    <w:rsid w:val="008A51CA"/>
    <w:rsid w:val="008A51E9"/>
    <w:rsid w:val="008A5983"/>
    <w:rsid w:val="008A5EB2"/>
    <w:rsid w:val="008A662B"/>
    <w:rsid w:val="008A713F"/>
    <w:rsid w:val="008A73B3"/>
    <w:rsid w:val="008A751B"/>
    <w:rsid w:val="008A7531"/>
    <w:rsid w:val="008A7DE4"/>
    <w:rsid w:val="008B08E6"/>
    <w:rsid w:val="008B0D55"/>
    <w:rsid w:val="008B0FC6"/>
    <w:rsid w:val="008B14A5"/>
    <w:rsid w:val="008B17B9"/>
    <w:rsid w:val="008B17C8"/>
    <w:rsid w:val="008B1D11"/>
    <w:rsid w:val="008B217A"/>
    <w:rsid w:val="008B26F3"/>
    <w:rsid w:val="008B28C2"/>
    <w:rsid w:val="008B3BD7"/>
    <w:rsid w:val="008B5C62"/>
    <w:rsid w:val="008B5D37"/>
    <w:rsid w:val="008B5E67"/>
    <w:rsid w:val="008B6E2D"/>
    <w:rsid w:val="008B6F95"/>
    <w:rsid w:val="008C0B3B"/>
    <w:rsid w:val="008C0EFA"/>
    <w:rsid w:val="008C1530"/>
    <w:rsid w:val="008C16B0"/>
    <w:rsid w:val="008C1867"/>
    <w:rsid w:val="008C1BDB"/>
    <w:rsid w:val="008C1FCF"/>
    <w:rsid w:val="008C2D5F"/>
    <w:rsid w:val="008C2DF2"/>
    <w:rsid w:val="008C2FC1"/>
    <w:rsid w:val="008C364D"/>
    <w:rsid w:val="008C5788"/>
    <w:rsid w:val="008C5FC2"/>
    <w:rsid w:val="008C61D5"/>
    <w:rsid w:val="008C6A9D"/>
    <w:rsid w:val="008C6F4C"/>
    <w:rsid w:val="008D0676"/>
    <w:rsid w:val="008D0DB2"/>
    <w:rsid w:val="008D14A3"/>
    <w:rsid w:val="008D1558"/>
    <w:rsid w:val="008D28C5"/>
    <w:rsid w:val="008D3528"/>
    <w:rsid w:val="008D36D5"/>
    <w:rsid w:val="008D37F3"/>
    <w:rsid w:val="008D4AA6"/>
    <w:rsid w:val="008D5D96"/>
    <w:rsid w:val="008D6151"/>
    <w:rsid w:val="008D633D"/>
    <w:rsid w:val="008E014A"/>
    <w:rsid w:val="008E03A6"/>
    <w:rsid w:val="008E08C9"/>
    <w:rsid w:val="008E0AF4"/>
    <w:rsid w:val="008E1433"/>
    <w:rsid w:val="008E1814"/>
    <w:rsid w:val="008E1B5C"/>
    <w:rsid w:val="008E221A"/>
    <w:rsid w:val="008E366B"/>
    <w:rsid w:val="008E3A2B"/>
    <w:rsid w:val="008E446E"/>
    <w:rsid w:val="008E449D"/>
    <w:rsid w:val="008E5475"/>
    <w:rsid w:val="008E5DAD"/>
    <w:rsid w:val="008E67E5"/>
    <w:rsid w:val="008E6EAF"/>
    <w:rsid w:val="008E73A9"/>
    <w:rsid w:val="008E7A65"/>
    <w:rsid w:val="008F005F"/>
    <w:rsid w:val="008F0095"/>
    <w:rsid w:val="008F01BE"/>
    <w:rsid w:val="008F01F2"/>
    <w:rsid w:val="008F05E0"/>
    <w:rsid w:val="008F0A0A"/>
    <w:rsid w:val="008F0BF4"/>
    <w:rsid w:val="008F1540"/>
    <w:rsid w:val="008F1650"/>
    <w:rsid w:val="008F2011"/>
    <w:rsid w:val="008F20C3"/>
    <w:rsid w:val="008F27CC"/>
    <w:rsid w:val="008F2E01"/>
    <w:rsid w:val="008F366E"/>
    <w:rsid w:val="008F382E"/>
    <w:rsid w:val="008F3E2A"/>
    <w:rsid w:val="008F3E9A"/>
    <w:rsid w:val="008F4771"/>
    <w:rsid w:val="008F536B"/>
    <w:rsid w:val="008F56E4"/>
    <w:rsid w:val="008F61F2"/>
    <w:rsid w:val="008F700E"/>
    <w:rsid w:val="008F7654"/>
    <w:rsid w:val="008F7951"/>
    <w:rsid w:val="008F7C4F"/>
    <w:rsid w:val="008F7E49"/>
    <w:rsid w:val="0090059F"/>
    <w:rsid w:val="00900E55"/>
    <w:rsid w:val="009013E8"/>
    <w:rsid w:val="009017AC"/>
    <w:rsid w:val="009018B5"/>
    <w:rsid w:val="00901B9A"/>
    <w:rsid w:val="009023CE"/>
    <w:rsid w:val="00902642"/>
    <w:rsid w:val="00902720"/>
    <w:rsid w:val="009038A2"/>
    <w:rsid w:val="00903977"/>
    <w:rsid w:val="00903B83"/>
    <w:rsid w:val="00904F6F"/>
    <w:rsid w:val="00905F96"/>
    <w:rsid w:val="00906D11"/>
    <w:rsid w:val="00910DE5"/>
    <w:rsid w:val="00911793"/>
    <w:rsid w:val="009119EC"/>
    <w:rsid w:val="00912295"/>
    <w:rsid w:val="0091249D"/>
    <w:rsid w:val="0091286B"/>
    <w:rsid w:val="0091301A"/>
    <w:rsid w:val="00913616"/>
    <w:rsid w:val="00913652"/>
    <w:rsid w:val="00913D68"/>
    <w:rsid w:val="00913DB8"/>
    <w:rsid w:val="009145E1"/>
    <w:rsid w:val="00914FE2"/>
    <w:rsid w:val="0091592E"/>
    <w:rsid w:val="00915B02"/>
    <w:rsid w:val="00915D89"/>
    <w:rsid w:val="00915E9E"/>
    <w:rsid w:val="0091626D"/>
    <w:rsid w:val="00916658"/>
    <w:rsid w:val="009167E1"/>
    <w:rsid w:val="00916C24"/>
    <w:rsid w:val="009171B4"/>
    <w:rsid w:val="009204C3"/>
    <w:rsid w:val="00920B3D"/>
    <w:rsid w:val="00921414"/>
    <w:rsid w:val="00921694"/>
    <w:rsid w:val="0092183F"/>
    <w:rsid w:val="009218EE"/>
    <w:rsid w:val="00921924"/>
    <w:rsid w:val="00921C5D"/>
    <w:rsid w:val="00921D3D"/>
    <w:rsid w:val="00921D7F"/>
    <w:rsid w:val="00921D8F"/>
    <w:rsid w:val="009225FE"/>
    <w:rsid w:val="00922A55"/>
    <w:rsid w:val="00922C83"/>
    <w:rsid w:val="00922FE3"/>
    <w:rsid w:val="0092301D"/>
    <w:rsid w:val="009240EE"/>
    <w:rsid w:val="009241A3"/>
    <w:rsid w:val="00924305"/>
    <w:rsid w:val="00924CCA"/>
    <w:rsid w:val="00924D02"/>
    <w:rsid w:val="00924F57"/>
    <w:rsid w:val="00925CB5"/>
    <w:rsid w:val="00925DA6"/>
    <w:rsid w:val="00925E60"/>
    <w:rsid w:val="009265A2"/>
    <w:rsid w:val="009265AC"/>
    <w:rsid w:val="00926DFD"/>
    <w:rsid w:val="00926F76"/>
    <w:rsid w:val="00927719"/>
    <w:rsid w:val="00931012"/>
    <w:rsid w:val="00932051"/>
    <w:rsid w:val="00932794"/>
    <w:rsid w:val="00932E09"/>
    <w:rsid w:val="00933183"/>
    <w:rsid w:val="00933935"/>
    <w:rsid w:val="00933C8E"/>
    <w:rsid w:val="00933CB0"/>
    <w:rsid w:val="00933E55"/>
    <w:rsid w:val="00933F15"/>
    <w:rsid w:val="00934198"/>
    <w:rsid w:val="009348CD"/>
    <w:rsid w:val="00934B28"/>
    <w:rsid w:val="00934E84"/>
    <w:rsid w:val="00935181"/>
    <w:rsid w:val="009359FA"/>
    <w:rsid w:val="00936858"/>
    <w:rsid w:val="00936A56"/>
    <w:rsid w:val="00936B4F"/>
    <w:rsid w:val="00936C94"/>
    <w:rsid w:val="00936ECE"/>
    <w:rsid w:val="00937CB1"/>
    <w:rsid w:val="00937DFA"/>
    <w:rsid w:val="00941561"/>
    <w:rsid w:val="00942BDD"/>
    <w:rsid w:val="00943160"/>
    <w:rsid w:val="009431CB"/>
    <w:rsid w:val="0094354E"/>
    <w:rsid w:val="00943568"/>
    <w:rsid w:val="0094378E"/>
    <w:rsid w:val="009438F9"/>
    <w:rsid w:val="009440AD"/>
    <w:rsid w:val="0094458E"/>
    <w:rsid w:val="00944A7F"/>
    <w:rsid w:val="00944DDB"/>
    <w:rsid w:val="0094545D"/>
    <w:rsid w:val="00945780"/>
    <w:rsid w:val="00946532"/>
    <w:rsid w:val="00946AE4"/>
    <w:rsid w:val="00946F49"/>
    <w:rsid w:val="00946FAD"/>
    <w:rsid w:val="00946FDE"/>
    <w:rsid w:val="009500DE"/>
    <w:rsid w:val="0095038F"/>
    <w:rsid w:val="0095125E"/>
    <w:rsid w:val="00951654"/>
    <w:rsid w:val="009516F9"/>
    <w:rsid w:val="00951E75"/>
    <w:rsid w:val="00951E9D"/>
    <w:rsid w:val="009520CD"/>
    <w:rsid w:val="00952130"/>
    <w:rsid w:val="0095253E"/>
    <w:rsid w:val="009528D7"/>
    <w:rsid w:val="00952D97"/>
    <w:rsid w:val="00952DA7"/>
    <w:rsid w:val="0095326A"/>
    <w:rsid w:val="009537C3"/>
    <w:rsid w:val="00953C5F"/>
    <w:rsid w:val="00953EB5"/>
    <w:rsid w:val="00954049"/>
    <w:rsid w:val="00954145"/>
    <w:rsid w:val="00954181"/>
    <w:rsid w:val="009564B9"/>
    <w:rsid w:val="00956923"/>
    <w:rsid w:val="00957558"/>
    <w:rsid w:val="009577F6"/>
    <w:rsid w:val="00957A48"/>
    <w:rsid w:val="00960F55"/>
    <w:rsid w:val="0096149D"/>
    <w:rsid w:val="00961A27"/>
    <w:rsid w:val="00961BB3"/>
    <w:rsid w:val="00961CA9"/>
    <w:rsid w:val="00962178"/>
    <w:rsid w:val="00962602"/>
    <w:rsid w:val="009627D2"/>
    <w:rsid w:val="00962CE8"/>
    <w:rsid w:val="009648FF"/>
    <w:rsid w:val="009650B5"/>
    <w:rsid w:val="00966E2A"/>
    <w:rsid w:val="00967335"/>
    <w:rsid w:val="009676A2"/>
    <w:rsid w:val="00970C3A"/>
    <w:rsid w:val="00970D48"/>
    <w:rsid w:val="00971711"/>
    <w:rsid w:val="00973704"/>
    <w:rsid w:val="0097393A"/>
    <w:rsid w:val="009739AF"/>
    <w:rsid w:val="00973CF3"/>
    <w:rsid w:val="00973D6C"/>
    <w:rsid w:val="00974953"/>
    <w:rsid w:val="00974B99"/>
    <w:rsid w:val="009752FA"/>
    <w:rsid w:val="009753F8"/>
    <w:rsid w:val="00975516"/>
    <w:rsid w:val="00976174"/>
    <w:rsid w:val="0097655E"/>
    <w:rsid w:val="00977239"/>
    <w:rsid w:val="0097753C"/>
    <w:rsid w:val="00980334"/>
    <w:rsid w:val="0098054B"/>
    <w:rsid w:val="00980DE5"/>
    <w:rsid w:val="00981EF2"/>
    <w:rsid w:val="00982694"/>
    <w:rsid w:val="00984BD4"/>
    <w:rsid w:val="00985013"/>
    <w:rsid w:val="009853F8"/>
    <w:rsid w:val="009855CC"/>
    <w:rsid w:val="00985601"/>
    <w:rsid w:val="00985F80"/>
    <w:rsid w:val="00986209"/>
    <w:rsid w:val="0098701D"/>
    <w:rsid w:val="00987500"/>
    <w:rsid w:val="0098775D"/>
    <w:rsid w:val="0099101A"/>
    <w:rsid w:val="009916F9"/>
    <w:rsid w:val="009920E2"/>
    <w:rsid w:val="009927C0"/>
    <w:rsid w:val="00992823"/>
    <w:rsid w:val="00992832"/>
    <w:rsid w:val="009935AE"/>
    <w:rsid w:val="009939B0"/>
    <w:rsid w:val="00994EF3"/>
    <w:rsid w:val="00995515"/>
    <w:rsid w:val="00995E2B"/>
    <w:rsid w:val="00996233"/>
    <w:rsid w:val="009967FE"/>
    <w:rsid w:val="00996F87"/>
    <w:rsid w:val="00997109"/>
    <w:rsid w:val="009972BC"/>
    <w:rsid w:val="00997F44"/>
    <w:rsid w:val="009A00CC"/>
    <w:rsid w:val="009A02B9"/>
    <w:rsid w:val="009A1087"/>
    <w:rsid w:val="009A1A1E"/>
    <w:rsid w:val="009A2032"/>
    <w:rsid w:val="009A3788"/>
    <w:rsid w:val="009A4707"/>
    <w:rsid w:val="009A4D2C"/>
    <w:rsid w:val="009A50C9"/>
    <w:rsid w:val="009A5880"/>
    <w:rsid w:val="009A5A15"/>
    <w:rsid w:val="009A5F65"/>
    <w:rsid w:val="009A6469"/>
    <w:rsid w:val="009A6BB4"/>
    <w:rsid w:val="009A6CB6"/>
    <w:rsid w:val="009A7008"/>
    <w:rsid w:val="009A7B90"/>
    <w:rsid w:val="009B0920"/>
    <w:rsid w:val="009B10DB"/>
    <w:rsid w:val="009B31AE"/>
    <w:rsid w:val="009B3226"/>
    <w:rsid w:val="009B3300"/>
    <w:rsid w:val="009B3DBB"/>
    <w:rsid w:val="009B4323"/>
    <w:rsid w:val="009B4523"/>
    <w:rsid w:val="009B5BEC"/>
    <w:rsid w:val="009B6301"/>
    <w:rsid w:val="009B648C"/>
    <w:rsid w:val="009B68DC"/>
    <w:rsid w:val="009B6E7D"/>
    <w:rsid w:val="009B79DE"/>
    <w:rsid w:val="009C1A4E"/>
    <w:rsid w:val="009C1C29"/>
    <w:rsid w:val="009C2477"/>
    <w:rsid w:val="009C2BE2"/>
    <w:rsid w:val="009C34AA"/>
    <w:rsid w:val="009C3A91"/>
    <w:rsid w:val="009C539A"/>
    <w:rsid w:val="009C53E8"/>
    <w:rsid w:val="009C5CAD"/>
    <w:rsid w:val="009C5CAE"/>
    <w:rsid w:val="009C6835"/>
    <w:rsid w:val="009C6853"/>
    <w:rsid w:val="009C69B0"/>
    <w:rsid w:val="009C6CEF"/>
    <w:rsid w:val="009C72B4"/>
    <w:rsid w:val="009C79B5"/>
    <w:rsid w:val="009C7D47"/>
    <w:rsid w:val="009D0BB9"/>
    <w:rsid w:val="009D0FF5"/>
    <w:rsid w:val="009D1358"/>
    <w:rsid w:val="009D17FC"/>
    <w:rsid w:val="009D23D1"/>
    <w:rsid w:val="009D31BD"/>
    <w:rsid w:val="009D3374"/>
    <w:rsid w:val="009D46C0"/>
    <w:rsid w:val="009D4959"/>
    <w:rsid w:val="009D5528"/>
    <w:rsid w:val="009D5A41"/>
    <w:rsid w:val="009D67E5"/>
    <w:rsid w:val="009D7A50"/>
    <w:rsid w:val="009E0E68"/>
    <w:rsid w:val="009E0FCA"/>
    <w:rsid w:val="009E184F"/>
    <w:rsid w:val="009E19DD"/>
    <w:rsid w:val="009E20AC"/>
    <w:rsid w:val="009E242B"/>
    <w:rsid w:val="009E2602"/>
    <w:rsid w:val="009E396E"/>
    <w:rsid w:val="009E3F99"/>
    <w:rsid w:val="009E43BD"/>
    <w:rsid w:val="009E4769"/>
    <w:rsid w:val="009E4F8B"/>
    <w:rsid w:val="009E5475"/>
    <w:rsid w:val="009E5A9C"/>
    <w:rsid w:val="009E6226"/>
    <w:rsid w:val="009E6A58"/>
    <w:rsid w:val="009E6F4A"/>
    <w:rsid w:val="009E708B"/>
    <w:rsid w:val="009E709D"/>
    <w:rsid w:val="009E71CB"/>
    <w:rsid w:val="009E7400"/>
    <w:rsid w:val="009E7EF9"/>
    <w:rsid w:val="009F0BBB"/>
    <w:rsid w:val="009F0C76"/>
    <w:rsid w:val="009F0FA4"/>
    <w:rsid w:val="009F11A5"/>
    <w:rsid w:val="009F131C"/>
    <w:rsid w:val="009F1CBE"/>
    <w:rsid w:val="009F1FF0"/>
    <w:rsid w:val="009F29C2"/>
    <w:rsid w:val="009F50E6"/>
    <w:rsid w:val="009F5AB8"/>
    <w:rsid w:val="009F5D0A"/>
    <w:rsid w:val="009F6664"/>
    <w:rsid w:val="009F678B"/>
    <w:rsid w:val="009F6EB2"/>
    <w:rsid w:val="009F7D5D"/>
    <w:rsid w:val="00A001A1"/>
    <w:rsid w:val="00A00548"/>
    <w:rsid w:val="00A00986"/>
    <w:rsid w:val="00A015AB"/>
    <w:rsid w:val="00A01CE7"/>
    <w:rsid w:val="00A01E58"/>
    <w:rsid w:val="00A02D87"/>
    <w:rsid w:val="00A02FA0"/>
    <w:rsid w:val="00A03397"/>
    <w:rsid w:val="00A03D84"/>
    <w:rsid w:val="00A0458D"/>
    <w:rsid w:val="00A04BF6"/>
    <w:rsid w:val="00A05436"/>
    <w:rsid w:val="00A054CB"/>
    <w:rsid w:val="00A05D6B"/>
    <w:rsid w:val="00A06697"/>
    <w:rsid w:val="00A06B36"/>
    <w:rsid w:val="00A072AF"/>
    <w:rsid w:val="00A07320"/>
    <w:rsid w:val="00A076DA"/>
    <w:rsid w:val="00A07BFD"/>
    <w:rsid w:val="00A10D57"/>
    <w:rsid w:val="00A1128C"/>
    <w:rsid w:val="00A12580"/>
    <w:rsid w:val="00A12DB3"/>
    <w:rsid w:val="00A13199"/>
    <w:rsid w:val="00A143BB"/>
    <w:rsid w:val="00A144B1"/>
    <w:rsid w:val="00A152D5"/>
    <w:rsid w:val="00A15EA3"/>
    <w:rsid w:val="00A16063"/>
    <w:rsid w:val="00A166AB"/>
    <w:rsid w:val="00A16C13"/>
    <w:rsid w:val="00A177CC"/>
    <w:rsid w:val="00A178BF"/>
    <w:rsid w:val="00A20514"/>
    <w:rsid w:val="00A207CD"/>
    <w:rsid w:val="00A211D5"/>
    <w:rsid w:val="00A2357E"/>
    <w:rsid w:val="00A23615"/>
    <w:rsid w:val="00A247C9"/>
    <w:rsid w:val="00A26BBD"/>
    <w:rsid w:val="00A27DC2"/>
    <w:rsid w:val="00A27E27"/>
    <w:rsid w:val="00A301BE"/>
    <w:rsid w:val="00A302E8"/>
    <w:rsid w:val="00A30314"/>
    <w:rsid w:val="00A306B0"/>
    <w:rsid w:val="00A30DD5"/>
    <w:rsid w:val="00A30E3A"/>
    <w:rsid w:val="00A312DD"/>
    <w:rsid w:val="00A31667"/>
    <w:rsid w:val="00A3178B"/>
    <w:rsid w:val="00A31A71"/>
    <w:rsid w:val="00A31FE4"/>
    <w:rsid w:val="00A323E5"/>
    <w:rsid w:val="00A329C4"/>
    <w:rsid w:val="00A32E85"/>
    <w:rsid w:val="00A33262"/>
    <w:rsid w:val="00A33421"/>
    <w:rsid w:val="00A339A5"/>
    <w:rsid w:val="00A33F1C"/>
    <w:rsid w:val="00A340DC"/>
    <w:rsid w:val="00A34A7C"/>
    <w:rsid w:val="00A34EEF"/>
    <w:rsid w:val="00A3508E"/>
    <w:rsid w:val="00A3534A"/>
    <w:rsid w:val="00A35AAA"/>
    <w:rsid w:val="00A35FE0"/>
    <w:rsid w:val="00A361BF"/>
    <w:rsid w:val="00A3650A"/>
    <w:rsid w:val="00A365E7"/>
    <w:rsid w:val="00A36BED"/>
    <w:rsid w:val="00A42924"/>
    <w:rsid w:val="00A436C4"/>
    <w:rsid w:val="00A44D86"/>
    <w:rsid w:val="00A44EA0"/>
    <w:rsid w:val="00A45D47"/>
    <w:rsid w:val="00A46220"/>
    <w:rsid w:val="00A46A6B"/>
    <w:rsid w:val="00A46D6A"/>
    <w:rsid w:val="00A46F6B"/>
    <w:rsid w:val="00A50681"/>
    <w:rsid w:val="00A50706"/>
    <w:rsid w:val="00A511B9"/>
    <w:rsid w:val="00A517DF"/>
    <w:rsid w:val="00A52AA7"/>
    <w:rsid w:val="00A539A1"/>
    <w:rsid w:val="00A53C3D"/>
    <w:rsid w:val="00A53D51"/>
    <w:rsid w:val="00A54D9C"/>
    <w:rsid w:val="00A552A0"/>
    <w:rsid w:val="00A55977"/>
    <w:rsid w:val="00A55FCD"/>
    <w:rsid w:val="00A565ED"/>
    <w:rsid w:val="00A56866"/>
    <w:rsid w:val="00A569EA"/>
    <w:rsid w:val="00A56BEA"/>
    <w:rsid w:val="00A60047"/>
    <w:rsid w:val="00A60969"/>
    <w:rsid w:val="00A614ED"/>
    <w:rsid w:val="00A61FC3"/>
    <w:rsid w:val="00A6212D"/>
    <w:rsid w:val="00A62316"/>
    <w:rsid w:val="00A6247F"/>
    <w:rsid w:val="00A6326B"/>
    <w:rsid w:val="00A636CF"/>
    <w:rsid w:val="00A641C3"/>
    <w:rsid w:val="00A64373"/>
    <w:rsid w:val="00A646D8"/>
    <w:rsid w:val="00A64EAD"/>
    <w:rsid w:val="00A652C3"/>
    <w:rsid w:val="00A659AB"/>
    <w:rsid w:val="00A65EBD"/>
    <w:rsid w:val="00A66237"/>
    <w:rsid w:val="00A663B7"/>
    <w:rsid w:val="00A66934"/>
    <w:rsid w:val="00A670FB"/>
    <w:rsid w:val="00A676EC"/>
    <w:rsid w:val="00A705A8"/>
    <w:rsid w:val="00A71013"/>
    <w:rsid w:val="00A71241"/>
    <w:rsid w:val="00A713F4"/>
    <w:rsid w:val="00A7163F"/>
    <w:rsid w:val="00A71924"/>
    <w:rsid w:val="00A71C1D"/>
    <w:rsid w:val="00A71F9A"/>
    <w:rsid w:val="00A7219D"/>
    <w:rsid w:val="00A723B9"/>
    <w:rsid w:val="00A72E43"/>
    <w:rsid w:val="00A74897"/>
    <w:rsid w:val="00A7550D"/>
    <w:rsid w:val="00A755B3"/>
    <w:rsid w:val="00A759B8"/>
    <w:rsid w:val="00A75F7F"/>
    <w:rsid w:val="00A7708B"/>
    <w:rsid w:val="00A771D0"/>
    <w:rsid w:val="00A7789D"/>
    <w:rsid w:val="00A77936"/>
    <w:rsid w:val="00A80C8D"/>
    <w:rsid w:val="00A80F89"/>
    <w:rsid w:val="00A810B9"/>
    <w:rsid w:val="00A8113A"/>
    <w:rsid w:val="00A81252"/>
    <w:rsid w:val="00A827F6"/>
    <w:rsid w:val="00A82943"/>
    <w:rsid w:val="00A83214"/>
    <w:rsid w:val="00A83384"/>
    <w:rsid w:val="00A8424A"/>
    <w:rsid w:val="00A86017"/>
    <w:rsid w:val="00A86E8E"/>
    <w:rsid w:val="00A872DB"/>
    <w:rsid w:val="00A87B56"/>
    <w:rsid w:val="00A87F19"/>
    <w:rsid w:val="00A90722"/>
    <w:rsid w:val="00A907EA"/>
    <w:rsid w:val="00A90818"/>
    <w:rsid w:val="00A90C08"/>
    <w:rsid w:val="00A9189B"/>
    <w:rsid w:val="00A918D9"/>
    <w:rsid w:val="00A91D2B"/>
    <w:rsid w:val="00A9290D"/>
    <w:rsid w:val="00A93B84"/>
    <w:rsid w:val="00A942E0"/>
    <w:rsid w:val="00A94BD4"/>
    <w:rsid w:val="00A95074"/>
    <w:rsid w:val="00A9547E"/>
    <w:rsid w:val="00A96003"/>
    <w:rsid w:val="00A96032"/>
    <w:rsid w:val="00A965F7"/>
    <w:rsid w:val="00A97436"/>
    <w:rsid w:val="00A97823"/>
    <w:rsid w:val="00AA03B5"/>
    <w:rsid w:val="00AA2141"/>
    <w:rsid w:val="00AA23E0"/>
    <w:rsid w:val="00AA2726"/>
    <w:rsid w:val="00AA3C3E"/>
    <w:rsid w:val="00AA3EBC"/>
    <w:rsid w:val="00AA430C"/>
    <w:rsid w:val="00AA57EF"/>
    <w:rsid w:val="00AA5FE1"/>
    <w:rsid w:val="00AA6AFE"/>
    <w:rsid w:val="00AA71F7"/>
    <w:rsid w:val="00AA7791"/>
    <w:rsid w:val="00AB0082"/>
    <w:rsid w:val="00AB0B15"/>
    <w:rsid w:val="00AB102D"/>
    <w:rsid w:val="00AB1738"/>
    <w:rsid w:val="00AB1B57"/>
    <w:rsid w:val="00AB1E51"/>
    <w:rsid w:val="00AB2187"/>
    <w:rsid w:val="00AB26E3"/>
    <w:rsid w:val="00AB2DF0"/>
    <w:rsid w:val="00AB2F99"/>
    <w:rsid w:val="00AB355F"/>
    <w:rsid w:val="00AB3BCA"/>
    <w:rsid w:val="00AB47D6"/>
    <w:rsid w:val="00AB4FFE"/>
    <w:rsid w:val="00AB5073"/>
    <w:rsid w:val="00AB5B21"/>
    <w:rsid w:val="00AB5D60"/>
    <w:rsid w:val="00AB6714"/>
    <w:rsid w:val="00AB6CD8"/>
    <w:rsid w:val="00AB72A7"/>
    <w:rsid w:val="00AC0487"/>
    <w:rsid w:val="00AC0960"/>
    <w:rsid w:val="00AC3431"/>
    <w:rsid w:val="00AC3509"/>
    <w:rsid w:val="00AC375A"/>
    <w:rsid w:val="00AC391E"/>
    <w:rsid w:val="00AC3A87"/>
    <w:rsid w:val="00AC4729"/>
    <w:rsid w:val="00AC54F3"/>
    <w:rsid w:val="00AC5D2F"/>
    <w:rsid w:val="00AD03D1"/>
    <w:rsid w:val="00AD0BEC"/>
    <w:rsid w:val="00AD0D28"/>
    <w:rsid w:val="00AD24CC"/>
    <w:rsid w:val="00AD261B"/>
    <w:rsid w:val="00AD2F11"/>
    <w:rsid w:val="00AD38E2"/>
    <w:rsid w:val="00AD460D"/>
    <w:rsid w:val="00AD4E3B"/>
    <w:rsid w:val="00AD56CA"/>
    <w:rsid w:val="00AD57A1"/>
    <w:rsid w:val="00AD6937"/>
    <w:rsid w:val="00AD6D96"/>
    <w:rsid w:val="00AD71C0"/>
    <w:rsid w:val="00AD732B"/>
    <w:rsid w:val="00AE02A3"/>
    <w:rsid w:val="00AE04BF"/>
    <w:rsid w:val="00AE0515"/>
    <w:rsid w:val="00AE0B2A"/>
    <w:rsid w:val="00AE0C75"/>
    <w:rsid w:val="00AE0F8F"/>
    <w:rsid w:val="00AE1F5A"/>
    <w:rsid w:val="00AE204A"/>
    <w:rsid w:val="00AE2449"/>
    <w:rsid w:val="00AE2E77"/>
    <w:rsid w:val="00AE31F6"/>
    <w:rsid w:val="00AE3A4E"/>
    <w:rsid w:val="00AE4314"/>
    <w:rsid w:val="00AE4B2F"/>
    <w:rsid w:val="00AE4E07"/>
    <w:rsid w:val="00AE54A5"/>
    <w:rsid w:val="00AE5A15"/>
    <w:rsid w:val="00AE6259"/>
    <w:rsid w:val="00AE637B"/>
    <w:rsid w:val="00AE671E"/>
    <w:rsid w:val="00AE6B32"/>
    <w:rsid w:val="00AE6FC1"/>
    <w:rsid w:val="00AE7BCE"/>
    <w:rsid w:val="00AE7C08"/>
    <w:rsid w:val="00AF0B6C"/>
    <w:rsid w:val="00AF0C61"/>
    <w:rsid w:val="00AF16FC"/>
    <w:rsid w:val="00AF2C59"/>
    <w:rsid w:val="00AF2C94"/>
    <w:rsid w:val="00AF2CFE"/>
    <w:rsid w:val="00AF2DD1"/>
    <w:rsid w:val="00AF343E"/>
    <w:rsid w:val="00AF37F9"/>
    <w:rsid w:val="00AF384B"/>
    <w:rsid w:val="00AF3B5E"/>
    <w:rsid w:val="00AF41C4"/>
    <w:rsid w:val="00AF4891"/>
    <w:rsid w:val="00AF4F14"/>
    <w:rsid w:val="00AF515B"/>
    <w:rsid w:val="00AF5436"/>
    <w:rsid w:val="00AF5F6B"/>
    <w:rsid w:val="00AF6D14"/>
    <w:rsid w:val="00AF7FB4"/>
    <w:rsid w:val="00B002A1"/>
    <w:rsid w:val="00B00643"/>
    <w:rsid w:val="00B00792"/>
    <w:rsid w:val="00B00793"/>
    <w:rsid w:val="00B00F00"/>
    <w:rsid w:val="00B01EAA"/>
    <w:rsid w:val="00B023B8"/>
    <w:rsid w:val="00B023D7"/>
    <w:rsid w:val="00B03848"/>
    <w:rsid w:val="00B03E18"/>
    <w:rsid w:val="00B04BDA"/>
    <w:rsid w:val="00B04FEA"/>
    <w:rsid w:val="00B051E6"/>
    <w:rsid w:val="00B05803"/>
    <w:rsid w:val="00B05E55"/>
    <w:rsid w:val="00B065C7"/>
    <w:rsid w:val="00B067D9"/>
    <w:rsid w:val="00B0712E"/>
    <w:rsid w:val="00B07A72"/>
    <w:rsid w:val="00B07B94"/>
    <w:rsid w:val="00B10444"/>
    <w:rsid w:val="00B1121F"/>
    <w:rsid w:val="00B11633"/>
    <w:rsid w:val="00B11A66"/>
    <w:rsid w:val="00B1241D"/>
    <w:rsid w:val="00B12E08"/>
    <w:rsid w:val="00B13128"/>
    <w:rsid w:val="00B1362E"/>
    <w:rsid w:val="00B13E62"/>
    <w:rsid w:val="00B14063"/>
    <w:rsid w:val="00B143CF"/>
    <w:rsid w:val="00B148C5"/>
    <w:rsid w:val="00B1619B"/>
    <w:rsid w:val="00B16AB1"/>
    <w:rsid w:val="00B2008D"/>
    <w:rsid w:val="00B2035D"/>
    <w:rsid w:val="00B20D7E"/>
    <w:rsid w:val="00B21935"/>
    <w:rsid w:val="00B21D6F"/>
    <w:rsid w:val="00B21EA4"/>
    <w:rsid w:val="00B22065"/>
    <w:rsid w:val="00B22574"/>
    <w:rsid w:val="00B23C07"/>
    <w:rsid w:val="00B25315"/>
    <w:rsid w:val="00B25819"/>
    <w:rsid w:val="00B25AC5"/>
    <w:rsid w:val="00B25E41"/>
    <w:rsid w:val="00B26043"/>
    <w:rsid w:val="00B267BE"/>
    <w:rsid w:val="00B26FDE"/>
    <w:rsid w:val="00B27843"/>
    <w:rsid w:val="00B301CF"/>
    <w:rsid w:val="00B30537"/>
    <w:rsid w:val="00B30676"/>
    <w:rsid w:val="00B30823"/>
    <w:rsid w:val="00B311CF"/>
    <w:rsid w:val="00B31D0A"/>
    <w:rsid w:val="00B31EAD"/>
    <w:rsid w:val="00B3338D"/>
    <w:rsid w:val="00B33AE3"/>
    <w:rsid w:val="00B33E27"/>
    <w:rsid w:val="00B33FFB"/>
    <w:rsid w:val="00B34052"/>
    <w:rsid w:val="00B352B4"/>
    <w:rsid w:val="00B3650D"/>
    <w:rsid w:val="00B3654E"/>
    <w:rsid w:val="00B365DE"/>
    <w:rsid w:val="00B36936"/>
    <w:rsid w:val="00B36EB9"/>
    <w:rsid w:val="00B37767"/>
    <w:rsid w:val="00B37D2B"/>
    <w:rsid w:val="00B40092"/>
    <w:rsid w:val="00B40410"/>
    <w:rsid w:val="00B41A78"/>
    <w:rsid w:val="00B42457"/>
    <w:rsid w:val="00B42829"/>
    <w:rsid w:val="00B42F48"/>
    <w:rsid w:val="00B4379C"/>
    <w:rsid w:val="00B43CC4"/>
    <w:rsid w:val="00B43FA2"/>
    <w:rsid w:val="00B4461A"/>
    <w:rsid w:val="00B44690"/>
    <w:rsid w:val="00B45059"/>
    <w:rsid w:val="00B45AAA"/>
    <w:rsid w:val="00B46CD8"/>
    <w:rsid w:val="00B5033F"/>
    <w:rsid w:val="00B50DDE"/>
    <w:rsid w:val="00B5188E"/>
    <w:rsid w:val="00B51ED1"/>
    <w:rsid w:val="00B51F11"/>
    <w:rsid w:val="00B5293F"/>
    <w:rsid w:val="00B52D3D"/>
    <w:rsid w:val="00B52F87"/>
    <w:rsid w:val="00B540E2"/>
    <w:rsid w:val="00B5447E"/>
    <w:rsid w:val="00B55BC4"/>
    <w:rsid w:val="00B55EF8"/>
    <w:rsid w:val="00B56335"/>
    <w:rsid w:val="00B5652C"/>
    <w:rsid w:val="00B57366"/>
    <w:rsid w:val="00B575D3"/>
    <w:rsid w:val="00B6088B"/>
    <w:rsid w:val="00B61131"/>
    <w:rsid w:val="00B61471"/>
    <w:rsid w:val="00B616B2"/>
    <w:rsid w:val="00B62257"/>
    <w:rsid w:val="00B6232F"/>
    <w:rsid w:val="00B62E5C"/>
    <w:rsid w:val="00B62EAE"/>
    <w:rsid w:val="00B632A8"/>
    <w:rsid w:val="00B63657"/>
    <w:rsid w:val="00B63B4F"/>
    <w:rsid w:val="00B63DB5"/>
    <w:rsid w:val="00B641AD"/>
    <w:rsid w:val="00B64F3E"/>
    <w:rsid w:val="00B6519C"/>
    <w:rsid w:val="00B65B2C"/>
    <w:rsid w:val="00B65B66"/>
    <w:rsid w:val="00B670FA"/>
    <w:rsid w:val="00B67367"/>
    <w:rsid w:val="00B70206"/>
    <w:rsid w:val="00B70EA0"/>
    <w:rsid w:val="00B713E3"/>
    <w:rsid w:val="00B7144A"/>
    <w:rsid w:val="00B71819"/>
    <w:rsid w:val="00B72B03"/>
    <w:rsid w:val="00B73029"/>
    <w:rsid w:val="00B732D1"/>
    <w:rsid w:val="00B73B2B"/>
    <w:rsid w:val="00B73DAF"/>
    <w:rsid w:val="00B74815"/>
    <w:rsid w:val="00B760AD"/>
    <w:rsid w:val="00B766F8"/>
    <w:rsid w:val="00B7682E"/>
    <w:rsid w:val="00B76BDA"/>
    <w:rsid w:val="00B77153"/>
    <w:rsid w:val="00B77379"/>
    <w:rsid w:val="00B8018D"/>
    <w:rsid w:val="00B8058D"/>
    <w:rsid w:val="00B81359"/>
    <w:rsid w:val="00B8201A"/>
    <w:rsid w:val="00B8280F"/>
    <w:rsid w:val="00B833C7"/>
    <w:rsid w:val="00B83C59"/>
    <w:rsid w:val="00B846FD"/>
    <w:rsid w:val="00B851C7"/>
    <w:rsid w:val="00B851CE"/>
    <w:rsid w:val="00B85590"/>
    <w:rsid w:val="00B85845"/>
    <w:rsid w:val="00B8620B"/>
    <w:rsid w:val="00B865B0"/>
    <w:rsid w:val="00B87518"/>
    <w:rsid w:val="00B87556"/>
    <w:rsid w:val="00B91614"/>
    <w:rsid w:val="00B916C9"/>
    <w:rsid w:val="00B91843"/>
    <w:rsid w:val="00B944BB"/>
    <w:rsid w:val="00B95959"/>
    <w:rsid w:val="00B95AEF"/>
    <w:rsid w:val="00B9628A"/>
    <w:rsid w:val="00B967F9"/>
    <w:rsid w:val="00B96A22"/>
    <w:rsid w:val="00B96AB7"/>
    <w:rsid w:val="00B978EC"/>
    <w:rsid w:val="00B97C7F"/>
    <w:rsid w:val="00B97F83"/>
    <w:rsid w:val="00BA0DE2"/>
    <w:rsid w:val="00BA10F6"/>
    <w:rsid w:val="00BA15D3"/>
    <w:rsid w:val="00BA1AA9"/>
    <w:rsid w:val="00BA229F"/>
    <w:rsid w:val="00BA25D1"/>
    <w:rsid w:val="00BA2A25"/>
    <w:rsid w:val="00BA2A67"/>
    <w:rsid w:val="00BA3A70"/>
    <w:rsid w:val="00BA3ADB"/>
    <w:rsid w:val="00BA3D4B"/>
    <w:rsid w:val="00BA53E3"/>
    <w:rsid w:val="00BA5600"/>
    <w:rsid w:val="00BA5C99"/>
    <w:rsid w:val="00BA5CEB"/>
    <w:rsid w:val="00BA6C3F"/>
    <w:rsid w:val="00BA6DE9"/>
    <w:rsid w:val="00BA751A"/>
    <w:rsid w:val="00BA7A93"/>
    <w:rsid w:val="00BA7AB6"/>
    <w:rsid w:val="00BB04C9"/>
    <w:rsid w:val="00BB0527"/>
    <w:rsid w:val="00BB0C76"/>
    <w:rsid w:val="00BB1101"/>
    <w:rsid w:val="00BB1552"/>
    <w:rsid w:val="00BB2086"/>
    <w:rsid w:val="00BB2439"/>
    <w:rsid w:val="00BB2D28"/>
    <w:rsid w:val="00BB43C5"/>
    <w:rsid w:val="00BB4475"/>
    <w:rsid w:val="00BB486B"/>
    <w:rsid w:val="00BB4872"/>
    <w:rsid w:val="00BB4FA4"/>
    <w:rsid w:val="00BB53A9"/>
    <w:rsid w:val="00BB5B75"/>
    <w:rsid w:val="00BB6144"/>
    <w:rsid w:val="00BB6550"/>
    <w:rsid w:val="00BB6750"/>
    <w:rsid w:val="00BB70CA"/>
    <w:rsid w:val="00BB776F"/>
    <w:rsid w:val="00BB7BEE"/>
    <w:rsid w:val="00BB7C83"/>
    <w:rsid w:val="00BC0701"/>
    <w:rsid w:val="00BC15C1"/>
    <w:rsid w:val="00BC175D"/>
    <w:rsid w:val="00BC37E7"/>
    <w:rsid w:val="00BC3D1B"/>
    <w:rsid w:val="00BC3E29"/>
    <w:rsid w:val="00BC4142"/>
    <w:rsid w:val="00BC46D5"/>
    <w:rsid w:val="00BC4BDC"/>
    <w:rsid w:val="00BC5505"/>
    <w:rsid w:val="00BC622D"/>
    <w:rsid w:val="00BC64D2"/>
    <w:rsid w:val="00BC6780"/>
    <w:rsid w:val="00BC7545"/>
    <w:rsid w:val="00BD019B"/>
    <w:rsid w:val="00BD04A3"/>
    <w:rsid w:val="00BD0FAE"/>
    <w:rsid w:val="00BD17D2"/>
    <w:rsid w:val="00BD21EB"/>
    <w:rsid w:val="00BD28EA"/>
    <w:rsid w:val="00BD30C5"/>
    <w:rsid w:val="00BD3F71"/>
    <w:rsid w:val="00BD4A97"/>
    <w:rsid w:val="00BD50A6"/>
    <w:rsid w:val="00BD52BA"/>
    <w:rsid w:val="00BD585D"/>
    <w:rsid w:val="00BD58B1"/>
    <w:rsid w:val="00BD58C8"/>
    <w:rsid w:val="00BD5901"/>
    <w:rsid w:val="00BD5D4A"/>
    <w:rsid w:val="00BD609A"/>
    <w:rsid w:val="00BD641B"/>
    <w:rsid w:val="00BD6743"/>
    <w:rsid w:val="00BD7BBC"/>
    <w:rsid w:val="00BD7F80"/>
    <w:rsid w:val="00BE0108"/>
    <w:rsid w:val="00BE04C1"/>
    <w:rsid w:val="00BE0D02"/>
    <w:rsid w:val="00BE0D58"/>
    <w:rsid w:val="00BE12C4"/>
    <w:rsid w:val="00BE17F6"/>
    <w:rsid w:val="00BE26BA"/>
    <w:rsid w:val="00BE46C4"/>
    <w:rsid w:val="00BE5B21"/>
    <w:rsid w:val="00BE5BF9"/>
    <w:rsid w:val="00BE65D5"/>
    <w:rsid w:val="00BE66ED"/>
    <w:rsid w:val="00BE676C"/>
    <w:rsid w:val="00BF00BF"/>
    <w:rsid w:val="00BF1335"/>
    <w:rsid w:val="00BF13CA"/>
    <w:rsid w:val="00BF14F2"/>
    <w:rsid w:val="00BF1687"/>
    <w:rsid w:val="00BF190F"/>
    <w:rsid w:val="00BF1AF2"/>
    <w:rsid w:val="00BF1C02"/>
    <w:rsid w:val="00BF2F51"/>
    <w:rsid w:val="00BF34FF"/>
    <w:rsid w:val="00BF3705"/>
    <w:rsid w:val="00BF38D8"/>
    <w:rsid w:val="00BF3A75"/>
    <w:rsid w:val="00BF3B20"/>
    <w:rsid w:val="00BF3D41"/>
    <w:rsid w:val="00BF4101"/>
    <w:rsid w:val="00BF4A4E"/>
    <w:rsid w:val="00BF5928"/>
    <w:rsid w:val="00BF64AA"/>
    <w:rsid w:val="00BF735C"/>
    <w:rsid w:val="00BF7671"/>
    <w:rsid w:val="00BF78C7"/>
    <w:rsid w:val="00C00BCD"/>
    <w:rsid w:val="00C00E13"/>
    <w:rsid w:val="00C01CE0"/>
    <w:rsid w:val="00C01F4E"/>
    <w:rsid w:val="00C02486"/>
    <w:rsid w:val="00C025BD"/>
    <w:rsid w:val="00C03396"/>
    <w:rsid w:val="00C03BC9"/>
    <w:rsid w:val="00C03EEA"/>
    <w:rsid w:val="00C03FE7"/>
    <w:rsid w:val="00C0472B"/>
    <w:rsid w:val="00C0498C"/>
    <w:rsid w:val="00C0563E"/>
    <w:rsid w:val="00C05A16"/>
    <w:rsid w:val="00C05C19"/>
    <w:rsid w:val="00C05C7E"/>
    <w:rsid w:val="00C06A0C"/>
    <w:rsid w:val="00C06AD0"/>
    <w:rsid w:val="00C06C37"/>
    <w:rsid w:val="00C06F9A"/>
    <w:rsid w:val="00C07F09"/>
    <w:rsid w:val="00C1007D"/>
    <w:rsid w:val="00C10DFF"/>
    <w:rsid w:val="00C10F6C"/>
    <w:rsid w:val="00C11BBE"/>
    <w:rsid w:val="00C11CD0"/>
    <w:rsid w:val="00C1216F"/>
    <w:rsid w:val="00C125FD"/>
    <w:rsid w:val="00C12DC2"/>
    <w:rsid w:val="00C13013"/>
    <w:rsid w:val="00C131F6"/>
    <w:rsid w:val="00C134C0"/>
    <w:rsid w:val="00C1397E"/>
    <w:rsid w:val="00C13F1C"/>
    <w:rsid w:val="00C14E2E"/>
    <w:rsid w:val="00C14E39"/>
    <w:rsid w:val="00C15174"/>
    <w:rsid w:val="00C15631"/>
    <w:rsid w:val="00C1589B"/>
    <w:rsid w:val="00C158B2"/>
    <w:rsid w:val="00C15900"/>
    <w:rsid w:val="00C15D8B"/>
    <w:rsid w:val="00C15FAB"/>
    <w:rsid w:val="00C17724"/>
    <w:rsid w:val="00C17CB7"/>
    <w:rsid w:val="00C20257"/>
    <w:rsid w:val="00C203C6"/>
    <w:rsid w:val="00C20543"/>
    <w:rsid w:val="00C205A5"/>
    <w:rsid w:val="00C20F75"/>
    <w:rsid w:val="00C215D4"/>
    <w:rsid w:val="00C21D12"/>
    <w:rsid w:val="00C22042"/>
    <w:rsid w:val="00C22508"/>
    <w:rsid w:val="00C22683"/>
    <w:rsid w:val="00C227F0"/>
    <w:rsid w:val="00C23AB9"/>
    <w:rsid w:val="00C2424C"/>
    <w:rsid w:val="00C24EA0"/>
    <w:rsid w:val="00C250B5"/>
    <w:rsid w:val="00C254AF"/>
    <w:rsid w:val="00C25D17"/>
    <w:rsid w:val="00C25DB2"/>
    <w:rsid w:val="00C261D5"/>
    <w:rsid w:val="00C2678A"/>
    <w:rsid w:val="00C26F02"/>
    <w:rsid w:val="00C270AE"/>
    <w:rsid w:val="00C273BC"/>
    <w:rsid w:val="00C276BE"/>
    <w:rsid w:val="00C27776"/>
    <w:rsid w:val="00C278B7"/>
    <w:rsid w:val="00C27C57"/>
    <w:rsid w:val="00C27D9D"/>
    <w:rsid w:val="00C30178"/>
    <w:rsid w:val="00C30C69"/>
    <w:rsid w:val="00C31393"/>
    <w:rsid w:val="00C317B9"/>
    <w:rsid w:val="00C31AB0"/>
    <w:rsid w:val="00C31DCF"/>
    <w:rsid w:val="00C3303B"/>
    <w:rsid w:val="00C33188"/>
    <w:rsid w:val="00C3387F"/>
    <w:rsid w:val="00C338F0"/>
    <w:rsid w:val="00C340F8"/>
    <w:rsid w:val="00C35463"/>
    <w:rsid w:val="00C35AAD"/>
    <w:rsid w:val="00C35EB1"/>
    <w:rsid w:val="00C35F16"/>
    <w:rsid w:val="00C379BC"/>
    <w:rsid w:val="00C4056B"/>
    <w:rsid w:val="00C407F7"/>
    <w:rsid w:val="00C40BBD"/>
    <w:rsid w:val="00C41184"/>
    <w:rsid w:val="00C4258D"/>
    <w:rsid w:val="00C42B98"/>
    <w:rsid w:val="00C42D3D"/>
    <w:rsid w:val="00C43E84"/>
    <w:rsid w:val="00C4408E"/>
    <w:rsid w:val="00C444AC"/>
    <w:rsid w:val="00C44B07"/>
    <w:rsid w:val="00C45471"/>
    <w:rsid w:val="00C45CCE"/>
    <w:rsid w:val="00C46C8E"/>
    <w:rsid w:val="00C47A51"/>
    <w:rsid w:val="00C5023D"/>
    <w:rsid w:val="00C50FD5"/>
    <w:rsid w:val="00C5150B"/>
    <w:rsid w:val="00C527D7"/>
    <w:rsid w:val="00C5340F"/>
    <w:rsid w:val="00C53589"/>
    <w:rsid w:val="00C5366D"/>
    <w:rsid w:val="00C5492E"/>
    <w:rsid w:val="00C55322"/>
    <w:rsid w:val="00C56BA3"/>
    <w:rsid w:val="00C578A5"/>
    <w:rsid w:val="00C57F46"/>
    <w:rsid w:val="00C600F6"/>
    <w:rsid w:val="00C60186"/>
    <w:rsid w:val="00C6020D"/>
    <w:rsid w:val="00C619AA"/>
    <w:rsid w:val="00C61FA7"/>
    <w:rsid w:val="00C62602"/>
    <w:rsid w:val="00C630E9"/>
    <w:rsid w:val="00C64746"/>
    <w:rsid w:val="00C64A60"/>
    <w:rsid w:val="00C64E7D"/>
    <w:rsid w:val="00C64EFE"/>
    <w:rsid w:val="00C6568D"/>
    <w:rsid w:val="00C667B2"/>
    <w:rsid w:val="00C66DCE"/>
    <w:rsid w:val="00C66F71"/>
    <w:rsid w:val="00C6735E"/>
    <w:rsid w:val="00C6799B"/>
    <w:rsid w:val="00C67ACD"/>
    <w:rsid w:val="00C7019D"/>
    <w:rsid w:val="00C70229"/>
    <w:rsid w:val="00C702DD"/>
    <w:rsid w:val="00C70494"/>
    <w:rsid w:val="00C70654"/>
    <w:rsid w:val="00C70DA0"/>
    <w:rsid w:val="00C70FF4"/>
    <w:rsid w:val="00C7193B"/>
    <w:rsid w:val="00C71C56"/>
    <w:rsid w:val="00C71D8F"/>
    <w:rsid w:val="00C72740"/>
    <w:rsid w:val="00C729CB"/>
    <w:rsid w:val="00C734E7"/>
    <w:rsid w:val="00C73A69"/>
    <w:rsid w:val="00C73C8A"/>
    <w:rsid w:val="00C73DAF"/>
    <w:rsid w:val="00C742D2"/>
    <w:rsid w:val="00C744EE"/>
    <w:rsid w:val="00C748CE"/>
    <w:rsid w:val="00C75995"/>
    <w:rsid w:val="00C75CB3"/>
    <w:rsid w:val="00C76691"/>
    <w:rsid w:val="00C76D65"/>
    <w:rsid w:val="00C76DBA"/>
    <w:rsid w:val="00C773F7"/>
    <w:rsid w:val="00C778F9"/>
    <w:rsid w:val="00C77C63"/>
    <w:rsid w:val="00C77E4B"/>
    <w:rsid w:val="00C81C73"/>
    <w:rsid w:val="00C81D73"/>
    <w:rsid w:val="00C82037"/>
    <w:rsid w:val="00C824F3"/>
    <w:rsid w:val="00C82F79"/>
    <w:rsid w:val="00C8307F"/>
    <w:rsid w:val="00C83532"/>
    <w:rsid w:val="00C83AD4"/>
    <w:rsid w:val="00C83ADE"/>
    <w:rsid w:val="00C83C56"/>
    <w:rsid w:val="00C84673"/>
    <w:rsid w:val="00C85F91"/>
    <w:rsid w:val="00C86FFD"/>
    <w:rsid w:val="00C8792E"/>
    <w:rsid w:val="00C87EBE"/>
    <w:rsid w:val="00C90DDA"/>
    <w:rsid w:val="00C915CD"/>
    <w:rsid w:val="00C917F5"/>
    <w:rsid w:val="00C92C35"/>
    <w:rsid w:val="00C93307"/>
    <w:rsid w:val="00C939BF"/>
    <w:rsid w:val="00C93D39"/>
    <w:rsid w:val="00C94D29"/>
    <w:rsid w:val="00C95102"/>
    <w:rsid w:val="00C952A1"/>
    <w:rsid w:val="00C95355"/>
    <w:rsid w:val="00C953C3"/>
    <w:rsid w:val="00C95A01"/>
    <w:rsid w:val="00C967F9"/>
    <w:rsid w:val="00C96CE8"/>
    <w:rsid w:val="00C97697"/>
    <w:rsid w:val="00CA0579"/>
    <w:rsid w:val="00CA0CDC"/>
    <w:rsid w:val="00CA10B2"/>
    <w:rsid w:val="00CA1C05"/>
    <w:rsid w:val="00CA206D"/>
    <w:rsid w:val="00CA2D9C"/>
    <w:rsid w:val="00CA3421"/>
    <w:rsid w:val="00CA3747"/>
    <w:rsid w:val="00CA3EE6"/>
    <w:rsid w:val="00CA474D"/>
    <w:rsid w:val="00CA4772"/>
    <w:rsid w:val="00CA49E6"/>
    <w:rsid w:val="00CA4C24"/>
    <w:rsid w:val="00CA4D48"/>
    <w:rsid w:val="00CA5EDC"/>
    <w:rsid w:val="00CA5FDD"/>
    <w:rsid w:val="00CA653A"/>
    <w:rsid w:val="00CA65BE"/>
    <w:rsid w:val="00CA6C0A"/>
    <w:rsid w:val="00CA7DBC"/>
    <w:rsid w:val="00CB01DB"/>
    <w:rsid w:val="00CB076D"/>
    <w:rsid w:val="00CB09EE"/>
    <w:rsid w:val="00CB2041"/>
    <w:rsid w:val="00CB28C5"/>
    <w:rsid w:val="00CB3C10"/>
    <w:rsid w:val="00CB43D8"/>
    <w:rsid w:val="00CB4610"/>
    <w:rsid w:val="00CB4614"/>
    <w:rsid w:val="00CB59AB"/>
    <w:rsid w:val="00CB5A5D"/>
    <w:rsid w:val="00CB5C61"/>
    <w:rsid w:val="00CB5C69"/>
    <w:rsid w:val="00CB5DBE"/>
    <w:rsid w:val="00CB6CD1"/>
    <w:rsid w:val="00CB6CDD"/>
    <w:rsid w:val="00CB6EAF"/>
    <w:rsid w:val="00CB6EFA"/>
    <w:rsid w:val="00CB717A"/>
    <w:rsid w:val="00CB7B19"/>
    <w:rsid w:val="00CC0D64"/>
    <w:rsid w:val="00CC0F31"/>
    <w:rsid w:val="00CC1238"/>
    <w:rsid w:val="00CC1A20"/>
    <w:rsid w:val="00CC1EB8"/>
    <w:rsid w:val="00CC1ED8"/>
    <w:rsid w:val="00CC211E"/>
    <w:rsid w:val="00CC394E"/>
    <w:rsid w:val="00CC3C99"/>
    <w:rsid w:val="00CC4046"/>
    <w:rsid w:val="00CC4C6A"/>
    <w:rsid w:val="00CC536C"/>
    <w:rsid w:val="00CC57CE"/>
    <w:rsid w:val="00CC5B9A"/>
    <w:rsid w:val="00CC7155"/>
    <w:rsid w:val="00CD0267"/>
    <w:rsid w:val="00CD123F"/>
    <w:rsid w:val="00CD1258"/>
    <w:rsid w:val="00CD14AE"/>
    <w:rsid w:val="00CD18FB"/>
    <w:rsid w:val="00CD1C2E"/>
    <w:rsid w:val="00CD25D6"/>
    <w:rsid w:val="00CD2C55"/>
    <w:rsid w:val="00CD2EEC"/>
    <w:rsid w:val="00CD36DE"/>
    <w:rsid w:val="00CD38A5"/>
    <w:rsid w:val="00CD3CDB"/>
    <w:rsid w:val="00CD4260"/>
    <w:rsid w:val="00CD45F7"/>
    <w:rsid w:val="00CD4A78"/>
    <w:rsid w:val="00CD6708"/>
    <w:rsid w:val="00CD6F9E"/>
    <w:rsid w:val="00CD7055"/>
    <w:rsid w:val="00CD728C"/>
    <w:rsid w:val="00CD74CE"/>
    <w:rsid w:val="00CD7557"/>
    <w:rsid w:val="00CD76CA"/>
    <w:rsid w:val="00CD771D"/>
    <w:rsid w:val="00CD7DE8"/>
    <w:rsid w:val="00CE0C3C"/>
    <w:rsid w:val="00CE228F"/>
    <w:rsid w:val="00CE32F2"/>
    <w:rsid w:val="00CE44E1"/>
    <w:rsid w:val="00CE6828"/>
    <w:rsid w:val="00CE6DA5"/>
    <w:rsid w:val="00CE75A6"/>
    <w:rsid w:val="00CE76E2"/>
    <w:rsid w:val="00CE7C56"/>
    <w:rsid w:val="00CE7EA5"/>
    <w:rsid w:val="00CF0168"/>
    <w:rsid w:val="00CF030C"/>
    <w:rsid w:val="00CF0F25"/>
    <w:rsid w:val="00CF1772"/>
    <w:rsid w:val="00CF2289"/>
    <w:rsid w:val="00CF32BE"/>
    <w:rsid w:val="00CF33BB"/>
    <w:rsid w:val="00CF3908"/>
    <w:rsid w:val="00CF3B78"/>
    <w:rsid w:val="00CF4E78"/>
    <w:rsid w:val="00CF4FD0"/>
    <w:rsid w:val="00CF522E"/>
    <w:rsid w:val="00CF6920"/>
    <w:rsid w:val="00CF77D9"/>
    <w:rsid w:val="00CF7CC0"/>
    <w:rsid w:val="00CF7CFD"/>
    <w:rsid w:val="00CF7FFC"/>
    <w:rsid w:val="00D002B9"/>
    <w:rsid w:val="00D005D5"/>
    <w:rsid w:val="00D00EF4"/>
    <w:rsid w:val="00D01FA6"/>
    <w:rsid w:val="00D02249"/>
    <w:rsid w:val="00D024B9"/>
    <w:rsid w:val="00D0335D"/>
    <w:rsid w:val="00D035BA"/>
    <w:rsid w:val="00D03669"/>
    <w:rsid w:val="00D03B04"/>
    <w:rsid w:val="00D03C42"/>
    <w:rsid w:val="00D03EAD"/>
    <w:rsid w:val="00D041E0"/>
    <w:rsid w:val="00D0497C"/>
    <w:rsid w:val="00D05C68"/>
    <w:rsid w:val="00D067AE"/>
    <w:rsid w:val="00D0695F"/>
    <w:rsid w:val="00D10099"/>
    <w:rsid w:val="00D10478"/>
    <w:rsid w:val="00D106F1"/>
    <w:rsid w:val="00D10D0B"/>
    <w:rsid w:val="00D11F99"/>
    <w:rsid w:val="00D11FE5"/>
    <w:rsid w:val="00D122C9"/>
    <w:rsid w:val="00D1356E"/>
    <w:rsid w:val="00D13793"/>
    <w:rsid w:val="00D1407C"/>
    <w:rsid w:val="00D1503D"/>
    <w:rsid w:val="00D15513"/>
    <w:rsid w:val="00D16B50"/>
    <w:rsid w:val="00D16DF8"/>
    <w:rsid w:val="00D1739A"/>
    <w:rsid w:val="00D17ED1"/>
    <w:rsid w:val="00D2127D"/>
    <w:rsid w:val="00D21285"/>
    <w:rsid w:val="00D215F9"/>
    <w:rsid w:val="00D227F3"/>
    <w:rsid w:val="00D22E9D"/>
    <w:rsid w:val="00D246E1"/>
    <w:rsid w:val="00D24A4A"/>
    <w:rsid w:val="00D24E46"/>
    <w:rsid w:val="00D2518B"/>
    <w:rsid w:val="00D262B8"/>
    <w:rsid w:val="00D2677E"/>
    <w:rsid w:val="00D26ACB"/>
    <w:rsid w:val="00D27475"/>
    <w:rsid w:val="00D3099A"/>
    <w:rsid w:val="00D30B01"/>
    <w:rsid w:val="00D31155"/>
    <w:rsid w:val="00D31167"/>
    <w:rsid w:val="00D31633"/>
    <w:rsid w:val="00D32812"/>
    <w:rsid w:val="00D32D8D"/>
    <w:rsid w:val="00D32FAB"/>
    <w:rsid w:val="00D345FD"/>
    <w:rsid w:val="00D34CBF"/>
    <w:rsid w:val="00D3575B"/>
    <w:rsid w:val="00D35990"/>
    <w:rsid w:val="00D36135"/>
    <w:rsid w:val="00D364CF"/>
    <w:rsid w:val="00D36C2B"/>
    <w:rsid w:val="00D36E84"/>
    <w:rsid w:val="00D37443"/>
    <w:rsid w:val="00D37890"/>
    <w:rsid w:val="00D37A80"/>
    <w:rsid w:val="00D37D75"/>
    <w:rsid w:val="00D40DCA"/>
    <w:rsid w:val="00D40EE1"/>
    <w:rsid w:val="00D41191"/>
    <w:rsid w:val="00D414CA"/>
    <w:rsid w:val="00D419AB"/>
    <w:rsid w:val="00D41A5B"/>
    <w:rsid w:val="00D42748"/>
    <w:rsid w:val="00D429BD"/>
    <w:rsid w:val="00D42DF9"/>
    <w:rsid w:val="00D42F45"/>
    <w:rsid w:val="00D4371C"/>
    <w:rsid w:val="00D44184"/>
    <w:rsid w:val="00D4551B"/>
    <w:rsid w:val="00D456CB"/>
    <w:rsid w:val="00D45E39"/>
    <w:rsid w:val="00D4609B"/>
    <w:rsid w:val="00D463B6"/>
    <w:rsid w:val="00D465B1"/>
    <w:rsid w:val="00D50196"/>
    <w:rsid w:val="00D50760"/>
    <w:rsid w:val="00D51344"/>
    <w:rsid w:val="00D51598"/>
    <w:rsid w:val="00D52226"/>
    <w:rsid w:val="00D523CC"/>
    <w:rsid w:val="00D52616"/>
    <w:rsid w:val="00D529AE"/>
    <w:rsid w:val="00D52B71"/>
    <w:rsid w:val="00D5310F"/>
    <w:rsid w:val="00D535B5"/>
    <w:rsid w:val="00D53704"/>
    <w:rsid w:val="00D53F69"/>
    <w:rsid w:val="00D54E53"/>
    <w:rsid w:val="00D54EB8"/>
    <w:rsid w:val="00D54FFD"/>
    <w:rsid w:val="00D550C8"/>
    <w:rsid w:val="00D5564A"/>
    <w:rsid w:val="00D55CB4"/>
    <w:rsid w:val="00D569F1"/>
    <w:rsid w:val="00D5749C"/>
    <w:rsid w:val="00D5760F"/>
    <w:rsid w:val="00D57A27"/>
    <w:rsid w:val="00D602E0"/>
    <w:rsid w:val="00D6033E"/>
    <w:rsid w:val="00D60385"/>
    <w:rsid w:val="00D60A58"/>
    <w:rsid w:val="00D61645"/>
    <w:rsid w:val="00D62394"/>
    <w:rsid w:val="00D62CD1"/>
    <w:rsid w:val="00D6333D"/>
    <w:rsid w:val="00D63AF3"/>
    <w:rsid w:val="00D63CE7"/>
    <w:rsid w:val="00D64178"/>
    <w:rsid w:val="00D641AD"/>
    <w:rsid w:val="00D64614"/>
    <w:rsid w:val="00D65086"/>
    <w:rsid w:val="00D6576F"/>
    <w:rsid w:val="00D65F97"/>
    <w:rsid w:val="00D66D13"/>
    <w:rsid w:val="00D67F67"/>
    <w:rsid w:val="00D67F75"/>
    <w:rsid w:val="00D7052A"/>
    <w:rsid w:val="00D7072F"/>
    <w:rsid w:val="00D70986"/>
    <w:rsid w:val="00D717B9"/>
    <w:rsid w:val="00D71EA1"/>
    <w:rsid w:val="00D727C5"/>
    <w:rsid w:val="00D739CF"/>
    <w:rsid w:val="00D7461D"/>
    <w:rsid w:val="00D7540C"/>
    <w:rsid w:val="00D75F39"/>
    <w:rsid w:val="00D76789"/>
    <w:rsid w:val="00D772CA"/>
    <w:rsid w:val="00D77312"/>
    <w:rsid w:val="00D77A07"/>
    <w:rsid w:val="00D77AA4"/>
    <w:rsid w:val="00D77B28"/>
    <w:rsid w:val="00D8026F"/>
    <w:rsid w:val="00D8174E"/>
    <w:rsid w:val="00D81AE0"/>
    <w:rsid w:val="00D81C4D"/>
    <w:rsid w:val="00D82844"/>
    <w:rsid w:val="00D82BFD"/>
    <w:rsid w:val="00D837ED"/>
    <w:rsid w:val="00D83CC0"/>
    <w:rsid w:val="00D84F64"/>
    <w:rsid w:val="00D85691"/>
    <w:rsid w:val="00D87228"/>
    <w:rsid w:val="00D87451"/>
    <w:rsid w:val="00D87C0C"/>
    <w:rsid w:val="00D87E7B"/>
    <w:rsid w:val="00D87F40"/>
    <w:rsid w:val="00D9022F"/>
    <w:rsid w:val="00D90998"/>
    <w:rsid w:val="00D91634"/>
    <w:rsid w:val="00D91635"/>
    <w:rsid w:val="00D91ADB"/>
    <w:rsid w:val="00D92851"/>
    <w:rsid w:val="00D932AD"/>
    <w:rsid w:val="00D9425C"/>
    <w:rsid w:val="00D944DF"/>
    <w:rsid w:val="00D94C67"/>
    <w:rsid w:val="00D955AA"/>
    <w:rsid w:val="00D95D9D"/>
    <w:rsid w:val="00D96974"/>
    <w:rsid w:val="00D96A84"/>
    <w:rsid w:val="00D96BC2"/>
    <w:rsid w:val="00D96DAD"/>
    <w:rsid w:val="00D97045"/>
    <w:rsid w:val="00DA0FF2"/>
    <w:rsid w:val="00DA1158"/>
    <w:rsid w:val="00DA25F1"/>
    <w:rsid w:val="00DA2BBD"/>
    <w:rsid w:val="00DA33BA"/>
    <w:rsid w:val="00DA399A"/>
    <w:rsid w:val="00DA3DAC"/>
    <w:rsid w:val="00DA40AF"/>
    <w:rsid w:val="00DA5846"/>
    <w:rsid w:val="00DA5902"/>
    <w:rsid w:val="00DA5BD6"/>
    <w:rsid w:val="00DA5F71"/>
    <w:rsid w:val="00DA610A"/>
    <w:rsid w:val="00DA62AF"/>
    <w:rsid w:val="00DA6818"/>
    <w:rsid w:val="00DA6C2B"/>
    <w:rsid w:val="00DA7523"/>
    <w:rsid w:val="00DA7B4B"/>
    <w:rsid w:val="00DB0332"/>
    <w:rsid w:val="00DB041D"/>
    <w:rsid w:val="00DB0CD3"/>
    <w:rsid w:val="00DB0F99"/>
    <w:rsid w:val="00DB25F4"/>
    <w:rsid w:val="00DB2894"/>
    <w:rsid w:val="00DB32D5"/>
    <w:rsid w:val="00DB3461"/>
    <w:rsid w:val="00DB4A1F"/>
    <w:rsid w:val="00DB4ACC"/>
    <w:rsid w:val="00DB4AE9"/>
    <w:rsid w:val="00DB4AED"/>
    <w:rsid w:val="00DB4B29"/>
    <w:rsid w:val="00DB4D70"/>
    <w:rsid w:val="00DB7BE1"/>
    <w:rsid w:val="00DB7DC5"/>
    <w:rsid w:val="00DC1321"/>
    <w:rsid w:val="00DC1965"/>
    <w:rsid w:val="00DC1E67"/>
    <w:rsid w:val="00DC1FC6"/>
    <w:rsid w:val="00DC21FC"/>
    <w:rsid w:val="00DC24F8"/>
    <w:rsid w:val="00DC2710"/>
    <w:rsid w:val="00DC318A"/>
    <w:rsid w:val="00DC3789"/>
    <w:rsid w:val="00DC4F83"/>
    <w:rsid w:val="00DC51DB"/>
    <w:rsid w:val="00DC5911"/>
    <w:rsid w:val="00DC5A01"/>
    <w:rsid w:val="00DC5A3C"/>
    <w:rsid w:val="00DC5A79"/>
    <w:rsid w:val="00DC610C"/>
    <w:rsid w:val="00DC6FBC"/>
    <w:rsid w:val="00DC70EC"/>
    <w:rsid w:val="00DC7C25"/>
    <w:rsid w:val="00DD00F7"/>
    <w:rsid w:val="00DD0B6D"/>
    <w:rsid w:val="00DD0BE9"/>
    <w:rsid w:val="00DD0F92"/>
    <w:rsid w:val="00DD0F98"/>
    <w:rsid w:val="00DD149A"/>
    <w:rsid w:val="00DD1809"/>
    <w:rsid w:val="00DD242D"/>
    <w:rsid w:val="00DD2870"/>
    <w:rsid w:val="00DD2E93"/>
    <w:rsid w:val="00DD2F9A"/>
    <w:rsid w:val="00DD4A3A"/>
    <w:rsid w:val="00DD5065"/>
    <w:rsid w:val="00DD632A"/>
    <w:rsid w:val="00DD7B1B"/>
    <w:rsid w:val="00DE074E"/>
    <w:rsid w:val="00DE10B8"/>
    <w:rsid w:val="00DE19EE"/>
    <w:rsid w:val="00DE22A4"/>
    <w:rsid w:val="00DE257D"/>
    <w:rsid w:val="00DE2630"/>
    <w:rsid w:val="00DE327B"/>
    <w:rsid w:val="00DE3286"/>
    <w:rsid w:val="00DE3995"/>
    <w:rsid w:val="00DE3A34"/>
    <w:rsid w:val="00DE3AB6"/>
    <w:rsid w:val="00DE43AA"/>
    <w:rsid w:val="00DE45DB"/>
    <w:rsid w:val="00DE46C6"/>
    <w:rsid w:val="00DE5604"/>
    <w:rsid w:val="00DE6B68"/>
    <w:rsid w:val="00DE77A9"/>
    <w:rsid w:val="00DF038C"/>
    <w:rsid w:val="00DF0FDD"/>
    <w:rsid w:val="00DF1449"/>
    <w:rsid w:val="00DF1E47"/>
    <w:rsid w:val="00DF20ED"/>
    <w:rsid w:val="00DF25E7"/>
    <w:rsid w:val="00DF25E8"/>
    <w:rsid w:val="00DF3741"/>
    <w:rsid w:val="00DF4177"/>
    <w:rsid w:val="00DF438B"/>
    <w:rsid w:val="00DF4AEC"/>
    <w:rsid w:val="00DF525E"/>
    <w:rsid w:val="00DF5538"/>
    <w:rsid w:val="00DF5662"/>
    <w:rsid w:val="00DF5905"/>
    <w:rsid w:val="00DF5927"/>
    <w:rsid w:val="00DF5D5F"/>
    <w:rsid w:val="00DF6911"/>
    <w:rsid w:val="00E0057A"/>
    <w:rsid w:val="00E008E9"/>
    <w:rsid w:val="00E0097B"/>
    <w:rsid w:val="00E00CC6"/>
    <w:rsid w:val="00E00F84"/>
    <w:rsid w:val="00E023E7"/>
    <w:rsid w:val="00E02C03"/>
    <w:rsid w:val="00E03295"/>
    <w:rsid w:val="00E036F3"/>
    <w:rsid w:val="00E03EFA"/>
    <w:rsid w:val="00E04940"/>
    <w:rsid w:val="00E049C0"/>
    <w:rsid w:val="00E04D46"/>
    <w:rsid w:val="00E06798"/>
    <w:rsid w:val="00E06862"/>
    <w:rsid w:val="00E07133"/>
    <w:rsid w:val="00E1062F"/>
    <w:rsid w:val="00E10FD6"/>
    <w:rsid w:val="00E1164F"/>
    <w:rsid w:val="00E119B6"/>
    <w:rsid w:val="00E11A3C"/>
    <w:rsid w:val="00E11A5A"/>
    <w:rsid w:val="00E11F90"/>
    <w:rsid w:val="00E122AA"/>
    <w:rsid w:val="00E12EDD"/>
    <w:rsid w:val="00E1329D"/>
    <w:rsid w:val="00E13800"/>
    <w:rsid w:val="00E14065"/>
    <w:rsid w:val="00E1450E"/>
    <w:rsid w:val="00E14E77"/>
    <w:rsid w:val="00E15DCD"/>
    <w:rsid w:val="00E160AA"/>
    <w:rsid w:val="00E16221"/>
    <w:rsid w:val="00E1675C"/>
    <w:rsid w:val="00E1719E"/>
    <w:rsid w:val="00E17AA1"/>
    <w:rsid w:val="00E200EB"/>
    <w:rsid w:val="00E20B44"/>
    <w:rsid w:val="00E20FA8"/>
    <w:rsid w:val="00E21655"/>
    <w:rsid w:val="00E23813"/>
    <w:rsid w:val="00E23C16"/>
    <w:rsid w:val="00E241BA"/>
    <w:rsid w:val="00E24EF5"/>
    <w:rsid w:val="00E250A2"/>
    <w:rsid w:val="00E252F7"/>
    <w:rsid w:val="00E2559A"/>
    <w:rsid w:val="00E25719"/>
    <w:rsid w:val="00E25AD8"/>
    <w:rsid w:val="00E25E90"/>
    <w:rsid w:val="00E26099"/>
    <w:rsid w:val="00E2680B"/>
    <w:rsid w:val="00E2763C"/>
    <w:rsid w:val="00E30039"/>
    <w:rsid w:val="00E3088B"/>
    <w:rsid w:val="00E30A46"/>
    <w:rsid w:val="00E313A2"/>
    <w:rsid w:val="00E3158D"/>
    <w:rsid w:val="00E32898"/>
    <w:rsid w:val="00E328FC"/>
    <w:rsid w:val="00E32F34"/>
    <w:rsid w:val="00E341EE"/>
    <w:rsid w:val="00E346BA"/>
    <w:rsid w:val="00E34FE0"/>
    <w:rsid w:val="00E36D5F"/>
    <w:rsid w:val="00E37513"/>
    <w:rsid w:val="00E400DD"/>
    <w:rsid w:val="00E4056E"/>
    <w:rsid w:val="00E407C6"/>
    <w:rsid w:val="00E40D8C"/>
    <w:rsid w:val="00E41657"/>
    <w:rsid w:val="00E41A67"/>
    <w:rsid w:val="00E426D7"/>
    <w:rsid w:val="00E429B9"/>
    <w:rsid w:val="00E43FEB"/>
    <w:rsid w:val="00E44F5D"/>
    <w:rsid w:val="00E45CBC"/>
    <w:rsid w:val="00E45F12"/>
    <w:rsid w:val="00E4627B"/>
    <w:rsid w:val="00E46302"/>
    <w:rsid w:val="00E465D9"/>
    <w:rsid w:val="00E46A6D"/>
    <w:rsid w:val="00E476B1"/>
    <w:rsid w:val="00E47BFE"/>
    <w:rsid w:val="00E47CE9"/>
    <w:rsid w:val="00E501C3"/>
    <w:rsid w:val="00E50F40"/>
    <w:rsid w:val="00E51330"/>
    <w:rsid w:val="00E515FC"/>
    <w:rsid w:val="00E51F90"/>
    <w:rsid w:val="00E542CF"/>
    <w:rsid w:val="00E54839"/>
    <w:rsid w:val="00E55481"/>
    <w:rsid w:val="00E55972"/>
    <w:rsid w:val="00E55F8F"/>
    <w:rsid w:val="00E55F9A"/>
    <w:rsid w:val="00E56221"/>
    <w:rsid w:val="00E5705C"/>
    <w:rsid w:val="00E57B7F"/>
    <w:rsid w:val="00E6006F"/>
    <w:rsid w:val="00E615F9"/>
    <w:rsid w:val="00E61A03"/>
    <w:rsid w:val="00E61A0C"/>
    <w:rsid w:val="00E61D38"/>
    <w:rsid w:val="00E62229"/>
    <w:rsid w:val="00E6304A"/>
    <w:rsid w:val="00E63646"/>
    <w:rsid w:val="00E6472C"/>
    <w:rsid w:val="00E64A80"/>
    <w:rsid w:val="00E659D0"/>
    <w:rsid w:val="00E6672D"/>
    <w:rsid w:val="00E67598"/>
    <w:rsid w:val="00E67E99"/>
    <w:rsid w:val="00E70133"/>
    <w:rsid w:val="00E707FD"/>
    <w:rsid w:val="00E71095"/>
    <w:rsid w:val="00E717FB"/>
    <w:rsid w:val="00E721DE"/>
    <w:rsid w:val="00E722F3"/>
    <w:rsid w:val="00E72341"/>
    <w:rsid w:val="00E73E65"/>
    <w:rsid w:val="00E74CA4"/>
    <w:rsid w:val="00E74DB9"/>
    <w:rsid w:val="00E75902"/>
    <w:rsid w:val="00E75F4A"/>
    <w:rsid w:val="00E76DE4"/>
    <w:rsid w:val="00E8019A"/>
    <w:rsid w:val="00E811C9"/>
    <w:rsid w:val="00E81241"/>
    <w:rsid w:val="00E81779"/>
    <w:rsid w:val="00E81EF0"/>
    <w:rsid w:val="00E824AA"/>
    <w:rsid w:val="00E82BFE"/>
    <w:rsid w:val="00E83582"/>
    <w:rsid w:val="00E84198"/>
    <w:rsid w:val="00E854A7"/>
    <w:rsid w:val="00E85FC8"/>
    <w:rsid w:val="00E85FEF"/>
    <w:rsid w:val="00E8639C"/>
    <w:rsid w:val="00E8754A"/>
    <w:rsid w:val="00E879AE"/>
    <w:rsid w:val="00E905B4"/>
    <w:rsid w:val="00E90D09"/>
    <w:rsid w:val="00E934A8"/>
    <w:rsid w:val="00E94C81"/>
    <w:rsid w:val="00E9514E"/>
    <w:rsid w:val="00E95C01"/>
    <w:rsid w:val="00E95FDB"/>
    <w:rsid w:val="00E96A25"/>
    <w:rsid w:val="00EA0268"/>
    <w:rsid w:val="00EA0C0F"/>
    <w:rsid w:val="00EA1B9F"/>
    <w:rsid w:val="00EA23A0"/>
    <w:rsid w:val="00EA25C9"/>
    <w:rsid w:val="00EA2854"/>
    <w:rsid w:val="00EA2A0C"/>
    <w:rsid w:val="00EA2A74"/>
    <w:rsid w:val="00EA2D5A"/>
    <w:rsid w:val="00EA3175"/>
    <w:rsid w:val="00EA3A47"/>
    <w:rsid w:val="00EA44C8"/>
    <w:rsid w:val="00EA4BEC"/>
    <w:rsid w:val="00EA4E49"/>
    <w:rsid w:val="00EA59B6"/>
    <w:rsid w:val="00EA5CDE"/>
    <w:rsid w:val="00EA5F53"/>
    <w:rsid w:val="00EA61D3"/>
    <w:rsid w:val="00EB064D"/>
    <w:rsid w:val="00EB09FF"/>
    <w:rsid w:val="00EB0F17"/>
    <w:rsid w:val="00EB1C5C"/>
    <w:rsid w:val="00EB1D18"/>
    <w:rsid w:val="00EB2082"/>
    <w:rsid w:val="00EB22B2"/>
    <w:rsid w:val="00EB23EA"/>
    <w:rsid w:val="00EB241C"/>
    <w:rsid w:val="00EB2D01"/>
    <w:rsid w:val="00EB30E7"/>
    <w:rsid w:val="00EB337E"/>
    <w:rsid w:val="00EB35C3"/>
    <w:rsid w:val="00EB39E4"/>
    <w:rsid w:val="00EB4585"/>
    <w:rsid w:val="00EB49D7"/>
    <w:rsid w:val="00EB54ED"/>
    <w:rsid w:val="00EB5FCA"/>
    <w:rsid w:val="00EB63EB"/>
    <w:rsid w:val="00EB67F9"/>
    <w:rsid w:val="00EB6CF0"/>
    <w:rsid w:val="00EB6DD4"/>
    <w:rsid w:val="00EB7415"/>
    <w:rsid w:val="00EC0297"/>
    <w:rsid w:val="00EC0556"/>
    <w:rsid w:val="00EC061A"/>
    <w:rsid w:val="00EC0E89"/>
    <w:rsid w:val="00EC2320"/>
    <w:rsid w:val="00EC2BA2"/>
    <w:rsid w:val="00EC2FBC"/>
    <w:rsid w:val="00EC30EB"/>
    <w:rsid w:val="00EC31D2"/>
    <w:rsid w:val="00EC34CA"/>
    <w:rsid w:val="00EC40D8"/>
    <w:rsid w:val="00EC458C"/>
    <w:rsid w:val="00EC45FF"/>
    <w:rsid w:val="00EC5797"/>
    <w:rsid w:val="00EC5F49"/>
    <w:rsid w:val="00EC64E4"/>
    <w:rsid w:val="00ED00E6"/>
    <w:rsid w:val="00ED1C0A"/>
    <w:rsid w:val="00ED215E"/>
    <w:rsid w:val="00ED2DA1"/>
    <w:rsid w:val="00ED3E20"/>
    <w:rsid w:val="00ED400E"/>
    <w:rsid w:val="00ED406D"/>
    <w:rsid w:val="00ED57AE"/>
    <w:rsid w:val="00ED5BCC"/>
    <w:rsid w:val="00ED5C93"/>
    <w:rsid w:val="00ED5CB8"/>
    <w:rsid w:val="00ED662C"/>
    <w:rsid w:val="00ED71F7"/>
    <w:rsid w:val="00ED7205"/>
    <w:rsid w:val="00ED74EA"/>
    <w:rsid w:val="00ED78BD"/>
    <w:rsid w:val="00ED7B80"/>
    <w:rsid w:val="00ED7C39"/>
    <w:rsid w:val="00EE082E"/>
    <w:rsid w:val="00EE0A00"/>
    <w:rsid w:val="00EE0ABD"/>
    <w:rsid w:val="00EE0D2B"/>
    <w:rsid w:val="00EE0F02"/>
    <w:rsid w:val="00EE1797"/>
    <w:rsid w:val="00EE2395"/>
    <w:rsid w:val="00EE26BB"/>
    <w:rsid w:val="00EE27CD"/>
    <w:rsid w:val="00EE2C53"/>
    <w:rsid w:val="00EE360A"/>
    <w:rsid w:val="00EE3634"/>
    <w:rsid w:val="00EE39F0"/>
    <w:rsid w:val="00EE43B6"/>
    <w:rsid w:val="00EE48E1"/>
    <w:rsid w:val="00EE4912"/>
    <w:rsid w:val="00EE4DE7"/>
    <w:rsid w:val="00EE519E"/>
    <w:rsid w:val="00EE5258"/>
    <w:rsid w:val="00EE6563"/>
    <w:rsid w:val="00EE67FE"/>
    <w:rsid w:val="00EE695A"/>
    <w:rsid w:val="00EE6D37"/>
    <w:rsid w:val="00EE7207"/>
    <w:rsid w:val="00EE720B"/>
    <w:rsid w:val="00EE7381"/>
    <w:rsid w:val="00EE7CFB"/>
    <w:rsid w:val="00EE7E59"/>
    <w:rsid w:val="00EF075E"/>
    <w:rsid w:val="00EF104D"/>
    <w:rsid w:val="00EF16BC"/>
    <w:rsid w:val="00EF2D62"/>
    <w:rsid w:val="00EF3395"/>
    <w:rsid w:val="00EF3E52"/>
    <w:rsid w:val="00EF4C23"/>
    <w:rsid w:val="00EF4E8F"/>
    <w:rsid w:val="00EF52D3"/>
    <w:rsid w:val="00EF587B"/>
    <w:rsid w:val="00EF614B"/>
    <w:rsid w:val="00EF6E06"/>
    <w:rsid w:val="00EF6EF4"/>
    <w:rsid w:val="00EF7B8A"/>
    <w:rsid w:val="00F01105"/>
    <w:rsid w:val="00F0383C"/>
    <w:rsid w:val="00F040CC"/>
    <w:rsid w:val="00F042C4"/>
    <w:rsid w:val="00F046A5"/>
    <w:rsid w:val="00F04D7F"/>
    <w:rsid w:val="00F06332"/>
    <w:rsid w:val="00F063AE"/>
    <w:rsid w:val="00F07ABF"/>
    <w:rsid w:val="00F07C86"/>
    <w:rsid w:val="00F11469"/>
    <w:rsid w:val="00F11C8C"/>
    <w:rsid w:val="00F12AC1"/>
    <w:rsid w:val="00F13120"/>
    <w:rsid w:val="00F13311"/>
    <w:rsid w:val="00F13451"/>
    <w:rsid w:val="00F13981"/>
    <w:rsid w:val="00F13BF6"/>
    <w:rsid w:val="00F14985"/>
    <w:rsid w:val="00F14D98"/>
    <w:rsid w:val="00F15E49"/>
    <w:rsid w:val="00F16428"/>
    <w:rsid w:val="00F171EA"/>
    <w:rsid w:val="00F174AB"/>
    <w:rsid w:val="00F17D0C"/>
    <w:rsid w:val="00F20F34"/>
    <w:rsid w:val="00F21ECC"/>
    <w:rsid w:val="00F21F1C"/>
    <w:rsid w:val="00F21FF8"/>
    <w:rsid w:val="00F22867"/>
    <w:rsid w:val="00F22C74"/>
    <w:rsid w:val="00F22CE8"/>
    <w:rsid w:val="00F22F05"/>
    <w:rsid w:val="00F23199"/>
    <w:rsid w:val="00F238A9"/>
    <w:rsid w:val="00F23DEC"/>
    <w:rsid w:val="00F24CC6"/>
    <w:rsid w:val="00F24FEB"/>
    <w:rsid w:val="00F25D3E"/>
    <w:rsid w:val="00F25DC6"/>
    <w:rsid w:val="00F2683A"/>
    <w:rsid w:val="00F2694B"/>
    <w:rsid w:val="00F26B5D"/>
    <w:rsid w:val="00F2708C"/>
    <w:rsid w:val="00F27E0D"/>
    <w:rsid w:val="00F27F7E"/>
    <w:rsid w:val="00F30508"/>
    <w:rsid w:val="00F31119"/>
    <w:rsid w:val="00F31CE3"/>
    <w:rsid w:val="00F31CE9"/>
    <w:rsid w:val="00F32420"/>
    <w:rsid w:val="00F331EC"/>
    <w:rsid w:val="00F33325"/>
    <w:rsid w:val="00F333A0"/>
    <w:rsid w:val="00F33A15"/>
    <w:rsid w:val="00F33EFB"/>
    <w:rsid w:val="00F34593"/>
    <w:rsid w:val="00F34DD1"/>
    <w:rsid w:val="00F359AB"/>
    <w:rsid w:val="00F36046"/>
    <w:rsid w:val="00F364DE"/>
    <w:rsid w:val="00F366C5"/>
    <w:rsid w:val="00F36751"/>
    <w:rsid w:val="00F369BF"/>
    <w:rsid w:val="00F36A87"/>
    <w:rsid w:val="00F36AED"/>
    <w:rsid w:val="00F36C2C"/>
    <w:rsid w:val="00F3752E"/>
    <w:rsid w:val="00F40F43"/>
    <w:rsid w:val="00F41511"/>
    <w:rsid w:val="00F41672"/>
    <w:rsid w:val="00F42765"/>
    <w:rsid w:val="00F42A0F"/>
    <w:rsid w:val="00F437EF"/>
    <w:rsid w:val="00F43B19"/>
    <w:rsid w:val="00F43EC8"/>
    <w:rsid w:val="00F44F53"/>
    <w:rsid w:val="00F46A91"/>
    <w:rsid w:val="00F4778A"/>
    <w:rsid w:val="00F47904"/>
    <w:rsid w:val="00F50352"/>
    <w:rsid w:val="00F50410"/>
    <w:rsid w:val="00F510B4"/>
    <w:rsid w:val="00F51649"/>
    <w:rsid w:val="00F523CA"/>
    <w:rsid w:val="00F52BA3"/>
    <w:rsid w:val="00F52EF5"/>
    <w:rsid w:val="00F5313F"/>
    <w:rsid w:val="00F54C2C"/>
    <w:rsid w:val="00F54EB3"/>
    <w:rsid w:val="00F553CF"/>
    <w:rsid w:val="00F554C9"/>
    <w:rsid w:val="00F5688D"/>
    <w:rsid w:val="00F56C08"/>
    <w:rsid w:val="00F56C75"/>
    <w:rsid w:val="00F57222"/>
    <w:rsid w:val="00F577B0"/>
    <w:rsid w:val="00F57C72"/>
    <w:rsid w:val="00F60CA5"/>
    <w:rsid w:val="00F60DFF"/>
    <w:rsid w:val="00F61025"/>
    <w:rsid w:val="00F61F5E"/>
    <w:rsid w:val="00F62231"/>
    <w:rsid w:val="00F622D0"/>
    <w:rsid w:val="00F6263E"/>
    <w:rsid w:val="00F62659"/>
    <w:rsid w:val="00F62EDE"/>
    <w:rsid w:val="00F6331B"/>
    <w:rsid w:val="00F6461E"/>
    <w:rsid w:val="00F65954"/>
    <w:rsid w:val="00F660C9"/>
    <w:rsid w:val="00F661D9"/>
    <w:rsid w:val="00F66B62"/>
    <w:rsid w:val="00F67E26"/>
    <w:rsid w:val="00F67FA9"/>
    <w:rsid w:val="00F7036C"/>
    <w:rsid w:val="00F70904"/>
    <w:rsid w:val="00F70A6B"/>
    <w:rsid w:val="00F71037"/>
    <w:rsid w:val="00F711DF"/>
    <w:rsid w:val="00F713BE"/>
    <w:rsid w:val="00F716FC"/>
    <w:rsid w:val="00F71EC3"/>
    <w:rsid w:val="00F720AE"/>
    <w:rsid w:val="00F72908"/>
    <w:rsid w:val="00F72E10"/>
    <w:rsid w:val="00F73397"/>
    <w:rsid w:val="00F73941"/>
    <w:rsid w:val="00F73EA0"/>
    <w:rsid w:val="00F74310"/>
    <w:rsid w:val="00F75380"/>
    <w:rsid w:val="00F75477"/>
    <w:rsid w:val="00F75EEE"/>
    <w:rsid w:val="00F76DC7"/>
    <w:rsid w:val="00F77860"/>
    <w:rsid w:val="00F77C8E"/>
    <w:rsid w:val="00F77CA7"/>
    <w:rsid w:val="00F8040A"/>
    <w:rsid w:val="00F80B6A"/>
    <w:rsid w:val="00F811B3"/>
    <w:rsid w:val="00F812B4"/>
    <w:rsid w:val="00F81ABA"/>
    <w:rsid w:val="00F82621"/>
    <w:rsid w:val="00F8264F"/>
    <w:rsid w:val="00F827CD"/>
    <w:rsid w:val="00F83753"/>
    <w:rsid w:val="00F84CEA"/>
    <w:rsid w:val="00F86403"/>
    <w:rsid w:val="00F868D8"/>
    <w:rsid w:val="00F869C5"/>
    <w:rsid w:val="00F86DD2"/>
    <w:rsid w:val="00F87669"/>
    <w:rsid w:val="00F9014E"/>
    <w:rsid w:val="00F91ADB"/>
    <w:rsid w:val="00F940EE"/>
    <w:rsid w:val="00F94ABA"/>
    <w:rsid w:val="00F94B60"/>
    <w:rsid w:val="00F94E63"/>
    <w:rsid w:val="00F95102"/>
    <w:rsid w:val="00F955EE"/>
    <w:rsid w:val="00F960B9"/>
    <w:rsid w:val="00F96ED4"/>
    <w:rsid w:val="00F9707B"/>
    <w:rsid w:val="00F97E47"/>
    <w:rsid w:val="00FA01F8"/>
    <w:rsid w:val="00FA0671"/>
    <w:rsid w:val="00FA0699"/>
    <w:rsid w:val="00FA16E8"/>
    <w:rsid w:val="00FA1833"/>
    <w:rsid w:val="00FA2FFA"/>
    <w:rsid w:val="00FA31B5"/>
    <w:rsid w:val="00FA3491"/>
    <w:rsid w:val="00FA3E8E"/>
    <w:rsid w:val="00FA4E2A"/>
    <w:rsid w:val="00FA4FEC"/>
    <w:rsid w:val="00FA5A27"/>
    <w:rsid w:val="00FA645D"/>
    <w:rsid w:val="00FA71D8"/>
    <w:rsid w:val="00FA7F61"/>
    <w:rsid w:val="00FB0466"/>
    <w:rsid w:val="00FB0DAE"/>
    <w:rsid w:val="00FB1512"/>
    <w:rsid w:val="00FB171E"/>
    <w:rsid w:val="00FB19A3"/>
    <w:rsid w:val="00FB2861"/>
    <w:rsid w:val="00FB2B0D"/>
    <w:rsid w:val="00FB38B5"/>
    <w:rsid w:val="00FB39D3"/>
    <w:rsid w:val="00FB4099"/>
    <w:rsid w:val="00FB474D"/>
    <w:rsid w:val="00FB482D"/>
    <w:rsid w:val="00FB4B31"/>
    <w:rsid w:val="00FB4BA4"/>
    <w:rsid w:val="00FB4C25"/>
    <w:rsid w:val="00FB4D95"/>
    <w:rsid w:val="00FB4EAB"/>
    <w:rsid w:val="00FB4FCE"/>
    <w:rsid w:val="00FB5930"/>
    <w:rsid w:val="00FB5A26"/>
    <w:rsid w:val="00FB60AB"/>
    <w:rsid w:val="00FB614A"/>
    <w:rsid w:val="00FB681B"/>
    <w:rsid w:val="00FB6991"/>
    <w:rsid w:val="00FB6CBB"/>
    <w:rsid w:val="00FB79B0"/>
    <w:rsid w:val="00FB7BAA"/>
    <w:rsid w:val="00FB7FAA"/>
    <w:rsid w:val="00FC013E"/>
    <w:rsid w:val="00FC1382"/>
    <w:rsid w:val="00FC164B"/>
    <w:rsid w:val="00FC1BD9"/>
    <w:rsid w:val="00FC2743"/>
    <w:rsid w:val="00FC3CD0"/>
    <w:rsid w:val="00FC452B"/>
    <w:rsid w:val="00FC4C22"/>
    <w:rsid w:val="00FC5C1C"/>
    <w:rsid w:val="00FC6DC0"/>
    <w:rsid w:val="00FC725E"/>
    <w:rsid w:val="00FC7BC6"/>
    <w:rsid w:val="00FC7D17"/>
    <w:rsid w:val="00FD040F"/>
    <w:rsid w:val="00FD105C"/>
    <w:rsid w:val="00FD201A"/>
    <w:rsid w:val="00FD2782"/>
    <w:rsid w:val="00FD3029"/>
    <w:rsid w:val="00FD3253"/>
    <w:rsid w:val="00FD35FB"/>
    <w:rsid w:val="00FD3E9D"/>
    <w:rsid w:val="00FD499F"/>
    <w:rsid w:val="00FD50CE"/>
    <w:rsid w:val="00FD50F1"/>
    <w:rsid w:val="00FD5179"/>
    <w:rsid w:val="00FD5564"/>
    <w:rsid w:val="00FD688D"/>
    <w:rsid w:val="00FD7C58"/>
    <w:rsid w:val="00FE02A0"/>
    <w:rsid w:val="00FE048D"/>
    <w:rsid w:val="00FE281A"/>
    <w:rsid w:val="00FE2E72"/>
    <w:rsid w:val="00FE3709"/>
    <w:rsid w:val="00FE38A5"/>
    <w:rsid w:val="00FE3B20"/>
    <w:rsid w:val="00FE3BFB"/>
    <w:rsid w:val="00FE3C98"/>
    <w:rsid w:val="00FE4531"/>
    <w:rsid w:val="00FE4C74"/>
    <w:rsid w:val="00FE5098"/>
    <w:rsid w:val="00FE5EA3"/>
    <w:rsid w:val="00FE640D"/>
    <w:rsid w:val="00FE6847"/>
    <w:rsid w:val="00FE6D7E"/>
    <w:rsid w:val="00FE6F9D"/>
    <w:rsid w:val="00FF0037"/>
    <w:rsid w:val="00FF096D"/>
    <w:rsid w:val="00FF0C5E"/>
    <w:rsid w:val="00FF24D8"/>
    <w:rsid w:val="00FF31F9"/>
    <w:rsid w:val="00FF32D5"/>
    <w:rsid w:val="00FF3C90"/>
    <w:rsid w:val="00FF3CEA"/>
    <w:rsid w:val="00FF4EC9"/>
    <w:rsid w:val="00FF5A59"/>
    <w:rsid w:val="00FF6B40"/>
    <w:rsid w:val="00FF6D2A"/>
    <w:rsid w:val="00FF6E89"/>
    <w:rsid w:val="00FF6F62"/>
    <w:rsid w:val="00FF750C"/>
    <w:rsid w:val="00FF7AE4"/>
    <w:rsid w:val="00FF7F9D"/>
    <w:rsid w:val="011224C7"/>
    <w:rsid w:val="0170579C"/>
    <w:rsid w:val="01C25065"/>
    <w:rsid w:val="01C71790"/>
    <w:rsid w:val="027345B1"/>
    <w:rsid w:val="02E67A4A"/>
    <w:rsid w:val="02ED4364"/>
    <w:rsid w:val="037E4605"/>
    <w:rsid w:val="046E0BC0"/>
    <w:rsid w:val="04F340D4"/>
    <w:rsid w:val="052B7EFC"/>
    <w:rsid w:val="05AC5AE7"/>
    <w:rsid w:val="064603CD"/>
    <w:rsid w:val="06EE06AA"/>
    <w:rsid w:val="07410F25"/>
    <w:rsid w:val="07BE5FBE"/>
    <w:rsid w:val="07DA174B"/>
    <w:rsid w:val="083A4D03"/>
    <w:rsid w:val="089F2AD0"/>
    <w:rsid w:val="08D8516E"/>
    <w:rsid w:val="09475E50"/>
    <w:rsid w:val="09912D54"/>
    <w:rsid w:val="0A060C49"/>
    <w:rsid w:val="0A8D3D36"/>
    <w:rsid w:val="0BD240F7"/>
    <w:rsid w:val="0C76258A"/>
    <w:rsid w:val="0C835809"/>
    <w:rsid w:val="0CD97E72"/>
    <w:rsid w:val="0CEB5330"/>
    <w:rsid w:val="0EB80D5C"/>
    <w:rsid w:val="0F054756"/>
    <w:rsid w:val="0F582B65"/>
    <w:rsid w:val="0F815192"/>
    <w:rsid w:val="103D69B2"/>
    <w:rsid w:val="106F18A1"/>
    <w:rsid w:val="11255E74"/>
    <w:rsid w:val="1138474D"/>
    <w:rsid w:val="12B40B75"/>
    <w:rsid w:val="12DF65E9"/>
    <w:rsid w:val="141D25CF"/>
    <w:rsid w:val="149E54BE"/>
    <w:rsid w:val="151F3B25"/>
    <w:rsid w:val="170C40E0"/>
    <w:rsid w:val="175624B5"/>
    <w:rsid w:val="176B1F00"/>
    <w:rsid w:val="19102D93"/>
    <w:rsid w:val="19F54612"/>
    <w:rsid w:val="1B045DCF"/>
    <w:rsid w:val="1B8E37DE"/>
    <w:rsid w:val="1B9403E7"/>
    <w:rsid w:val="1BEF3B3F"/>
    <w:rsid w:val="1C01126B"/>
    <w:rsid w:val="1D2863D5"/>
    <w:rsid w:val="1D341430"/>
    <w:rsid w:val="1D352F7B"/>
    <w:rsid w:val="1D725559"/>
    <w:rsid w:val="1DA92F5E"/>
    <w:rsid w:val="1E3D16B2"/>
    <w:rsid w:val="1E524B92"/>
    <w:rsid w:val="1FEF6B6A"/>
    <w:rsid w:val="206E532B"/>
    <w:rsid w:val="20BE2B36"/>
    <w:rsid w:val="20EE3329"/>
    <w:rsid w:val="21E87AF3"/>
    <w:rsid w:val="22C2681B"/>
    <w:rsid w:val="22D56455"/>
    <w:rsid w:val="23145942"/>
    <w:rsid w:val="23A51270"/>
    <w:rsid w:val="23EE0167"/>
    <w:rsid w:val="24F154A0"/>
    <w:rsid w:val="24F55105"/>
    <w:rsid w:val="25C51392"/>
    <w:rsid w:val="26025181"/>
    <w:rsid w:val="26847440"/>
    <w:rsid w:val="26DB434F"/>
    <w:rsid w:val="274016E3"/>
    <w:rsid w:val="276909B0"/>
    <w:rsid w:val="27787EFC"/>
    <w:rsid w:val="28BC4070"/>
    <w:rsid w:val="28C015BC"/>
    <w:rsid w:val="291D05E5"/>
    <w:rsid w:val="294066EC"/>
    <w:rsid w:val="29565F0F"/>
    <w:rsid w:val="29C9048F"/>
    <w:rsid w:val="29F01EC0"/>
    <w:rsid w:val="29FD6A87"/>
    <w:rsid w:val="2A674769"/>
    <w:rsid w:val="2A7412DF"/>
    <w:rsid w:val="2ACD2201"/>
    <w:rsid w:val="2B381D70"/>
    <w:rsid w:val="2CDE674B"/>
    <w:rsid w:val="2D0A4EC6"/>
    <w:rsid w:val="2D9B4F95"/>
    <w:rsid w:val="2DAA7D55"/>
    <w:rsid w:val="2EE644C2"/>
    <w:rsid w:val="2F622B5F"/>
    <w:rsid w:val="309D726B"/>
    <w:rsid w:val="34527401"/>
    <w:rsid w:val="351849C1"/>
    <w:rsid w:val="35690D78"/>
    <w:rsid w:val="366E2AEA"/>
    <w:rsid w:val="36AB2E5A"/>
    <w:rsid w:val="383D2EE1"/>
    <w:rsid w:val="38CC295C"/>
    <w:rsid w:val="392936C3"/>
    <w:rsid w:val="397A139D"/>
    <w:rsid w:val="397D2D60"/>
    <w:rsid w:val="39CE38A0"/>
    <w:rsid w:val="3ABF1230"/>
    <w:rsid w:val="3B223EA3"/>
    <w:rsid w:val="3B5F0C53"/>
    <w:rsid w:val="3B824354"/>
    <w:rsid w:val="3BDC6748"/>
    <w:rsid w:val="3D105503"/>
    <w:rsid w:val="3DDB658B"/>
    <w:rsid w:val="3EA57C53"/>
    <w:rsid w:val="3EDB0FF9"/>
    <w:rsid w:val="402B55A8"/>
    <w:rsid w:val="409E13A8"/>
    <w:rsid w:val="415415E8"/>
    <w:rsid w:val="41780CC1"/>
    <w:rsid w:val="41E77BA3"/>
    <w:rsid w:val="423A428B"/>
    <w:rsid w:val="42414F55"/>
    <w:rsid w:val="42434F45"/>
    <w:rsid w:val="43303C54"/>
    <w:rsid w:val="43664B49"/>
    <w:rsid w:val="437E6CDE"/>
    <w:rsid w:val="438A40BA"/>
    <w:rsid w:val="4416656F"/>
    <w:rsid w:val="446C2633"/>
    <w:rsid w:val="449D695B"/>
    <w:rsid w:val="44A3733E"/>
    <w:rsid w:val="45456D65"/>
    <w:rsid w:val="465A79C8"/>
    <w:rsid w:val="46A07224"/>
    <w:rsid w:val="48E705EF"/>
    <w:rsid w:val="4A1A5351"/>
    <w:rsid w:val="4ABF5418"/>
    <w:rsid w:val="4C1A4723"/>
    <w:rsid w:val="4C4C5250"/>
    <w:rsid w:val="4E0452F6"/>
    <w:rsid w:val="4FC83A20"/>
    <w:rsid w:val="50966110"/>
    <w:rsid w:val="52051770"/>
    <w:rsid w:val="522E5A90"/>
    <w:rsid w:val="52720E14"/>
    <w:rsid w:val="53C303BB"/>
    <w:rsid w:val="5481341A"/>
    <w:rsid w:val="55264E71"/>
    <w:rsid w:val="55F04CD5"/>
    <w:rsid w:val="55F208C7"/>
    <w:rsid w:val="56485B5D"/>
    <w:rsid w:val="567C074F"/>
    <w:rsid w:val="568906E9"/>
    <w:rsid w:val="56B3702D"/>
    <w:rsid w:val="57802226"/>
    <w:rsid w:val="57F474A5"/>
    <w:rsid w:val="58B72271"/>
    <w:rsid w:val="597E2795"/>
    <w:rsid w:val="5A661E4F"/>
    <w:rsid w:val="5A722EBF"/>
    <w:rsid w:val="5B050CD2"/>
    <w:rsid w:val="5B1606E3"/>
    <w:rsid w:val="5B497D43"/>
    <w:rsid w:val="5B667984"/>
    <w:rsid w:val="5B871DD5"/>
    <w:rsid w:val="5B985C9D"/>
    <w:rsid w:val="5C5A1297"/>
    <w:rsid w:val="5C935E20"/>
    <w:rsid w:val="5CE04CD2"/>
    <w:rsid w:val="5CEE6A05"/>
    <w:rsid w:val="5EF332DD"/>
    <w:rsid w:val="60AC721D"/>
    <w:rsid w:val="60D31618"/>
    <w:rsid w:val="61551EA4"/>
    <w:rsid w:val="6159356F"/>
    <w:rsid w:val="61A26C6E"/>
    <w:rsid w:val="627856C5"/>
    <w:rsid w:val="628438B8"/>
    <w:rsid w:val="62F06B52"/>
    <w:rsid w:val="635F3637"/>
    <w:rsid w:val="63A31FC2"/>
    <w:rsid w:val="6438424C"/>
    <w:rsid w:val="646719B3"/>
    <w:rsid w:val="66C420F6"/>
    <w:rsid w:val="66EC45B0"/>
    <w:rsid w:val="67CF3C71"/>
    <w:rsid w:val="67F96180"/>
    <w:rsid w:val="69470DF5"/>
    <w:rsid w:val="694C0FD1"/>
    <w:rsid w:val="699E4A1E"/>
    <w:rsid w:val="6AB73D58"/>
    <w:rsid w:val="6B416626"/>
    <w:rsid w:val="6C5439DE"/>
    <w:rsid w:val="6CB84B68"/>
    <w:rsid w:val="6CE258FF"/>
    <w:rsid w:val="6D7E5DF9"/>
    <w:rsid w:val="6E1F5E9D"/>
    <w:rsid w:val="6E5F273D"/>
    <w:rsid w:val="6E7F4B8D"/>
    <w:rsid w:val="6EF01D77"/>
    <w:rsid w:val="6F1277AF"/>
    <w:rsid w:val="6F49511C"/>
    <w:rsid w:val="70564FF1"/>
    <w:rsid w:val="705B0CE2"/>
    <w:rsid w:val="717F1ED5"/>
    <w:rsid w:val="71904CAF"/>
    <w:rsid w:val="71D515FA"/>
    <w:rsid w:val="73866267"/>
    <w:rsid w:val="73E21E46"/>
    <w:rsid w:val="741A20BA"/>
    <w:rsid w:val="741D6533"/>
    <w:rsid w:val="74D27CED"/>
    <w:rsid w:val="75875A79"/>
    <w:rsid w:val="759B7262"/>
    <w:rsid w:val="76086F57"/>
    <w:rsid w:val="763444AF"/>
    <w:rsid w:val="764B635C"/>
    <w:rsid w:val="7A706939"/>
    <w:rsid w:val="7AEC7106"/>
    <w:rsid w:val="7B6955E1"/>
    <w:rsid w:val="7C5807CC"/>
    <w:rsid w:val="7C8F3A0C"/>
    <w:rsid w:val="7CB4468B"/>
    <w:rsid w:val="7D5B5E64"/>
    <w:rsid w:val="7EB72BD5"/>
    <w:rsid w:val="BB370629"/>
    <w:rsid w:val="DBED0D86"/>
    <w:rsid w:val="FDBED5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0" w:name="envelope address"/>
    <w:lsdException w:qFormat="1" w:unhideWhenUsed="0" w:uiPriority="0" w:semiHidden="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uiPriority="0" w:name="List Bullet 4"/>
    <w:lsdException w:uiPriority="0" w:name="List Bullet 5"/>
    <w:lsdException w:uiPriority="0" w:name="List Number 2"/>
    <w:lsdException w:qFormat="1" w:unhideWhenUsed="0" w:uiPriority="0" w:semiHidden="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name="Body Text First Indent"/>
    <w:lsdException w:qFormat="1" w:uiPriority="99"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qFormat="1" w:unhideWhenUsed="0" w:uiPriority="0" w:semiHidden="0" w:name="HTML Address"/>
    <w:lsdException w:uiPriority="0" w:name="HTML Cite"/>
    <w:lsdException w:uiPriority="0" w:name="HTML Code"/>
    <w:lsdException w:uiPriority="0" w:name="HTML Definition"/>
    <w:lsdException w:uiPriority="0" w:name="HTML Keyboard"/>
    <w:lsdException w:qFormat="1" w:unhideWhenUsed="0" w:uiPriority="99"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rPr>
      <w:rFonts w:ascii="宋体" w:hAnsi="宋体" w:eastAsia="宋体" w:cs="宋体"/>
      <w:sz w:val="24"/>
      <w:szCs w:val="24"/>
      <w:lang w:val="en-US" w:eastAsia="zh-CN" w:bidi="ar-SA"/>
    </w:rPr>
  </w:style>
  <w:style w:type="paragraph" w:styleId="5">
    <w:name w:val="heading 1"/>
    <w:basedOn w:val="1"/>
    <w:next w:val="1"/>
    <w:link w:val="69"/>
    <w:autoRedefine/>
    <w:qFormat/>
    <w:uiPriority w:val="9"/>
    <w:pPr>
      <w:keepNext/>
      <w:keepLines/>
      <w:spacing w:beforeLines="100" w:afterLines="100" w:line="360" w:lineRule="auto"/>
      <w:jc w:val="center"/>
      <w:outlineLvl w:val="0"/>
    </w:pPr>
    <w:rPr>
      <w:rFonts w:ascii="黑体" w:eastAsia="黑体"/>
      <w:b/>
      <w:bCs/>
      <w:kern w:val="44"/>
      <w:sz w:val="32"/>
      <w:szCs w:val="32"/>
    </w:rPr>
  </w:style>
  <w:style w:type="paragraph" w:styleId="6">
    <w:name w:val="heading 2"/>
    <w:basedOn w:val="1"/>
    <w:next w:val="1"/>
    <w:link w:val="70"/>
    <w:autoRedefine/>
    <w:qFormat/>
    <w:uiPriority w:val="9"/>
    <w:pPr>
      <w:keepNext/>
      <w:keepLines/>
      <w:adjustRightInd w:val="0"/>
      <w:snapToGrid w:val="0"/>
      <w:spacing w:line="360" w:lineRule="auto"/>
      <w:outlineLvl w:val="1"/>
    </w:pPr>
    <w:rPr>
      <w:rFonts w:ascii="黑体" w:eastAsia="黑体"/>
      <w:b/>
      <w:bCs/>
      <w:snapToGrid w:val="0"/>
      <w:sz w:val="28"/>
      <w:szCs w:val="32"/>
    </w:rPr>
  </w:style>
  <w:style w:type="paragraph" w:styleId="7">
    <w:name w:val="heading 3"/>
    <w:basedOn w:val="1"/>
    <w:next w:val="1"/>
    <w:link w:val="71"/>
    <w:autoRedefine/>
    <w:qFormat/>
    <w:uiPriority w:val="0"/>
    <w:pPr>
      <w:keepNext/>
      <w:keepLines/>
      <w:spacing w:line="360" w:lineRule="auto"/>
      <w:outlineLvl w:val="2"/>
    </w:pPr>
    <w:rPr>
      <w:rFonts w:ascii="黑体" w:eastAsia="黑体"/>
      <w:b/>
      <w:bCs/>
      <w:snapToGrid w:val="0"/>
      <w:sz w:val="28"/>
      <w:szCs w:val="32"/>
    </w:rPr>
  </w:style>
  <w:style w:type="paragraph" w:styleId="8">
    <w:name w:val="heading 4"/>
    <w:basedOn w:val="1"/>
    <w:next w:val="1"/>
    <w:link w:val="72"/>
    <w:autoRedefine/>
    <w:qFormat/>
    <w:uiPriority w:val="0"/>
    <w:pPr>
      <w:keepNext/>
      <w:jc w:val="right"/>
      <w:outlineLvl w:val="3"/>
    </w:pPr>
    <w:rPr>
      <w:rFonts w:ascii="仿宋_GB2312" w:eastAsia="仿宋_GB2312"/>
      <w:b/>
      <w:bCs/>
      <w:snapToGrid w:val="0"/>
      <w:sz w:val="32"/>
      <w:szCs w:val="20"/>
    </w:rPr>
  </w:style>
  <w:style w:type="paragraph" w:styleId="9">
    <w:name w:val="heading 5"/>
    <w:basedOn w:val="1"/>
    <w:next w:val="1"/>
    <w:link w:val="73"/>
    <w:autoRedefine/>
    <w:qFormat/>
    <w:uiPriority w:val="0"/>
    <w:pPr>
      <w:keepNext/>
      <w:jc w:val="center"/>
      <w:outlineLvl w:val="4"/>
    </w:pPr>
    <w:rPr>
      <w:b/>
      <w:bCs/>
      <w:sz w:val="28"/>
    </w:rPr>
  </w:style>
  <w:style w:type="paragraph" w:styleId="10">
    <w:name w:val="heading 6"/>
    <w:basedOn w:val="1"/>
    <w:next w:val="1"/>
    <w:link w:val="74"/>
    <w:autoRedefine/>
    <w:qFormat/>
    <w:uiPriority w:val="0"/>
    <w:pPr>
      <w:keepNext/>
      <w:jc w:val="center"/>
      <w:outlineLvl w:val="5"/>
    </w:pPr>
    <w:rPr>
      <w:b/>
      <w:bCs/>
      <w:sz w:val="32"/>
    </w:rPr>
  </w:style>
  <w:style w:type="paragraph" w:styleId="11">
    <w:name w:val="heading 7"/>
    <w:basedOn w:val="1"/>
    <w:next w:val="1"/>
    <w:link w:val="75"/>
    <w:autoRedefine/>
    <w:qFormat/>
    <w:uiPriority w:val="0"/>
    <w:pPr>
      <w:keepNext/>
      <w:outlineLvl w:val="6"/>
    </w:pPr>
    <w:rPr>
      <w:b/>
      <w:bCs/>
      <w:color w:val="FF0000"/>
      <w:sz w:val="32"/>
    </w:rPr>
  </w:style>
  <w:style w:type="paragraph" w:styleId="12">
    <w:name w:val="heading 8"/>
    <w:basedOn w:val="1"/>
    <w:next w:val="1"/>
    <w:link w:val="76"/>
    <w:autoRedefine/>
    <w:qFormat/>
    <w:uiPriority w:val="0"/>
    <w:pPr>
      <w:keepNext/>
      <w:spacing w:beforeLines="100" w:line="360" w:lineRule="auto"/>
      <w:ind w:firstLine="480"/>
      <w:outlineLvl w:val="7"/>
    </w:pPr>
    <w:rPr>
      <w:b/>
      <w:bCs/>
    </w:rPr>
  </w:style>
  <w:style w:type="paragraph" w:styleId="13">
    <w:name w:val="heading 9"/>
    <w:basedOn w:val="1"/>
    <w:next w:val="1"/>
    <w:link w:val="77"/>
    <w:autoRedefine/>
    <w:qFormat/>
    <w:uiPriority w:val="0"/>
    <w:pPr>
      <w:keepNext/>
      <w:ind w:left="422"/>
      <w:outlineLvl w:val="8"/>
    </w:pPr>
    <w:rPr>
      <w:b/>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autoRedefine/>
    <w:semiHidden/>
    <w:unhideWhenUsed/>
    <w:qFormat/>
    <w:uiPriority w:val="99"/>
    <w:pPr>
      <w:ind w:firstLine="420" w:firstLineChars="200"/>
    </w:pPr>
  </w:style>
  <w:style w:type="paragraph" w:styleId="3">
    <w:name w:val="Body Text Indent"/>
    <w:basedOn w:val="1"/>
    <w:next w:val="4"/>
    <w:link w:val="185"/>
    <w:autoRedefine/>
    <w:qFormat/>
    <w:uiPriority w:val="0"/>
    <w:pPr>
      <w:ind w:firstLine="560" w:firstLineChars="200"/>
    </w:pPr>
    <w:rPr>
      <w:sz w:val="28"/>
    </w:rPr>
  </w:style>
  <w:style w:type="paragraph" w:styleId="4">
    <w:name w:val="Normal Indent"/>
    <w:basedOn w:val="1"/>
    <w:link w:val="90"/>
    <w:autoRedefine/>
    <w:qFormat/>
    <w:uiPriority w:val="0"/>
    <w:pPr>
      <w:ind w:firstLine="420"/>
    </w:pPr>
    <w:rPr>
      <w:szCs w:val="20"/>
    </w:rPr>
  </w:style>
  <w:style w:type="paragraph" w:styleId="14">
    <w:name w:val="List 3"/>
    <w:basedOn w:val="1"/>
    <w:autoRedefine/>
    <w:qFormat/>
    <w:uiPriority w:val="0"/>
    <w:pPr>
      <w:ind w:left="100" w:leftChars="400" w:hanging="200" w:hangingChars="200"/>
    </w:pPr>
  </w:style>
  <w:style w:type="paragraph" w:styleId="15">
    <w:name w:val="toc 7"/>
    <w:basedOn w:val="1"/>
    <w:next w:val="1"/>
    <w:autoRedefine/>
    <w:unhideWhenUsed/>
    <w:qFormat/>
    <w:uiPriority w:val="39"/>
    <w:pPr>
      <w:widowControl w:val="0"/>
      <w:ind w:left="2520" w:leftChars="1200"/>
      <w:jc w:val="both"/>
    </w:pPr>
    <w:rPr>
      <w:rFonts w:asciiTheme="minorHAnsi" w:hAnsiTheme="minorHAnsi" w:eastAsiaTheme="minorEastAsia" w:cstheme="minorBidi"/>
      <w:kern w:val="2"/>
      <w:sz w:val="21"/>
      <w:szCs w:val="22"/>
    </w:rPr>
  </w:style>
  <w:style w:type="paragraph" w:styleId="16">
    <w:name w:val="Note Heading"/>
    <w:basedOn w:val="1"/>
    <w:next w:val="1"/>
    <w:link w:val="155"/>
    <w:autoRedefine/>
    <w:qFormat/>
    <w:uiPriority w:val="0"/>
    <w:pPr>
      <w:jc w:val="center"/>
    </w:pPr>
    <w:rPr>
      <w:sz w:val="28"/>
      <w:szCs w:val="20"/>
    </w:rPr>
  </w:style>
  <w:style w:type="paragraph" w:styleId="17">
    <w:name w:val="List Number"/>
    <w:basedOn w:val="1"/>
    <w:autoRedefine/>
    <w:qFormat/>
    <w:uiPriority w:val="0"/>
    <w:pPr>
      <w:tabs>
        <w:tab w:val="left" w:pos="360"/>
      </w:tabs>
      <w:ind w:left="360" w:hanging="360" w:hangingChars="200"/>
    </w:pPr>
    <w:rPr>
      <w:rFonts w:ascii="仿宋_GB2312" w:eastAsia="仿宋_GB2312"/>
      <w:sz w:val="28"/>
    </w:rPr>
  </w:style>
  <w:style w:type="paragraph" w:styleId="18">
    <w:name w:val="caption"/>
    <w:basedOn w:val="1"/>
    <w:next w:val="1"/>
    <w:link w:val="106"/>
    <w:autoRedefine/>
    <w:qFormat/>
    <w:uiPriority w:val="0"/>
    <w:rPr>
      <w:rFonts w:ascii="Arial" w:hAnsi="Arial" w:eastAsia="黑体"/>
      <w:sz w:val="20"/>
      <w:szCs w:val="20"/>
    </w:rPr>
  </w:style>
  <w:style w:type="paragraph" w:styleId="19">
    <w:name w:val="List Bullet"/>
    <w:basedOn w:val="1"/>
    <w:autoRedefine/>
    <w:qFormat/>
    <w:uiPriority w:val="0"/>
    <w:pPr>
      <w:tabs>
        <w:tab w:val="left" w:pos="360"/>
      </w:tabs>
      <w:ind w:left="360" w:hanging="360" w:hangingChars="200"/>
    </w:pPr>
    <w:rPr>
      <w:szCs w:val="20"/>
    </w:rPr>
  </w:style>
  <w:style w:type="paragraph" w:styleId="20">
    <w:name w:val="Document Map"/>
    <w:basedOn w:val="1"/>
    <w:link w:val="79"/>
    <w:autoRedefine/>
    <w:qFormat/>
    <w:uiPriority w:val="0"/>
    <w:pPr>
      <w:shd w:val="clear" w:color="auto" w:fill="000080"/>
    </w:pPr>
  </w:style>
  <w:style w:type="paragraph" w:styleId="21">
    <w:name w:val="annotation text"/>
    <w:basedOn w:val="1"/>
    <w:link w:val="274"/>
    <w:autoRedefine/>
    <w:qFormat/>
    <w:uiPriority w:val="0"/>
  </w:style>
  <w:style w:type="paragraph" w:styleId="22">
    <w:name w:val="Salutation"/>
    <w:basedOn w:val="1"/>
    <w:next w:val="1"/>
    <w:link w:val="237"/>
    <w:autoRedefine/>
    <w:qFormat/>
    <w:uiPriority w:val="0"/>
    <w:rPr>
      <w:rFonts w:eastAsia="楷体_GB2312"/>
      <w:szCs w:val="20"/>
    </w:rPr>
  </w:style>
  <w:style w:type="paragraph" w:styleId="23">
    <w:name w:val="Body Text 3"/>
    <w:basedOn w:val="1"/>
    <w:link w:val="164"/>
    <w:autoRedefine/>
    <w:qFormat/>
    <w:uiPriority w:val="0"/>
    <w:pPr>
      <w:spacing w:after="120"/>
    </w:pPr>
    <w:rPr>
      <w:sz w:val="16"/>
      <w:szCs w:val="16"/>
    </w:rPr>
  </w:style>
  <w:style w:type="paragraph" w:styleId="24">
    <w:name w:val="List Bullet 3"/>
    <w:basedOn w:val="1"/>
    <w:autoRedefine/>
    <w:qFormat/>
    <w:uiPriority w:val="0"/>
    <w:pPr>
      <w:tabs>
        <w:tab w:val="left" w:pos="1200"/>
      </w:tabs>
      <w:ind w:left="1200" w:leftChars="400" w:hanging="360" w:hangingChars="200"/>
    </w:pPr>
    <w:rPr>
      <w:szCs w:val="20"/>
    </w:rPr>
  </w:style>
  <w:style w:type="paragraph" w:styleId="25">
    <w:name w:val="Body Text"/>
    <w:basedOn w:val="1"/>
    <w:next w:val="26"/>
    <w:link w:val="82"/>
    <w:autoRedefine/>
    <w:qFormat/>
    <w:uiPriority w:val="0"/>
    <w:pPr>
      <w:spacing w:line="500" w:lineRule="atLeast"/>
    </w:pPr>
  </w:style>
  <w:style w:type="paragraph" w:styleId="26">
    <w:name w:val="Body Text First Indent"/>
    <w:basedOn w:val="25"/>
    <w:next w:val="1"/>
    <w:autoRedefine/>
    <w:semiHidden/>
    <w:unhideWhenUsed/>
    <w:qFormat/>
    <w:uiPriority w:val="99"/>
    <w:pPr>
      <w:widowControl w:val="0"/>
      <w:spacing w:after="120" w:line="240" w:lineRule="auto"/>
      <w:ind w:firstLine="420" w:firstLineChars="100"/>
      <w:jc w:val="both"/>
    </w:pPr>
    <w:rPr>
      <w:rFonts w:ascii="Times New Roman" w:hAnsi="Times New Roman" w:cs="Times New Roman"/>
      <w:sz w:val="28"/>
      <w:szCs w:val="20"/>
    </w:rPr>
  </w:style>
  <w:style w:type="paragraph" w:styleId="27">
    <w:name w:val="List Number 3"/>
    <w:basedOn w:val="1"/>
    <w:autoRedefine/>
    <w:qFormat/>
    <w:uiPriority w:val="0"/>
    <w:pPr>
      <w:tabs>
        <w:tab w:val="left" w:pos="1200"/>
      </w:tabs>
      <w:autoSpaceDE w:val="0"/>
      <w:autoSpaceDN w:val="0"/>
      <w:adjustRightInd w:val="0"/>
      <w:ind w:left="1200" w:leftChars="400" w:hanging="360" w:hangingChars="200"/>
      <w:textAlignment w:val="baseline"/>
    </w:pPr>
    <w:rPr>
      <w:sz w:val="28"/>
      <w:szCs w:val="20"/>
    </w:rPr>
  </w:style>
  <w:style w:type="paragraph" w:styleId="28">
    <w:name w:val="List 2"/>
    <w:basedOn w:val="1"/>
    <w:autoRedefine/>
    <w:qFormat/>
    <w:uiPriority w:val="0"/>
    <w:pPr>
      <w:spacing w:line="360" w:lineRule="exact"/>
      <w:jc w:val="center"/>
    </w:pPr>
    <w:rPr>
      <w:rFonts w:ascii="仿宋_GB2312" w:eastAsia="仿宋_GB2312"/>
      <w:sz w:val="28"/>
      <w:szCs w:val="20"/>
    </w:rPr>
  </w:style>
  <w:style w:type="paragraph" w:styleId="29">
    <w:name w:val="Block Text"/>
    <w:basedOn w:val="1"/>
    <w:autoRedefine/>
    <w:qFormat/>
    <w:uiPriority w:val="0"/>
    <w:pPr>
      <w:spacing w:after="120" w:line="500" w:lineRule="exact"/>
      <w:ind w:left="1440" w:leftChars="700" w:right="1440" w:rightChars="700"/>
    </w:pPr>
    <w:rPr>
      <w:rFonts w:eastAsia="仿宋_GB2312"/>
      <w:sz w:val="28"/>
    </w:rPr>
  </w:style>
  <w:style w:type="paragraph" w:styleId="30">
    <w:name w:val="List Bullet 2"/>
    <w:basedOn w:val="1"/>
    <w:autoRedefine/>
    <w:qFormat/>
    <w:uiPriority w:val="0"/>
    <w:pPr>
      <w:tabs>
        <w:tab w:val="left" w:pos="780"/>
      </w:tabs>
      <w:ind w:left="780" w:leftChars="200" w:hanging="360" w:hangingChars="200"/>
    </w:pPr>
    <w:rPr>
      <w:szCs w:val="20"/>
    </w:rPr>
  </w:style>
  <w:style w:type="paragraph" w:styleId="31">
    <w:name w:val="HTML Address"/>
    <w:basedOn w:val="1"/>
    <w:link w:val="223"/>
    <w:autoRedefine/>
    <w:qFormat/>
    <w:uiPriority w:val="0"/>
    <w:rPr>
      <w:i/>
      <w:iCs/>
      <w:szCs w:val="20"/>
    </w:rPr>
  </w:style>
  <w:style w:type="paragraph" w:styleId="32">
    <w:name w:val="toc 5"/>
    <w:basedOn w:val="1"/>
    <w:next w:val="1"/>
    <w:autoRedefine/>
    <w:unhideWhenUsed/>
    <w:qFormat/>
    <w:uiPriority w:val="39"/>
    <w:pPr>
      <w:widowControl w:val="0"/>
      <w:ind w:left="1680" w:leftChars="800"/>
      <w:jc w:val="both"/>
    </w:pPr>
    <w:rPr>
      <w:rFonts w:asciiTheme="minorHAnsi" w:hAnsiTheme="minorHAnsi" w:eastAsiaTheme="minorEastAsia" w:cstheme="minorBidi"/>
      <w:kern w:val="2"/>
      <w:sz w:val="21"/>
      <w:szCs w:val="22"/>
    </w:rPr>
  </w:style>
  <w:style w:type="paragraph" w:styleId="33">
    <w:name w:val="toc 3"/>
    <w:basedOn w:val="1"/>
    <w:next w:val="1"/>
    <w:autoRedefine/>
    <w:qFormat/>
    <w:uiPriority w:val="39"/>
    <w:pPr>
      <w:ind w:left="840" w:leftChars="400"/>
    </w:pPr>
  </w:style>
  <w:style w:type="paragraph" w:styleId="34">
    <w:name w:val="Plain Text"/>
    <w:basedOn w:val="1"/>
    <w:link w:val="87"/>
    <w:autoRedefine/>
    <w:qFormat/>
    <w:uiPriority w:val="0"/>
    <w:rPr>
      <w:rFonts w:hAnsi="Courier New"/>
      <w:szCs w:val="21"/>
    </w:rPr>
  </w:style>
  <w:style w:type="paragraph" w:styleId="35">
    <w:name w:val="toc 8"/>
    <w:basedOn w:val="1"/>
    <w:next w:val="1"/>
    <w:autoRedefine/>
    <w:unhideWhenUsed/>
    <w:qFormat/>
    <w:uiPriority w:val="39"/>
    <w:pPr>
      <w:widowControl w:val="0"/>
      <w:ind w:left="2940" w:leftChars="1400"/>
      <w:jc w:val="both"/>
    </w:pPr>
    <w:rPr>
      <w:rFonts w:asciiTheme="minorHAnsi" w:hAnsiTheme="minorHAnsi" w:eastAsiaTheme="minorEastAsia" w:cstheme="minorBidi"/>
      <w:kern w:val="2"/>
      <w:sz w:val="21"/>
      <w:szCs w:val="22"/>
    </w:rPr>
  </w:style>
  <w:style w:type="paragraph" w:styleId="36">
    <w:name w:val="Date"/>
    <w:basedOn w:val="1"/>
    <w:next w:val="1"/>
    <w:link w:val="277"/>
    <w:autoRedefine/>
    <w:qFormat/>
    <w:uiPriority w:val="0"/>
    <w:pPr>
      <w:ind w:left="100" w:leftChars="2500"/>
    </w:pPr>
    <w:rPr>
      <w:b/>
      <w:spacing w:val="-4"/>
    </w:rPr>
  </w:style>
  <w:style w:type="paragraph" w:styleId="37">
    <w:name w:val="Body Text Indent 2"/>
    <w:basedOn w:val="1"/>
    <w:link w:val="252"/>
    <w:autoRedefine/>
    <w:qFormat/>
    <w:uiPriority w:val="0"/>
    <w:pPr>
      <w:spacing w:line="360" w:lineRule="auto"/>
      <w:ind w:firstLine="480" w:firstLineChars="200"/>
    </w:pPr>
    <w:rPr>
      <w:color w:val="FF0000"/>
    </w:rPr>
  </w:style>
  <w:style w:type="paragraph" w:styleId="38">
    <w:name w:val="Balloon Text"/>
    <w:basedOn w:val="1"/>
    <w:link w:val="91"/>
    <w:autoRedefine/>
    <w:qFormat/>
    <w:uiPriority w:val="0"/>
    <w:rPr>
      <w:sz w:val="18"/>
      <w:szCs w:val="18"/>
    </w:rPr>
  </w:style>
  <w:style w:type="paragraph" w:styleId="39">
    <w:name w:val="footer"/>
    <w:basedOn w:val="1"/>
    <w:link w:val="84"/>
    <w:autoRedefine/>
    <w:qFormat/>
    <w:uiPriority w:val="99"/>
    <w:pPr>
      <w:tabs>
        <w:tab w:val="center" w:pos="4153"/>
        <w:tab w:val="right" w:pos="8306"/>
      </w:tabs>
      <w:snapToGrid w:val="0"/>
    </w:pPr>
    <w:rPr>
      <w:sz w:val="18"/>
      <w:szCs w:val="18"/>
    </w:rPr>
  </w:style>
  <w:style w:type="paragraph" w:styleId="40">
    <w:name w:val="envelope return"/>
    <w:basedOn w:val="1"/>
    <w:autoRedefine/>
    <w:qFormat/>
    <w:uiPriority w:val="0"/>
    <w:pPr>
      <w:snapToGrid w:val="0"/>
    </w:pPr>
    <w:rPr>
      <w:rFonts w:ascii="Arial" w:hAnsi="Arial"/>
      <w:szCs w:val="20"/>
    </w:rPr>
  </w:style>
  <w:style w:type="paragraph" w:styleId="41">
    <w:name w:val="header"/>
    <w:basedOn w:val="1"/>
    <w:link w:val="83"/>
    <w:autoRedefine/>
    <w:qFormat/>
    <w:uiPriority w:val="99"/>
    <w:pPr>
      <w:pBdr>
        <w:bottom w:val="single" w:color="auto" w:sz="6" w:space="1"/>
      </w:pBdr>
      <w:tabs>
        <w:tab w:val="center" w:pos="4153"/>
        <w:tab w:val="right" w:pos="8306"/>
      </w:tabs>
      <w:snapToGrid w:val="0"/>
      <w:jc w:val="center"/>
    </w:pPr>
    <w:rPr>
      <w:sz w:val="18"/>
      <w:szCs w:val="18"/>
    </w:rPr>
  </w:style>
  <w:style w:type="paragraph" w:styleId="42">
    <w:name w:val="toc 1"/>
    <w:basedOn w:val="1"/>
    <w:next w:val="1"/>
    <w:autoRedefine/>
    <w:qFormat/>
    <w:uiPriority w:val="39"/>
  </w:style>
  <w:style w:type="paragraph" w:styleId="43">
    <w:name w:val="toc 4"/>
    <w:basedOn w:val="1"/>
    <w:next w:val="1"/>
    <w:autoRedefine/>
    <w:unhideWhenUsed/>
    <w:qFormat/>
    <w:uiPriority w:val="39"/>
    <w:pPr>
      <w:widowControl w:val="0"/>
      <w:ind w:left="1260" w:leftChars="600"/>
      <w:jc w:val="both"/>
    </w:pPr>
    <w:rPr>
      <w:rFonts w:asciiTheme="minorHAnsi" w:hAnsiTheme="minorHAnsi" w:eastAsiaTheme="minorEastAsia" w:cstheme="minorBidi"/>
      <w:kern w:val="2"/>
      <w:sz w:val="21"/>
      <w:szCs w:val="22"/>
    </w:rPr>
  </w:style>
  <w:style w:type="paragraph" w:styleId="44">
    <w:name w:val="index heading"/>
    <w:basedOn w:val="1"/>
    <w:next w:val="45"/>
    <w:autoRedefine/>
    <w:qFormat/>
    <w:uiPriority w:val="0"/>
    <w:rPr>
      <w:sz w:val="28"/>
    </w:rPr>
  </w:style>
  <w:style w:type="paragraph" w:styleId="45">
    <w:name w:val="index 1"/>
    <w:basedOn w:val="1"/>
    <w:next w:val="1"/>
    <w:autoRedefine/>
    <w:qFormat/>
    <w:uiPriority w:val="0"/>
  </w:style>
  <w:style w:type="paragraph" w:styleId="46">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47">
    <w:name w:val="List"/>
    <w:basedOn w:val="1"/>
    <w:link w:val="232"/>
    <w:autoRedefine/>
    <w:qFormat/>
    <w:uiPriority w:val="0"/>
    <w:pPr>
      <w:overflowPunct w:val="0"/>
      <w:autoSpaceDE w:val="0"/>
      <w:autoSpaceDN w:val="0"/>
      <w:adjustRightInd w:val="0"/>
      <w:spacing w:line="360" w:lineRule="auto"/>
      <w:jc w:val="center"/>
      <w:textAlignment w:val="baseline"/>
    </w:pPr>
    <w:rPr>
      <w:szCs w:val="20"/>
      <w:lang w:val="en-GB"/>
    </w:rPr>
  </w:style>
  <w:style w:type="paragraph" w:styleId="48">
    <w:name w:val="footnote text"/>
    <w:basedOn w:val="1"/>
    <w:link w:val="215"/>
    <w:autoRedefine/>
    <w:qFormat/>
    <w:uiPriority w:val="0"/>
    <w:pPr>
      <w:snapToGrid w:val="0"/>
    </w:pPr>
    <w:rPr>
      <w:sz w:val="18"/>
      <w:szCs w:val="18"/>
    </w:rPr>
  </w:style>
  <w:style w:type="paragraph" w:styleId="49">
    <w:name w:val="toc 6"/>
    <w:basedOn w:val="1"/>
    <w:next w:val="1"/>
    <w:autoRedefine/>
    <w:unhideWhenUsed/>
    <w:qFormat/>
    <w:uiPriority w:val="39"/>
    <w:pPr>
      <w:widowControl w:val="0"/>
      <w:ind w:left="2100" w:leftChars="1000"/>
      <w:jc w:val="both"/>
    </w:pPr>
    <w:rPr>
      <w:rFonts w:asciiTheme="minorHAnsi" w:hAnsiTheme="minorHAnsi" w:eastAsiaTheme="minorEastAsia" w:cstheme="minorBidi"/>
      <w:kern w:val="2"/>
      <w:sz w:val="21"/>
      <w:szCs w:val="22"/>
    </w:rPr>
  </w:style>
  <w:style w:type="paragraph" w:styleId="50">
    <w:name w:val="List 5"/>
    <w:basedOn w:val="1"/>
    <w:autoRedefine/>
    <w:qFormat/>
    <w:uiPriority w:val="0"/>
    <w:pPr>
      <w:ind w:left="100" w:leftChars="800" w:hanging="200" w:hangingChars="200"/>
    </w:pPr>
  </w:style>
  <w:style w:type="paragraph" w:styleId="51">
    <w:name w:val="Body Text Indent 3"/>
    <w:basedOn w:val="1"/>
    <w:autoRedefine/>
    <w:qFormat/>
    <w:uiPriority w:val="0"/>
    <w:pPr>
      <w:spacing w:after="120"/>
      <w:ind w:left="420" w:leftChars="200"/>
    </w:pPr>
    <w:rPr>
      <w:sz w:val="16"/>
      <w:szCs w:val="16"/>
    </w:rPr>
  </w:style>
  <w:style w:type="paragraph" w:styleId="52">
    <w:name w:val="table of figures"/>
    <w:basedOn w:val="1"/>
    <w:next w:val="1"/>
    <w:autoRedefine/>
    <w:qFormat/>
    <w:uiPriority w:val="0"/>
    <w:pPr>
      <w:ind w:left="200" w:leftChars="200" w:hanging="200" w:hangingChars="200"/>
    </w:pPr>
  </w:style>
  <w:style w:type="paragraph" w:styleId="53">
    <w:name w:val="toc 2"/>
    <w:basedOn w:val="1"/>
    <w:next w:val="1"/>
    <w:autoRedefine/>
    <w:qFormat/>
    <w:uiPriority w:val="39"/>
    <w:pPr>
      <w:ind w:left="420" w:leftChars="200"/>
    </w:pPr>
  </w:style>
  <w:style w:type="paragraph" w:styleId="54">
    <w:name w:val="toc 9"/>
    <w:basedOn w:val="1"/>
    <w:next w:val="1"/>
    <w:autoRedefine/>
    <w:unhideWhenUsed/>
    <w:qFormat/>
    <w:uiPriority w:val="39"/>
    <w:pPr>
      <w:widowControl w:val="0"/>
      <w:ind w:left="3360" w:leftChars="1600"/>
      <w:jc w:val="both"/>
    </w:pPr>
    <w:rPr>
      <w:rFonts w:asciiTheme="minorHAnsi" w:hAnsiTheme="minorHAnsi" w:eastAsiaTheme="minorEastAsia" w:cstheme="minorBidi"/>
      <w:kern w:val="2"/>
      <w:sz w:val="21"/>
      <w:szCs w:val="22"/>
    </w:rPr>
  </w:style>
  <w:style w:type="paragraph" w:styleId="55">
    <w:name w:val="Body Text 2"/>
    <w:basedOn w:val="1"/>
    <w:autoRedefine/>
    <w:qFormat/>
    <w:uiPriority w:val="0"/>
    <w:pPr>
      <w:spacing w:line="360" w:lineRule="auto"/>
    </w:pPr>
    <w:rPr>
      <w:sz w:val="28"/>
    </w:rPr>
  </w:style>
  <w:style w:type="paragraph" w:styleId="56">
    <w:name w:val="List 4"/>
    <w:basedOn w:val="1"/>
    <w:autoRedefine/>
    <w:qFormat/>
    <w:uiPriority w:val="0"/>
    <w:pPr>
      <w:ind w:left="100" w:leftChars="600" w:hanging="200" w:hangingChars="200"/>
    </w:pPr>
  </w:style>
  <w:style w:type="paragraph" w:styleId="57">
    <w:name w:val="HTML Preformatted"/>
    <w:basedOn w:val="1"/>
    <w:link w:val="789"/>
    <w:autoRedefine/>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58">
    <w:name w:val="Normal (Web)"/>
    <w:basedOn w:val="1"/>
    <w:autoRedefine/>
    <w:qFormat/>
    <w:uiPriority w:val="0"/>
    <w:pPr>
      <w:spacing w:before="100" w:beforeAutospacing="1" w:after="100" w:afterAutospacing="1"/>
    </w:pPr>
  </w:style>
  <w:style w:type="paragraph" w:styleId="59">
    <w:name w:val="Title"/>
    <w:basedOn w:val="1"/>
    <w:autoRedefine/>
    <w:qFormat/>
    <w:uiPriority w:val="0"/>
    <w:pPr>
      <w:spacing w:before="240" w:after="60"/>
      <w:jc w:val="center"/>
      <w:outlineLvl w:val="0"/>
    </w:pPr>
    <w:rPr>
      <w:rFonts w:ascii="Arial" w:hAnsi="Arial" w:cs="Arial"/>
      <w:b/>
      <w:bCs/>
      <w:sz w:val="32"/>
      <w:szCs w:val="32"/>
    </w:rPr>
  </w:style>
  <w:style w:type="paragraph" w:styleId="60">
    <w:name w:val="annotation subject"/>
    <w:basedOn w:val="21"/>
    <w:next w:val="21"/>
    <w:link w:val="306"/>
    <w:autoRedefine/>
    <w:qFormat/>
    <w:uiPriority w:val="0"/>
    <w:rPr>
      <w:b/>
      <w:bCs/>
    </w:rPr>
  </w:style>
  <w:style w:type="table" w:styleId="62">
    <w:name w:val="Table Grid"/>
    <w:basedOn w:val="61"/>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4">
    <w:name w:val="Strong"/>
    <w:autoRedefine/>
    <w:qFormat/>
    <w:uiPriority w:val="0"/>
    <w:rPr>
      <w:b/>
      <w:bCs/>
    </w:rPr>
  </w:style>
  <w:style w:type="character" w:styleId="65">
    <w:name w:val="page number"/>
    <w:basedOn w:val="63"/>
    <w:autoRedefine/>
    <w:qFormat/>
    <w:uiPriority w:val="0"/>
  </w:style>
  <w:style w:type="character" w:styleId="66">
    <w:name w:val="Emphasis"/>
    <w:autoRedefine/>
    <w:qFormat/>
    <w:uiPriority w:val="20"/>
    <w:rPr>
      <w:i/>
      <w:iCs/>
    </w:rPr>
  </w:style>
  <w:style w:type="character" w:styleId="67">
    <w:name w:val="Hyperlink"/>
    <w:autoRedefine/>
    <w:qFormat/>
    <w:uiPriority w:val="99"/>
    <w:rPr>
      <w:color w:val="0000FF"/>
      <w:u w:val="single"/>
    </w:rPr>
  </w:style>
  <w:style w:type="character" w:styleId="68">
    <w:name w:val="annotation reference"/>
    <w:autoRedefine/>
    <w:qFormat/>
    <w:uiPriority w:val="0"/>
    <w:rPr>
      <w:sz w:val="21"/>
      <w:szCs w:val="21"/>
    </w:rPr>
  </w:style>
  <w:style w:type="character" w:customStyle="1" w:styleId="69">
    <w:name w:val="标题 1 Char"/>
    <w:link w:val="5"/>
    <w:autoRedefine/>
    <w:qFormat/>
    <w:uiPriority w:val="9"/>
    <w:rPr>
      <w:rFonts w:ascii="黑体" w:eastAsia="黑体"/>
      <w:b/>
      <w:bCs/>
      <w:kern w:val="44"/>
      <w:sz w:val="32"/>
      <w:szCs w:val="32"/>
      <w:lang w:val="en-US" w:eastAsia="zh-CN" w:bidi="ar-SA"/>
    </w:rPr>
  </w:style>
  <w:style w:type="character" w:customStyle="1" w:styleId="70">
    <w:name w:val="标题 2 Char"/>
    <w:link w:val="6"/>
    <w:autoRedefine/>
    <w:qFormat/>
    <w:uiPriority w:val="9"/>
    <w:rPr>
      <w:rFonts w:ascii="黑体" w:hAnsi="宋体" w:eastAsia="黑体"/>
      <w:b/>
      <w:bCs/>
      <w:snapToGrid w:val="0"/>
      <w:sz w:val="28"/>
      <w:szCs w:val="32"/>
      <w:lang w:val="en-US" w:eastAsia="zh-CN" w:bidi="ar-SA"/>
    </w:rPr>
  </w:style>
  <w:style w:type="character" w:customStyle="1" w:styleId="71">
    <w:name w:val="标题 3 Char"/>
    <w:link w:val="7"/>
    <w:autoRedefine/>
    <w:qFormat/>
    <w:uiPriority w:val="0"/>
    <w:rPr>
      <w:rFonts w:ascii="黑体" w:hAnsi="宋体" w:eastAsia="黑体"/>
      <w:b/>
      <w:bCs/>
      <w:snapToGrid w:val="0"/>
      <w:sz w:val="28"/>
      <w:szCs w:val="32"/>
      <w:lang w:val="en-US" w:eastAsia="zh-CN" w:bidi="ar-SA"/>
    </w:rPr>
  </w:style>
  <w:style w:type="character" w:customStyle="1" w:styleId="72">
    <w:name w:val="标题 4 Char"/>
    <w:link w:val="8"/>
    <w:autoRedefine/>
    <w:qFormat/>
    <w:uiPriority w:val="0"/>
    <w:rPr>
      <w:rFonts w:ascii="仿宋_GB2312" w:eastAsia="仿宋_GB2312"/>
      <w:b/>
      <w:bCs/>
      <w:snapToGrid w:val="0"/>
      <w:sz w:val="32"/>
      <w:lang w:val="en-US" w:eastAsia="zh-CN" w:bidi="ar-SA"/>
    </w:rPr>
  </w:style>
  <w:style w:type="character" w:customStyle="1" w:styleId="73">
    <w:name w:val="标题 5 Char"/>
    <w:link w:val="9"/>
    <w:autoRedefine/>
    <w:qFormat/>
    <w:uiPriority w:val="0"/>
    <w:rPr>
      <w:rFonts w:ascii="宋体" w:hAnsi="宋体" w:eastAsia="宋体"/>
      <w:b/>
      <w:bCs/>
      <w:kern w:val="2"/>
      <w:sz w:val="28"/>
      <w:szCs w:val="24"/>
      <w:lang w:val="en-US" w:eastAsia="zh-CN" w:bidi="ar-SA"/>
    </w:rPr>
  </w:style>
  <w:style w:type="character" w:customStyle="1" w:styleId="74">
    <w:name w:val="标题 6 Char"/>
    <w:link w:val="10"/>
    <w:autoRedefine/>
    <w:qFormat/>
    <w:uiPriority w:val="0"/>
    <w:rPr>
      <w:rFonts w:ascii="宋体" w:hAnsi="宋体" w:eastAsia="宋体"/>
      <w:b/>
      <w:bCs/>
      <w:kern w:val="2"/>
      <w:sz w:val="32"/>
      <w:szCs w:val="24"/>
      <w:lang w:val="en-US" w:eastAsia="zh-CN" w:bidi="ar-SA"/>
    </w:rPr>
  </w:style>
  <w:style w:type="character" w:customStyle="1" w:styleId="75">
    <w:name w:val="标题 7 Char"/>
    <w:link w:val="11"/>
    <w:autoRedefine/>
    <w:qFormat/>
    <w:uiPriority w:val="0"/>
    <w:rPr>
      <w:rFonts w:ascii="宋体" w:hAnsi="宋体" w:eastAsia="宋体"/>
      <w:b/>
      <w:bCs/>
      <w:color w:val="FF0000"/>
      <w:kern w:val="2"/>
      <w:sz w:val="32"/>
      <w:szCs w:val="24"/>
      <w:lang w:val="en-US" w:eastAsia="zh-CN" w:bidi="ar-SA"/>
    </w:rPr>
  </w:style>
  <w:style w:type="character" w:customStyle="1" w:styleId="76">
    <w:name w:val="标题 8 Char"/>
    <w:link w:val="12"/>
    <w:autoRedefine/>
    <w:qFormat/>
    <w:uiPriority w:val="0"/>
    <w:rPr>
      <w:rFonts w:ascii="宋体" w:eastAsia="宋体"/>
      <w:b/>
      <w:bCs/>
      <w:kern w:val="2"/>
      <w:sz w:val="24"/>
      <w:szCs w:val="24"/>
      <w:lang w:val="en-US" w:eastAsia="zh-CN" w:bidi="ar-SA"/>
    </w:rPr>
  </w:style>
  <w:style w:type="character" w:customStyle="1" w:styleId="77">
    <w:name w:val="标题 9 Char"/>
    <w:link w:val="13"/>
    <w:autoRedefine/>
    <w:qFormat/>
    <w:uiPriority w:val="0"/>
    <w:rPr>
      <w:rFonts w:eastAsia="宋体"/>
      <w:b/>
      <w:kern w:val="2"/>
      <w:sz w:val="24"/>
      <w:szCs w:val="24"/>
      <w:lang w:val="en-US" w:eastAsia="zh-CN" w:bidi="ar-SA"/>
    </w:rPr>
  </w:style>
  <w:style w:type="character" w:customStyle="1" w:styleId="78">
    <w:name w:val="已访问的超链接1"/>
    <w:autoRedefine/>
    <w:qFormat/>
    <w:uiPriority w:val="99"/>
    <w:rPr>
      <w:color w:val="800080"/>
      <w:u w:val="single"/>
    </w:rPr>
  </w:style>
  <w:style w:type="character" w:customStyle="1" w:styleId="79">
    <w:name w:val="文档结构图 Char"/>
    <w:link w:val="20"/>
    <w:autoRedefine/>
    <w:semiHidden/>
    <w:qFormat/>
    <w:uiPriority w:val="0"/>
    <w:rPr>
      <w:rFonts w:eastAsia="宋体"/>
      <w:kern w:val="2"/>
      <w:sz w:val="21"/>
      <w:szCs w:val="24"/>
      <w:lang w:val="en-US" w:eastAsia="zh-CN" w:bidi="ar-SA"/>
    </w:rPr>
  </w:style>
  <w:style w:type="character" w:customStyle="1" w:styleId="80">
    <w:name w:val="表格文字2 Char"/>
    <w:link w:val="81"/>
    <w:autoRedefine/>
    <w:qFormat/>
    <w:uiPriority w:val="0"/>
    <w:rPr>
      <w:rFonts w:eastAsia="宋体"/>
      <w:sz w:val="21"/>
      <w:lang w:val="en-US" w:eastAsia="zh-CN" w:bidi="ar-SA"/>
    </w:rPr>
  </w:style>
  <w:style w:type="paragraph" w:customStyle="1" w:styleId="81">
    <w:name w:val="表格文字2"/>
    <w:basedOn w:val="1"/>
    <w:link w:val="80"/>
    <w:autoRedefine/>
    <w:qFormat/>
    <w:uiPriority w:val="0"/>
    <w:pPr>
      <w:tabs>
        <w:tab w:val="left" w:pos="277"/>
        <w:tab w:val="left" w:pos="600"/>
        <w:tab w:val="left" w:pos="780"/>
        <w:tab w:val="left" w:pos="2517"/>
      </w:tabs>
      <w:adjustRightInd w:val="0"/>
      <w:spacing w:before="60"/>
      <w:jc w:val="center"/>
      <w:textAlignment w:val="baseline"/>
    </w:pPr>
    <w:rPr>
      <w:szCs w:val="20"/>
    </w:rPr>
  </w:style>
  <w:style w:type="character" w:customStyle="1" w:styleId="82">
    <w:name w:val="正文文本 Char"/>
    <w:link w:val="25"/>
    <w:autoRedefine/>
    <w:qFormat/>
    <w:uiPriority w:val="0"/>
    <w:rPr>
      <w:rFonts w:ascii="宋体" w:hAnsi="宋体" w:eastAsia="宋体"/>
      <w:kern w:val="2"/>
      <w:sz w:val="24"/>
      <w:szCs w:val="24"/>
      <w:lang w:val="en-US" w:eastAsia="zh-CN" w:bidi="ar-SA"/>
    </w:rPr>
  </w:style>
  <w:style w:type="character" w:customStyle="1" w:styleId="83">
    <w:name w:val="页眉 Char"/>
    <w:link w:val="41"/>
    <w:autoRedefine/>
    <w:qFormat/>
    <w:uiPriority w:val="99"/>
    <w:rPr>
      <w:rFonts w:eastAsia="宋体"/>
      <w:kern w:val="2"/>
      <w:sz w:val="18"/>
      <w:szCs w:val="18"/>
      <w:lang w:val="en-US" w:eastAsia="zh-CN" w:bidi="ar-SA"/>
    </w:rPr>
  </w:style>
  <w:style w:type="character" w:customStyle="1" w:styleId="84">
    <w:name w:val="页脚 Char"/>
    <w:link w:val="39"/>
    <w:autoRedefine/>
    <w:qFormat/>
    <w:uiPriority w:val="99"/>
    <w:rPr>
      <w:rFonts w:eastAsia="宋体"/>
      <w:kern w:val="2"/>
      <w:sz w:val="18"/>
      <w:szCs w:val="18"/>
      <w:lang w:val="en-US" w:eastAsia="zh-CN" w:bidi="ar-SA"/>
    </w:rPr>
  </w:style>
  <w:style w:type="character" w:customStyle="1" w:styleId="85">
    <w:name w:val="表格 Char"/>
    <w:link w:val="86"/>
    <w:autoRedefine/>
    <w:qFormat/>
    <w:uiPriority w:val="0"/>
    <w:rPr>
      <w:rFonts w:eastAsia="宋体"/>
      <w:sz w:val="21"/>
      <w:szCs w:val="21"/>
      <w:lang w:val="en-US" w:eastAsia="zh-CN" w:bidi="ar-SA"/>
    </w:rPr>
  </w:style>
  <w:style w:type="paragraph" w:customStyle="1" w:styleId="86">
    <w:name w:val="表格"/>
    <w:basedOn w:val="1"/>
    <w:next w:val="1"/>
    <w:link w:val="85"/>
    <w:autoRedefine/>
    <w:qFormat/>
    <w:uiPriority w:val="0"/>
    <w:pPr>
      <w:adjustRightInd w:val="0"/>
      <w:spacing w:line="312" w:lineRule="atLeast"/>
      <w:jc w:val="center"/>
      <w:textAlignment w:val="baseline"/>
    </w:pPr>
    <w:rPr>
      <w:szCs w:val="21"/>
    </w:rPr>
  </w:style>
  <w:style w:type="character" w:customStyle="1" w:styleId="87">
    <w:name w:val="纯文本 Char"/>
    <w:link w:val="34"/>
    <w:autoRedefine/>
    <w:qFormat/>
    <w:uiPriority w:val="0"/>
    <w:rPr>
      <w:rFonts w:ascii="宋体" w:hAnsi="Courier New" w:eastAsia="宋体"/>
      <w:kern w:val="2"/>
      <w:sz w:val="21"/>
      <w:szCs w:val="21"/>
      <w:lang w:val="en-US" w:eastAsia="zh-CN" w:bidi="ar-SA"/>
    </w:rPr>
  </w:style>
  <w:style w:type="character" w:customStyle="1" w:styleId="88">
    <w:name w:val="表格文字 Char"/>
    <w:link w:val="89"/>
    <w:autoRedefine/>
    <w:qFormat/>
    <w:uiPriority w:val="0"/>
    <w:rPr>
      <w:rFonts w:ascii="仿宋_GB2312" w:eastAsia="仿宋_GB2312"/>
      <w:bCs/>
      <w:color w:val="0000FF"/>
      <w:kern w:val="2"/>
      <w:sz w:val="21"/>
      <w:szCs w:val="24"/>
      <w:lang w:val="en-US" w:eastAsia="zh-CN" w:bidi="ar-SA"/>
    </w:rPr>
  </w:style>
  <w:style w:type="paragraph" w:customStyle="1" w:styleId="89">
    <w:name w:val="表格文字"/>
    <w:basedOn w:val="25"/>
    <w:link w:val="88"/>
    <w:autoRedefine/>
    <w:qFormat/>
    <w:uiPriority w:val="0"/>
    <w:pPr>
      <w:adjustRightInd w:val="0"/>
      <w:snapToGrid w:val="0"/>
      <w:spacing w:line="360" w:lineRule="auto"/>
      <w:jc w:val="center"/>
    </w:pPr>
    <w:rPr>
      <w:rFonts w:ascii="仿宋_GB2312" w:hAnsi="Times New Roman" w:eastAsia="仿宋_GB2312"/>
      <w:bCs/>
      <w:color w:val="0000FF"/>
      <w:sz w:val="21"/>
    </w:rPr>
  </w:style>
  <w:style w:type="character" w:customStyle="1" w:styleId="90">
    <w:name w:val="正文缩进 Char"/>
    <w:link w:val="4"/>
    <w:autoRedefine/>
    <w:qFormat/>
    <w:uiPriority w:val="0"/>
    <w:rPr>
      <w:rFonts w:ascii="宋体" w:eastAsia="宋体"/>
      <w:kern w:val="2"/>
      <w:sz w:val="21"/>
      <w:lang w:val="en-US" w:eastAsia="zh-CN" w:bidi="ar-SA"/>
    </w:rPr>
  </w:style>
  <w:style w:type="character" w:customStyle="1" w:styleId="91">
    <w:name w:val="批注框文本 Char"/>
    <w:link w:val="38"/>
    <w:autoRedefine/>
    <w:semiHidden/>
    <w:qFormat/>
    <w:uiPriority w:val="0"/>
    <w:rPr>
      <w:rFonts w:eastAsia="宋体"/>
      <w:kern w:val="2"/>
      <w:sz w:val="18"/>
      <w:szCs w:val="18"/>
      <w:lang w:val="en-US" w:eastAsia="zh-CN" w:bidi="ar-SA"/>
    </w:rPr>
  </w:style>
  <w:style w:type="character" w:customStyle="1" w:styleId="92">
    <w:name w:val="报告正文 Char"/>
    <w:link w:val="93"/>
    <w:autoRedefine/>
    <w:qFormat/>
    <w:uiPriority w:val="0"/>
    <w:rPr>
      <w:rFonts w:eastAsia="宋体" w:cs="宋体"/>
      <w:snapToGrid w:val="0"/>
      <w:kern w:val="24"/>
      <w:sz w:val="24"/>
      <w:szCs w:val="21"/>
      <w:lang w:val="en-US" w:eastAsia="zh-CN" w:bidi="ar-SA"/>
    </w:rPr>
  </w:style>
  <w:style w:type="paragraph" w:customStyle="1" w:styleId="93">
    <w:name w:val="报告正文"/>
    <w:basedOn w:val="1"/>
    <w:link w:val="92"/>
    <w:autoRedefine/>
    <w:qFormat/>
    <w:uiPriority w:val="0"/>
    <w:pPr>
      <w:adjustRightInd w:val="0"/>
      <w:spacing w:beforeLines="25" w:line="360" w:lineRule="auto"/>
      <w:ind w:firstLine="482"/>
      <w:textAlignment w:val="baseline"/>
    </w:pPr>
    <w:rPr>
      <w:snapToGrid w:val="0"/>
      <w:kern w:val="24"/>
      <w:szCs w:val="21"/>
    </w:rPr>
  </w:style>
  <w:style w:type="character" w:customStyle="1" w:styleId="94">
    <w:name w:val="正文01 Char"/>
    <w:link w:val="95"/>
    <w:autoRedefine/>
    <w:qFormat/>
    <w:uiPriority w:val="0"/>
    <w:rPr>
      <w:rFonts w:eastAsia="宋体"/>
      <w:kern w:val="2"/>
      <w:sz w:val="24"/>
      <w:szCs w:val="24"/>
      <w:lang w:val="en-US" w:eastAsia="zh-CN" w:bidi="ar-SA"/>
    </w:rPr>
  </w:style>
  <w:style w:type="paragraph" w:customStyle="1" w:styleId="95">
    <w:name w:val="正文01"/>
    <w:basedOn w:val="1"/>
    <w:link w:val="94"/>
    <w:autoRedefine/>
    <w:qFormat/>
    <w:uiPriority w:val="0"/>
    <w:pPr>
      <w:spacing w:before="60" w:line="460" w:lineRule="exact"/>
      <w:ind w:firstLine="200" w:firstLineChars="200"/>
    </w:pPr>
  </w:style>
  <w:style w:type="character" w:customStyle="1" w:styleId="96">
    <w:name w:val="表格标题 Char"/>
    <w:link w:val="97"/>
    <w:autoRedefine/>
    <w:qFormat/>
    <w:uiPriority w:val="0"/>
    <w:rPr>
      <w:rFonts w:eastAsia="宋体"/>
      <w:kern w:val="2"/>
      <w:sz w:val="24"/>
      <w:szCs w:val="24"/>
      <w:lang w:val="en-US" w:eastAsia="zh-CN" w:bidi="ar-SA"/>
    </w:rPr>
  </w:style>
  <w:style w:type="paragraph" w:customStyle="1" w:styleId="97">
    <w:name w:val="表格标题"/>
    <w:basedOn w:val="1"/>
    <w:link w:val="96"/>
    <w:autoRedefine/>
    <w:qFormat/>
    <w:uiPriority w:val="0"/>
    <w:pPr>
      <w:spacing w:before="60" w:line="460" w:lineRule="exact"/>
      <w:jc w:val="center"/>
    </w:pPr>
  </w:style>
  <w:style w:type="character" w:customStyle="1" w:styleId="98">
    <w:name w:val="正文  居中 Char"/>
    <w:link w:val="99"/>
    <w:autoRedefine/>
    <w:qFormat/>
    <w:uiPriority w:val="0"/>
    <w:rPr>
      <w:rFonts w:eastAsia="宋体"/>
      <w:sz w:val="24"/>
      <w:szCs w:val="24"/>
      <w:lang w:val="en-US" w:eastAsia="zh-CN" w:bidi="ar-SA"/>
    </w:rPr>
  </w:style>
  <w:style w:type="paragraph" w:customStyle="1" w:styleId="99">
    <w:name w:val="正文  居中"/>
    <w:basedOn w:val="1"/>
    <w:link w:val="98"/>
    <w:autoRedefine/>
    <w:qFormat/>
    <w:uiPriority w:val="0"/>
    <w:pPr>
      <w:tabs>
        <w:tab w:val="left" w:pos="1020"/>
        <w:tab w:val="left" w:pos="3478"/>
      </w:tabs>
      <w:adjustRightInd w:val="0"/>
      <w:snapToGrid w:val="0"/>
      <w:spacing w:line="360" w:lineRule="auto"/>
      <w:jc w:val="center"/>
    </w:pPr>
  </w:style>
  <w:style w:type="character" w:customStyle="1" w:styleId="100">
    <w:name w:val="正文缩进2 Char"/>
    <w:link w:val="101"/>
    <w:autoRedefine/>
    <w:qFormat/>
    <w:uiPriority w:val="0"/>
    <w:rPr>
      <w:rFonts w:ascii="宋体" w:hAnsi="宋体" w:eastAsia="宋体"/>
      <w:bCs/>
      <w:kern w:val="2"/>
      <w:sz w:val="24"/>
      <w:szCs w:val="24"/>
      <w:lang w:val="en-US" w:eastAsia="zh-CN" w:bidi="ar-SA"/>
    </w:rPr>
  </w:style>
  <w:style w:type="paragraph" w:customStyle="1" w:styleId="101">
    <w:name w:val="正文缩进2"/>
    <w:basedOn w:val="1"/>
    <w:link w:val="100"/>
    <w:autoRedefine/>
    <w:qFormat/>
    <w:uiPriority w:val="0"/>
    <w:pPr>
      <w:spacing w:line="360" w:lineRule="auto"/>
      <w:ind w:firstLine="200" w:firstLineChars="200"/>
    </w:pPr>
    <w:rPr>
      <w:bCs/>
    </w:rPr>
  </w:style>
  <w:style w:type="character" w:customStyle="1" w:styleId="102">
    <w:name w:val="表头 Char"/>
    <w:link w:val="103"/>
    <w:autoRedefine/>
    <w:qFormat/>
    <w:uiPriority w:val="0"/>
    <w:rPr>
      <w:rFonts w:ascii="宋体" w:hAnsi="宋体" w:eastAsia="宋体"/>
      <w:b/>
      <w:bCs/>
      <w:kern w:val="2"/>
      <w:sz w:val="24"/>
      <w:szCs w:val="24"/>
      <w:lang w:val="en-US" w:eastAsia="zh-CN" w:bidi="ar-SA"/>
    </w:rPr>
  </w:style>
  <w:style w:type="paragraph" w:customStyle="1" w:styleId="103">
    <w:name w:val="表头"/>
    <w:basedOn w:val="1"/>
    <w:link w:val="102"/>
    <w:autoRedefine/>
    <w:qFormat/>
    <w:uiPriority w:val="0"/>
    <w:pPr>
      <w:spacing w:line="360" w:lineRule="auto"/>
      <w:jc w:val="center"/>
    </w:pPr>
    <w:rPr>
      <w:b/>
      <w:bCs/>
    </w:rPr>
  </w:style>
  <w:style w:type="character" w:customStyle="1" w:styleId="104">
    <w:name w:val="正文首行缩进 2 + Times New Roman Char"/>
    <w:link w:val="105"/>
    <w:autoRedefine/>
    <w:qFormat/>
    <w:uiPriority w:val="0"/>
    <w:rPr>
      <w:rFonts w:ascii="宋体" w:eastAsia="宋体"/>
      <w:sz w:val="24"/>
      <w:szCs w:val="24"/>
      <w:lang w:val="en-US" w:eastAsia="zh-CN" w:bidi="ar-SA"/>
    </w:rPr>
  </w:style>
  <w:style w:type="paragraph" w:customStyle="1" w:styleId="105">
    <w:name w:val="正文首行缩进 2 + Times New Roman"/>
    <w:basedOn w:val="1"/>
    <w:link w:val="104"/>
    <w:autoRedefine/>
    <w:qFormat/>
    <w:uiPriority w:val="0"/>
    <w:pPr>
      <w:tabs>
        <w:tab w:val="left" w:pos="0"/>
        <w:tab w:val="left" w:pos="870"/>
        <w:tab w:val="left" w:pos="3150"/>
      </w:tabs>
      <w:autoSpaceDE w:val="0"/>
      <w:autoSpaceDN w:val="0"/>
      <w:spacing w:line="360" w:lineRule="auto"/>
      <w:ind w:firstLine="480" w:firstLineChars="200"/>
    </w:pPr>
  </w:style>
  <w:style w:type="character" w:customStyle="1" w:styleId="106">
    <w:name w:val="题注 Char"/>
    <w:link w:val="18"/>
    <w:autoRedefine/>
    <w:qFormat/>
    <w:locked/>
    <w:uiPriority w:val="0"/>
    <w:rPr>
      <w:rFonts w:ascii="Arial" w:hAnsi="Arial" w:eastAsia="黑体"/>
      <w:kern w:val="2"/>
      <w:lang w:val="en-US" w:eastAsia="zh-CN" w:bidi="ar-SA"/>
    </w:rPr>
  </w:style>
  <w:style w:type="character" w:customStyle="1" w:styleId="107">
    <w:name w:val="题注修改一 Char"/>
    <w:link w:val="108"/>
    <w:autoRedefine/>
    <w:qFormat/>
    <w:uiPriority w:val="0"/>
    <w:rPr>
      <w:rFonts w:eastAsia="宋体"/>
      <w:kern w:val="2"/>
      <w:sz w:val="24"/>
      <w:szCs w:val="24"/>
      <w:lang w:val="en-US" w:bidi="ar-SA"/>
    </w:rPr>
  </w:style>
  <w:style w:type="paragraph" w:customStyle="1" w:styleId="108">
    <w:name w:val="题注修改一"/>
    <w:basedOn w:val="18"/>
    <w:link w:val="107"/>
    <w:autoRedefine/>
    <w:qFormat/>
    <w:uiPriority w:val="0"/>
    <w:pPr>
      <w:tabs>
        <w:tab w:val="left" w:pos="3060"/>
      </w:tabs>
      <w:spacing w:line="336" w:lineRule="auto"/>
      <w:jc w:val="center"/>
    </w:pPr>
    <w:rPr>
      <w:rFonts w:ascii="Times New Roman" w:hAnsi="Times New Roman" w:eastAsia="宋体"/>
      <w:sz w:val="24"/>
      <w:szCs w:val="24"/>
    </w:rPr>
  </w:style>
  <w:style w:type="character" w:customStyle="1" w:styleId="109">
    <w:name w:val="zw1"/>
    <w:autoRedefine/>
    <w:qFormat/>
    <w:uiPriority w:val="0"/>
    <w:rPr>
      <w:rFonts w:hint="eastAsia" w:ascii="宋体" w:hAnsi="宋体" w:eastAsia="宋体"/>
      <w:sz w:val="22"/>
      <w:szCs w:val="22"/>
    </w:rPr>
  </w:style>
  <w:style w:type="character" w:customStyle="1" w:styleId="110">
    <w:name w:val="apple-converted-space"/>
    <w:basedOn w:val="63"/>
    <w:autoRedefine/>
    <w:qFormat/>
    <w:uiPriority w:val="0"/>
  </w:style>
  <w:style w:type="character" w:customStyle="1" w:styleId="111">
    <w:name w:val="bt21"/>
    <w:basedOn w:val="63"/>
    <w:autoRedefine/>
    <w:qFormat/>
    <w:uiPriority w:val="0"/>
  </w:style>
  <w:style w:type="character" w:customStyle="1" w:styleId="112">
    <w:name w:val="正文文本 + 粗体7"/>
    <w:autoRedefine/>
    <w:qFormat/>
    <w:uiPriority w:val="0"/>
    <w:rPr>
      <w:b/>
      <w:bCs/>
      <w:sz w:val="18"/>
      <w:szCs w:val="18"/>
    </w:rPr>
  </w:style>
  <w:style w:type="character" w:customStyle="1" w:styleId="113">
    <w:name w:val="正文文本 + 粗体6"/>
    <w:autoRedefine/>
    <w:qFormat/>
    <w:uiPriority w:val="0"/>
    <w:rPr>
      <w:b/>
      <w:bCs/>
      <w:sz w:val="18"/>
      <w:szCs w:val="18"/>
    </w:rPr>
  </w:style>
  <w:style w:type="character" w:customStyle="1" w:styleId="114">
    <w:name w:val="正文文本 + 6 pt3"/>
    <w:autoRedefine/>
    <w:qFormat/>
    <w:uiPriority w:val="0"/>
    <w:rPr>
      <w:rFonts w:ascii="MingLiU" w:eastAsia="MingLiU" w:cs="MingLiU"/>
      <w:sz w:val="12"/>
      <w:szCs w:val="12"/>
      <w:lang w:val="en-US" w:eastAsia="zh-CN"/>
    </w:rPr>
  </w:style>
  <w:style w:type="character" w:customStyle="1" w:styleId="115">
    <w:name w:val="正文文本 + 粗体5"/>
    <w:autoRedefine/>
    <w:qFormat/>
    <w:uiPriority w:val="0"/>
    <w:rPr>
      <w:b/>
      <w:bCs/>
      <w:sz w:val="18"/>
      <w:szCs w:val="18"/>
    </w:rPr>
  </w:style>
  <w:style w:type="character" w:customStyle="1" w:styleId="116">
    <w:name w:val="正文文本 + 6 pt2"/>
    <w:autoRedefine/>
    <w:qFormat/>
    <w:uiPriority w:val="0"/>
    <w:rPr>
      <w:rFonts w:ascii="MingLiU" w:eastAsia="MingLiU" w:cs="MingLiU"/>
      <w:sz w:val="12"/>
      <w:szCs w:val="12"/>
      <w:lang w:val="en-US" w:eastAsia="zh-CN"/>
    </w:rPr>
  </w:style>
  <w:style w:type="character" w:customStyle="1" w:styleId="117">
    <w:name w:val="正文文本 + 粗体4"/>
    <w:autoRedefine/>
    <w:qFormat/>
    <w:uiPriority w:val="0"/>
    <w:rPr>
      <w:b/>
      <w:bCs/>
      <w:sz w:val="18"/>
      <w:szCs w:val="18"/>
    </w:rPr>
  </w:style>
  <w:style w:type="character" w:customStyle="1" w:styleId="118">
    <w:name w:val="正文文本 + 粗体2"/>
    <w:autoRedefine/>
    <w:qFormat/>
    <w:uiPriority w:val="0"/>
    <w:rPr>
      <w:b/>
      <w:bCs/>
      <w:sz w:val="18"/>
      <w:szCs w:val="18"/>
    </w:rPr>
  </w:style>
  <w:style w:type="character" w:customStyle="1" w:styleId="119">
    <w:name w:val="正文文本 + Arial1"/>
    <w:autoRedefine/>
    <w:qFormat/>
    <w:uiPriority w:val="0"/>
    <w:rPr>
      <w:rFonts w:ascii="Arial" w:hAnsi="Arial" w:cs="Arial"/>
      <w:sz w:val="22"/>
      <w:szCs w:val="22"/>
      <w:lang w:val="en-US" w:eastAsia="zh-CN"/>
    </w:rPr>
  </w:style>
  <w:style w:type="character" w:customStyle="1" w:styleId="120">
    <w:name w:val="正文文本 + 6 pt1"/>
    <w:autoRedefine/>
    <w:qFormat/>
    <w:uiPriority w:val="0"/>
    <w:rPr>
      <w:rFonts w:ascii="MingLiU" w:eastAsia="MingLiU" w:cs="MingLiU"/>
      <w:sz w:val="12"/>
      <w:szCs w:val="12"/>
      <w:lang w:val="en-US" w:eastAsia="zh-CN"/>
    </w:rPr>
  </w:style>
  <w:style w:type="character" w:customStyle="1" w:styleId="121">
    <w:name w:val="！！一级标题 Char Char"/>
    <w:link w:val="122"/>
    <w:autoRedefine/>
    <w:qFormat/>
    <w:uiPriority w:val="0"/>
    <w:rPr>
      <w:rFonts w:ascii="Calibri" w:hAnsi="Calibri" w:eastAsia="黑体"/>
      <w:bCs/>
      <w:color w:val="000000"/>
      <w:kern w:val="2"/>
      <w:sz w:val="30"/>
      <w:szCs w:val="32"/>
      <w:lang w:val="en-US" w:eastAsia="zh-CN" w:bidi="ar-SA"/>
    </w:rPr>
  </w:style>
  <w:style w:type="paragraph" w:customStyle="1" w:styleId="122">
    <w:name w:val="！！一级标题"/>
    <w:basedOn w:val="5"/>
    <w:next w:val="1"/>
    <w:link w:val="121"/>
    <w:autoRedefine/>
    <w:qFormat/>
    <w:uiPriority w:val="0"/>
    <w:pPr>
      <w:keepLines w:val="0"/>
      <w:tabs>
        <w:tab w:val="left" w:pos="2295"/>
      </w:tabs>
      <w:spacing w:beforeLines="150" w:afterLines="150" w:line="240" w:lineRule="auto"/>
      <w:ind w:left="2295" w:hanging="495"/>
    </w:pPr>
    <w:rPr>
      <w:rFonts w:ascii="Calibri" w:hAnsi="Calibri"/>
      <w:b w:val="0"/>
      <w:color w:val="000000"/>
      <w:kern w:val="2"/>
      <w:sz w:val="30"/>
    </w:rPr>
  </w:style>
  <w:style w:type="character" w:customStyle="1" w:styleId="123">
    <w:name w:val="！！表格文字 Char Char"/>
    <w:link w:val="124"/>
    <w:autoRedefine/>
    <w:qFormat/>
    <w:uiPriority w:val="0"/>
    <w:rPr>
      <w:rFonts w:eastAsia="宋体"/>
      <w:kern w:val="2"/>
      <w:sz w:val="21"/>
      <w:lang w:val="en-US" w:eastAsia="zh-CN" w:bidi="ar-SA"/>
    </w:rPr>
  </w:style>
  <w:style w:type="paragraph" w:customStyle="1" w:styleId="124">
    <w:name w:val="！！表格文字"/>
    <w:basedOn w:val="1"/>
    <w:link w:val="123"/>
    <w:autoRedefine/>
    <w:qFormat/>
    <w:uiPriority w:val="0"/>
    <w:pPr>
      <w:tabs>
        <w:tab w:val="left" w:pos="0"/>
      </w:tabs>
      <w:spacing w:before="24" w:line="288" w:lineRule="auto"/>
    </w:pPr>
    <w:rPr>
      <w:szCs w:val="20"/>
    </w:rPr>
  </w:style>
  <w:style w:type="character" w:customStyle="1" w:styleId="125">
    <w:name w:val="！！表格文本 Char Char"/>
    <w:link w:val="126"/>
    <w:autoRedefine/>
    <w:qFormat/>
    <w:uiPriority w:val="0"/>
    <w:rPr>
      <w:rFonts w:eastAsia="宋体"/>
      <w:kern w:val="2"/>
      <w:sz w:val="21"/>
      <w:lang w:val="en-US" w:eastAsia="zh-CN" w:bidi="ar-SA"/>
    </w:rPr>
  </w:style>
  <w:style w:type="paragraph" w:customStyle="1" w:styleId="126">
    <w:name w:val="！！表格文本"/>
    <w:basedOn w:val="1"/>
    <w:link w:val="125"/>
    <w:autoRedefine/>
    <w:qFormat/>
    <w:uiPriority w:val="0"/>
    <w:pPr>
      <w:spacing w:beforeLines="20" w:afterLines="20"/>
    </w:pPr>
    <w:rPr>
      <w:szCs w:val="20"/>
    </w:rPr>
  </w:style>
  <w:style w:type="character" w:customStyle="1" w:styleId="127">
    <w:name w:val="正文文本 + 粗体"/>
    <w:autoRedefine/>
    <w:qFormat/>
    <w:uiPriority w:val="0"/>
    <w:rPr>
      <w:b/>
      <w:bCs/>
      <w:sz w:val="18"/>
      <w:szCs w:val="18"/>
    </w:rPr>
  </w:style>
  <w:style w:type="character" w:customStyle="1" w:styleId="128">
    <w:name w:val="正文文本 + Arial"/>
    <w:autoRedefine/>
    <w:qFormat/>
    <w:uiPriority w:val="0"/>
    <w:rPr>
      <w:rFonts w:ascii="Arial" w:hAnsi="Arial" w:cs="Arial"/>
      <w:sz w:val="22"/>
      <w:szCs w:val="22"/>
      <w:lang w:val="en-US" w:eastAsia="zh-CN"/>
    </w:rPr>
  </w:style>
  <w:style w:type="character" w:customStyle="1" w:styleId="129">
    <w:name w:val="Body text_"/>
    <w:link w:val="130"/>
    <w:autoRedefine/>
    <w:qFormat/>
    <w:uiPriority w:val="0"/>
    <w:rPr>
      <w:rFonts w:ascii="MingLiU" w:eastAsia="MingLiU"/>
      <w:spacing w:val="30"/>
      <w:sz w:val="25"/>
      <w:szCs w:val="25"/>
      <w:lang w:bidi="ar-SA"/>
    </w:rPr>
  </w:style>
  <w:style w:type="paragraph" w:customStyle="1" w:styleId="130">
    <w:name w:val="正文文本1"/>
    <w:basedOn w:val="1"/>
    <w:link w:val="129"/>
    <w:autoRedefine/>
    <w:qFormat/>
    <w:uiPriority w:val="0"/>
    <w:pPr>
      <w:shd w:val="clear" w:color="auto" w:fill="FFFFFF"/>
      <w:spacing w:before="480" w:line="518" w:lineRule="exact"/>
      <w:jc w:val="distribute"/>
    </w:pPr>
    <w:rPr>
      <w:rFonts w:ascii="MingLiU" w:eastAsia="MingLiU"/>
      <w:spacing w:val="30"/>
      <w:sz w:val="25"/>
      <w:szCs w:val="25"/>
    </w:rPr>
  </w:style>
  <w:style w:type="character" w:customStyle="1" w:styleId="131">
    <w:name w:val="Body text + 13 pt"/>
    <w:autoRedefine/>
    <w:qFormat/>
    <w:uiPriority w:val="0"/>
    <w:rPr>
      <w:rFonts w:ascii="MingLiU" w:eastAsia="MingLiU" w:cs="MingLiU"/>
      <w:spacing w:val="20"/>
      <w:sz w:val="26"/>
      <w:szCs w:val="26"/>
      <w:u w:val="none"/>
      <w:lang w:val="en-US" w:eastAsia="en-US" w:bidi="ar-SA"/>
    </w:rPr>
  </w:style>
  <w:style w:type="character" w:customStyle="1" w:styleId="132">
    <w:name w:val="报告正文 Char1"/>
    <w:autoRedefine/>
    <w:qFormat/>
    <w:uiPriority w:val="0"/>
    <w:rPr>
      <w:rFonts w:eastAsia="仿宋_GB2312"/>
      <w:kern w:val="2"/>
      <w:sz w:val="24"/>
      <w:szCs w:val="24"/>
      <w:lang w:val="en-GB" w:eastAsia="zh-CN" w:bidi="ar-SA"/>
    </w:rPr>
  </w:style>
  <w:style w:type="character" w:customStyle="1" w:styleId="133">
    <w:name w:val="标题 2-2 Char Char"/>
    <w:link w:val="134"/>
    <w:autoRedefine/>
    <w:qFormat/>
    <w:uiPriority w:val="0"/>
    <w:rPr>
      <w:rFonts w:ascii="宋体" w:hAnsi="宋体" w:eastAsia="宋体"/>
      <w:b/>
      <w:bCs/>
      <w:kern w:val="2"/>
      <w:sz w:val="30"/>
      <w:szCs w:val="32"/>
      <w:lang w:val="en-US" w:eastAsia="zh-CN" w:bidi="ar-SA"/>
    </w:rPr>
  </w:style>
  <w:style w:type="paragraph" w:customStyle="1" w:styleId="134">
    <w:name w:val="标题 2-2"/>
    <w:basedOn w:val="6"/>
    <w:link w:val="133"/>
    <w:autoRedefine/>
    <w:qFormat/>
    <w:uiPriority w:val="0"/>
    <w:pPr>
      <w:adjustRightInd/>
      <w:snapToGrid/>
      <w:spacing w:line="240" w:lineRule="auto"/>
    </w:pPr>
    <w:rPr>
      <w:rFonts w:ascii="宋体" w:eastAsia="宋体"/>
      <w:snapToGrid/>
      <w:kern w:val="2"/>
      <w:sz w:val="30"/>
    </w:rPr>
  </w:style>
  <w:style w:type="character" w:customStyle="1" w:styleId="135">
    <w:name w:val="正文01 Char1"/>
    <w:autoRedefine/>
    <w:qFormat/>
    <w:uiPriority w:val="0"/>
    <w:rPr>
      <w:rFonts w:eastAsia="宋体"/>
      <w:kern w:val="2"/>
      <w:sz w:val="24"/>
      <w:szCs w:val="24"/>
      <w:lang w:val="en-US" w:eastAsia="zh-CN" w:bidi="ar-SA"/>
    </w:rPr>
  </w:style>
  <w:style w:type="character" w:customStyle="1" w:styleId="136">
    <w:name w:val="info"/>
    <w:basedOn w:val="63"/>
    <w:autoRedefine/>
    <w:qFormat/>
    <w:uiPriority w:val="0"/>
  </w:style>
  <w:style w:type="character" w:customStyle="1" w:styleId="137">
    <w:name w:val="style181"/>
    <w:autoRedefine/>
    <w:qFormat/>
    <w:uiPriority w:val="0"/>
    <w:rPr>
      <w:b/>
      <w:bCs/>
      <w:sz w:val="14"/>
      <w:szCs w:val="14"/>
    </w:rPr>
  </w:style>
  <w:style w:type="character" w:customStyle="1" w:styleId="138">
    <w:name w:val="headline-content2"/>
    <w:basedOn w:val="63"/>
    <w:autoRedefine/>
    <w:qFormat/>
    <w:uiPriority w:val="0"/>
  </w:style>
  <w:style w:type="character" w:customStyle="1" w:styleId="139">
    <w:name w:val="doc-desc-all2"/>
    <w:basedOn w:val="63"/>
    <w:autoRedefine/>
    <w:qFormat/>
    <w:uiPriority w:val="0"/>
  </w:style>
  <w:style w:type="character" w:customStyle="1" w:styleId="140">
    <w:name w:val="zhenwen141"/>
    <w:autoRedefine/>
    <w:qFormat/>
    <w:uiPriority w:val="0"/>
    <w:rPr>
      <w:rFonts w:hint="default" w:ascii="ˎ̥" w:hAnsi="ˎ̥"/>
      <w:sz w:val="28"/>
      <w:szCs w:val="28"/>
    </w:rPr>
  </w:style>
  <w:style w:type="character" w:customStyle="1" w:styleId="141">
    <w:name w:val="Body text + Bold"/>
    <w:autoRedefine/>
    <w:qFormat/>
    <w:uiPriority w:val="0"/>
    <w:rPr>
      <w:rFonts w:ascii="MingLiU" w:eastAsia="MingLiU" w:cs="MingLiU"/>
      <w:b/>
      <w:bCs/>
      <w:spacing w:val="-10"/>
      <w:sz w:val="21"/>
      <w:szCs w:val="21"/>
      <w:u w:val="none"/>
      <w:lang w:val="en-US" w:eastAsia="en-US" w:bidi="ar-SA"/>
    </w:rPr>
  </w:style>
  <w:style w:type="character" w:customStyle="1" w:styleId="142">
    <w:name w:val="Body text + Italic2"/>
    <w:autoRedefine/>
    <w:qFormat/>
    <w:uiPriority w:val="0"/>
    <w:rPr>
      <w:rFonts w:ascii="MingLiU" w:eastAsia="MingLiU" w:cs="MingLiU"/>
      <w:i/>
      <w:iCs/>
      <w:spacing w:val="0"/>
      <w:sz w:val="21"/>
      <w:szCs w:val="21"/>
      <w:u w:val="none"/>
      <w:lang w:val="en-US" w:eastAsia="zh-CN" w:bidi="ar-SA"/>
    </w:rPr>
  </w:style>
  <w:style w:type="character" w:customStyle="1" w:styleId="143">
    <w:name w:val="Body text + Georgia"/>
    <w:autoRedefine/>
    <w:qFormat/>
    <w:uiPriority w:val="0"/>
    <w:rPr>
      <w:rFonts w:ascii="Georgia" w:hAnsi="Georgia" w:eastAsia="MingLiU" w:cs="Georgia"/>
      <w:b/>
      <w:bCs/>
      <w:spacing w:val="0"/>
      <w:sz w:val="22"/>
      <w:szCs w:val="22"/>
      <w:u w:val="none"/>
      <w:lang w:val="en-US" w:eastAsia="en-US" w:bidi="ar-SA"/>
    </w:rPr>
  </w:style>
  <w:style w:type="character" w:customStyle="1" w:styleId="144">
    <w:name w:val="Body text + 10 pt11"/>
    <w:autoRedefine/>
    <w:qFormat/>
    <w:uiPriority w:val="0"/>
    <w:rPr>
      <w:rFonts w:ascii="MingLiU" w:eastAsia="MingLiU" w:cs="MingLiU"/>
      <w:spacing w:val="0"/>
      <w:sz w:val="20"/>
      <w:szCs w:val="20"/>
      <w:u w:val="none"/>
      <w:lang w:val="en-US" w:eastAsia="zh-CN" w:bidi="ar-SA"/>
    </w:rPr>
  </w:style>
  <w:style w:type="character" w:customStyle="1" w:styleId="145">
    <w:name w:val="RTF_Num 2 3"/>
    <w:autoRedefine/>
    <w:qFormat/>
    <w:uiPriority w:val="0"/>
    <w:rPr>
      <w:sz w:val="24"/>
      <w:szCs w:val="24"/>
      <w:lang w:eastAsia="en-US"/>
    </w:rPr>
  </w:style>
  <w:style w:type="character" w:customStyle="1" w:styleId="146">
    <w:name w:val="fonttitle"/>
    <w:basedOn w:val="63"/>
    <w:autoRedefine/>
    <w:qFormat/>
    <w:uiPriority w:val="0"/>
  </w:style>
  <w:style w:type="character" w:customStyle="1" w:styleId="147">
    <w:name w:val="镇 Char"/>
    <w:link w:val="148"/>
    <w:autoRedefine/>
    <w:qFormat/>
    <w:uiPriority w:val="0"/>
    <w:rPr>
      <w:color w:val="000000"/>
      <w:sz w:val="28"/>
    </w:rPr>
  </w:style>
  <w:style w:type="paragraph" w:customStyle="1" w:styleId="148">
    <w:name w:val="镇"/>
    <w:basedOn w:val="1"/>
    <w:link w:val="147"/>
    <w:autoRedefine/>
    <w:qFormat/>
    <w:uiPriority w:val="0"/>
    <w:pPr>
      <w:spacing w:line="520" w:lineRule="exact"/>
      <w:ind w:firstLine="552" w:firstLineChars="197"/>
    </w:pPr>
    <w:rPr>
      <w:color w:val="000000"/>
      <w:sz w:val="28"/>
      <w:szCs w:val="20"/>
    </w:rPr>
  </w:style>
  <w:style w:type="character" w:customStyle="1" w:styleId="149">
    <w:name w:val="正文首行缩进 Char"/>
    <w:link w:val="150"/>
    <w:autoRedefine/>
    <w:qFormat/>
    <w:uiPriority w:val="0"/>
    <w:rPr>
      <w:rFonts w:ascii="宋体" w:hAnsi="宋体" w:eastAsia="宋体"/>
      <w:kern w:val="2"/>
      <w:sz w:val="21"/>
      <w:szCs w:val="24"/>
      <w:lang w:val="en-US" w:eastAsia="zh-CN" w:bidi="ar-SA"/>
    </w:rPr>
  </w:style>
  <w:style w:type="paragraph" w:customStyle="1" w:styleId="150">
    <w:name w:val="正文首行缩进1"/>
    <w:basedOn w:val="25"/>
    <w:link w:val="149"/>
    <w:autoRedefine/>
    <w:qFormat/>
    <w:uiPriority w:val="0"/>
    <w:pPr>
      <w:spacing w:after="120" w:line="240" w:lineRule="auto"/>
      <w:ind w:firstLine="420" w:firstLineChars="100"/>
    </w:pPr>
    <w:rPr>
      <w:sz w:val="21"/>
    </w:rPr>
  </w:style>
  <w:style w:type="character" w:customStyle="1" w:styleId="151">
    <w:name w:val="表图1 Char"/>
    <w:link w:val="152"/>
    <w:autoRedefine/>
    <w:qFormat/>
    <w:uiPriority w:val="0"/>
    <w:rPr>
      <w:kern w:val="2"/>
      <w:sz w:val="21"/>
    </w:rPr>
  </w:style>
  <w:style w:type="paragraph" w:customStyle="1" w:styleId="152">
    <w:name w:val="表图1"/>
    <w:basedOn w:val="1"/>
    <w:link w:val="151"/>
    <w:autoRedefine/>
    <w:qFormat/>
    <w:uiPriority w:val="0"/>
    <w:pPr>
      <w:spacing w:line="500" w:lineRule="exact"/>
    </w:pPr>
    <w:rPr>
      <w:szCs w:val="20"/>
    </w:rPr>
  </w:style>
  <w:style w:type="character" w:customStyle="1" w:styleId="153">
    <w:name w:val="label1"/>
    <w:basedOn w:val="63"/>
    <w:autoRedefine/>
    <w:qFormat/>
    <w:uiPriority w:val="0"/>
  </w:style>
  <w:style w:type="character" w:customStyle="1" w:styleId="154">
    <w:name w:val="t_tag"/>
    <w:basedOn w:val="63"/>
    <w:autoRedefine/>
    <w:qFormat/>
    <w:uiPriority w:val="0"/>
  </w:style>
  <w:style w:type="character" w:customStyle="1" w:styleId="155">
    <w:name w:val="注释标题 Char"/>
    <w:link w:val="16"/>
    <w:autoRedefine/>
    <w:qFormat/>
    <w:uiPriority w:val="0"/>
    <w:rPr>
      <w:rFonts w:ascii="宋体" w:cs="CG Times"/>
      <w:kern w:val="2"/>
      <w:sz w:val="28"/>
    </w:rPr>
  </w:style>
  <w:style w:type="character" w:customStyle="1" w:styleId="156">
    <w:name w:val="text1"/>
    <w:basedOn w:val="63"/>
    <w:autoRedefine/>
    <w:qFormat/>
    <w:uiPriority w:val="0"/>
  </w:style>
  <w:style w:type="character" w:customStyle="1" w:styleId="157">
    <w:name w:val="正文1"/>
    <w:autoRedefine/>
    <w:qFormat/>
    <w:uiPriority w:val="0"/>
    <w:rPr>
      <w:rFonts w:hint="eastAsia" w:ascii="宋体" w:hAnsi="宋体" w:eastAsia="宋体"/>
      <w:sz w:val="22"/>
      <w:szCs w:val="22"/>
    </w:rPr>
  </w:style>
  <w:style w:type="character" w:customStyle="1" w:styleId="158">
    <w:name w:val="样式 四号"/>
    <w:autoRedefine/>
    <w:qFormat/>
    <w:uiPriority w:val="0"/>
    <w:rPr>
      <w:rFonts w:ascii="Batang" w:hAnsi="Batang" w:eastAsia="宋体"/>
      <w:color w:val="000000"/>
      <w:sz w:val="28"/>
      <w:szCs w:val="28"/>
    </w:rPr>
  </w:style>
  <w:style w:type="character" w:customStyle="1" w:styleId="159">
    <w:name w:val="z-窗体底端 Char"/>
    <w:link w:val="160"/>
    <w:autoRedefine/>
    <w:qFormat/>
    <w:uiPriority w:val="0"/>
    <w:rPr>
      <w:rFonts w:ascii="Arial" w:hAnsi="Arial" w:cs="Arial"/>
      <w:vanish/>
      <w:kern w:val="2"/>
      <w:sz w:val="16"/>
      <w:szCs w:val="16"/>
    </w:rPr>
  </w:style>
  <w:style w:type="paragraph" w:customStyle="1" w:styleId="160">
    <w:name w:val="HTML Bottom of Form"/>
    <w:basedOn w:val="1"/>
    <w:next w:val="1"/>
    <w:link w:val="159"/>
    <w:autoRedefine/>
    <w:qFormat/>
    <w:uiPriority w:val="0"/>
    <w:pPr>
      <w:pBdr>
        <w:top w:val="single" w:color="auto" w:sz="6" w:space="1"/>
      </w:pBdr>
      <w:jc w:val="center"/>
    </w:pPr>
    <w:rPr>
      <w:rFonts w:ascii="Arial" w:hAnsi="Arial"/>
      <w:vanish/>
      <w:sz w:val="16"/>
      <w:szCs w:val="16"/>
    </w:rPr>
  </w:style>
  <w:style w:type="character" w:customStyle="1" w:styleId="161">
    <w:name w:val="basic-green"/>
    <w:basedOn w:val="63"/>
    <w:autoRedefine/>
    <w:qFormat/>
    <w:uiPriority w:val="0"/>
  </w:style>
  <w:style w:type="character" w:customStyle="1" w:styleId="162">
    <w:name w:val="ont1"/>
    <w:autoRedefine/>
    <w:qFormat/>
    <w:uiPriority w:val="0"/>
    <w:rPr>
      <w:sz w:val="18"/>
    </w:rPr>
  </w:style>
  <w:style w:type="character" w:customStyle="1" w:styleId="163">
    <w:name w:val="unnamed11"/>
    <w:autoRedefine/>
    <w:qFormat/>
    <w:uiPriority w:val="0"/>
    <w:rPr>
      <w:sz w:val="24"/>
      <w:szCs w:val="24"/>
    </w:rPr>
  </w:style>
  <w:style w:type="character" w:customStyle="1" w:styleId="164">
    <w:name w:val="正文文本 3 Char"/>
    <w:link w:val="23"/>
    <w:autoRedefine/>
    <w:qFormat/>
    <w:uiPriority w:val="0"/>
    <w:rPr>
      <w:kern w:val="2"/>
      <w:sz w:val="16"/>
      <w:szCs w:val="16"/>
    </w:rPr>
  </w:style>
  <w:style w:type="character" w:customStyle="1" w:styleId="165">
    <w:name w:val="样式 首行缩进:  2 字符 Char"/>
    <w:link w:val="166"/>
    <w:autoRedefine/>
    <w:qFormat/>
    <w:uiPriority w:val="0"/>
    <w:rPr>
      <w:rFonts w:eastAsia="楷体_GB2312" w:cs="宋体"/>
      <w:spacing w:val="6"/>
      <w:sz w:val="28"/>
      <w:szCs w:val="28"/>
    </w:rPr>
  </w:style>
  <w:style w:type="paragraph" w:customStyle="1" w:styleId="166">
    <w:name w:val="样式 首行缩进:  2 字符"/>
    <w:basedOn w:val="1"/>
    <w:link w:val="165"/>
    <w:autoRedefine/>
    <w:qFormat/>
    <w:uiPriority w:val="0"/>
    <w:pPr>
      <w:spacing w:line="440" w:lineRule="exact"/>
      <w:ind w:firstLine="200" w:firstLineChars="200"/>
    </w:pPr>
    <w:rPr>
      <w:rFonts w:eastAsia="楷体_GB2312"/>
      <w:spacing w:val="6"/>
      <w:sz w:val="28"/>
      <w:szCs w:val="28"/>
    </w:rPr>
  </w:style>
  <w:style w:type="character" w:customStyle="1" w:styleId="167">
    <w:name w:val="height1901"/>
    <w:autoRedefine/>
    <w:qFormat/>
    <w:uiPriority w:val="0"/>
  </w:style>
  <w:style w:type="character" w:customStyle="1" w:styleId="168">
    <w:name w:val="px141"/>
    <w:autoRedefine/>
    <w:qFormat/>
    <w:uiPriority w:val="0"/>
    <w:rPr>
      <w:sz w:val="21"/>
      <w:szCs w:val="21"/>
    </w:rPr>
  </w:style>
  <w:style w:type="character" w:customStyle="1" w:styleId="169">
    <w:name w:val="Char Char4"/>
    <w:autoRedefine/>
    <w:qFormat/>
    <w:uiPriority w:val="0"/>
    <w:rPr>
      <w:rFonts w:ascii="宋体" w:hAnsi="Courier New" w:eastAsia="宋体" w:cs="Courier New"/>
      <w:kern w:val="2"/>
      <w:sz w:val="21"/>
      <w:szCs w:val="21"/>
      <w:lang w:val="en-US" w:eastAsia="zh-CN" w:bidi="ar-SA"/>
    </w:rPr>
  </w:style>
  <w:style w:type="character" w:customStyle="1" w:styleId="170">
    <w:name w:val="表格文字居中 Char"/>
    <w:link w:val="171"/>
    <w:autoRedefine/>
    <w:qFormat/>
    <w:uiPriority w:val="0"/>
    <w:rPr>
      <w:rFonts w:ascii="宋体" w:hAnsi="宋体" w:cs="Arial"/>
      <w:bCs/>
      <w:color w:val="000000"/>
      <w:sz w:val="24"/>
      <w:szCs w:val="21"/>
    </w:rPr>
  </w:style>
  <w:style w:type="paragraph" w:customStyle="1" w:styleId="171">
    <w:name w:val="表格文字居中"/>
    <w:basedOn w:val="1"/>
    <w:next w:val="150"/>
    <w:link w:val="170"/>
    <w:autoRedefine/>
    <w:qFormat/>
    <w:uiPriority w:val="0"/>
    <w:pPr>
      <w:keepNext/>
      <w:tabs>
        <w:tab w:val="left" w:pos="628"/>
        <w:tab w:val="left" w:pos="1727"/>
        <w:tab w:val="left" w:pos="1884"/>
      </w:tabs>
      <w:adjustRightInd w:val="0"/>
      <w:snapToGrid w:val="0"/>
      <w:jc w:val="center"/>
    </w:pPr>
    <w:rPr>
      <w:bCs/>
      <w:color w:val="000000"/>
      <w:szCs w:val="21"/>
    </w:rPr>
  </w:style>
  <w:style w:type="character" w:customStyle="1" w:styleId="172">
    <w:name w:val="正文缩进 Char2"/>
    <w:autoRedefine/>
    <w:qFormat/>
    <w:uiPriority w:val="0"/>
    <w:rPr>
      <w:rFonts w:eastAsia="仿宋_GB2312"/>
      <w:bCs/>
      <w:sz w:val="28"/>
      <w:lang w:val="en-US" w:eastAsia="zh-CN" w:bidi="ar-SA"/>
    </w:rPr>
  </w:style>
  <w:style w:type="character" w:customStyle="1" w:styleId="173">
    <w:name w:val="新正文 Char"/>
    <w:autoRedefine/>
    <w:qFormat/>
    <w:uiPriority w:val="0"/>
    <w:rPr>
      <w:rFonts w:ascii="仿宋_GB2312" w:eastAsia="仿宋_GB2312"/>
      <w:bCs/>
      <w:sz w:val="28"/>
      <w:lang w:val="en-US" w:eastAsia="zh-CN" w:bidi="ar-SA"/>
    </w:rPr>
  </w:style>
  <w:style w:type="character" w:customStyle="1" w:styleId="174">
    <w:name w:val="Body Text 21 Char"/>
    <w:autoRedefine/>
    <w:qFormat/>
    <w:uiPriority w:val="0"/>
    <w:rPr>
      <w:rFonts w:eastAsia="仿宋体"/>
      <w:kern w:val="2"/>
      <w:sz w:val="24"/>
      <w:lang w:val="en-US" w:eastAsia="zh-CN" w:bidi="ar-SA"/>
    </w:rPr>
  </w:style>
  <w:style w:type="character" w:customStyle="1" w:styleId="175">
    <w:name w:val="Plain Text Char1 Char"/>
    <w:autoRedefine/>
    <w:qFormat/>
    <w:uiPriority w:val="0"/>
    <w:rPr>
      <w:rFonts w:ascii="宋体" w:hAnsi="Courier New" w:eastAsia="宋体"/>
      <w:kern w:val="2"/>
      <w:sz w:val="21"/>
      <w:lang w:val="en-US" w:eastAsia="zh-CN" w:bidi="ar-SA"/>
    </w:rPr>
  </w:style>
  <w:style w:type="character" w:customStyle="1" w:styleId="176">
    <w:name w:val="标题1 Char"/>
    <w:autoRedefine/>
    <w:qFormat/>
    <w:uiPriority w:val="0"/>
    <w:rPr>
      <w:rFonts w:eastAsia="黑体"/>
      <w:b/>
      <w:bCs/>
      <w:kern w:val="44"/>
      <w:sz w:val="30"/>
      <w:szCs w:val="44"/>
      <w:lang w:val="en-US" w:eastAsia="zh-CN" w:bidi="ar-SA"/>
    </w:rPr>
  </w:style>
  <w:style w:type="character" w:customStyle="1" w:styleId="177">
    <w:name w:val="richtextmngstyle1"/>
    <w:autoRedefine/>
    <w:qFormat/>
    <w:uiPriority w:val="0"/>
    <w:rPr>
      <w:color w:val="000000"/>
      <w:spacing w:val="15"/>
      <w:sz w:val="21"/>
      <w:szCs w:val="21"/>
      <w:u w:val="none"/>
    </w:rPr>
  </w:style>
  <w:style w:type="character" w:customStyle="1" w:styleId="178">
    <w:name w:val="标题3 Char"/>
    <w:autoRedefine/>
    <w:qFormat/>
    <w:uiPriority w:val="0"/>
    <w:rPr>
      <w:rFonts w:ascii="CG Times" w:hAnsi="CG Times" w:eastAsia="仿宋_GB2312" w:cs="CG Times"/>
      <w:b/>
      <w:bCs/>
      <w:kern w:val="2"/>
      <w:sz w:val="28"/>
      <w:szCs w:val="32"/>
      <w:lang w:val="en-US" w:eastAsia="zh-CN" w:bidi="ar-SA"/>
    </w:rPr>
  </w:style>
  <w:style w:type="character" w:customStyle="1" w:styleId="179">
    <w:name w:val="hottext1"/>
    <w:autoRedefine/>
    <w:qFormat/>
    <w:uiPriority w:val="0"/>
    <w:rPr>
      <w:rFonts w:ascii="宋体" w:hAnsi="宋体" w:eastAsia="宋体"/>
      <w:strike/>
      <w:sz w:val="22"/>
      <w:u w:val="none"/>
    </w:rPr>
  </w:style>
  <w:style w:type="character" w:customStyle="1" w:styleId="180">
    <w:name w:val="font_141"/>
    <w:autoRedefine/>
    <w:qFormat/>
    <w:uiPriority w:val="0"/>
    <w:rPr>
      <w:rFonts w:hint="default" w:ascii="ˎ̥" w:hAnsi="ˎ̥"/>
      <w:sz w:val="21"/>
      <w:szCs w:val="21"/>
    </w:rPr>
  </w:style>
  <w:style w:type="character" w:customStyle="1" w:styleId="181">
    <w:name w:val="样式 标题 1h1H1PIM 1标书11.标题 1Section HeadHeader11st levell1...1 Char"/>
    <w:autoRedefine/>
    <w:qFormat/>
    <w:uiPriority w:val="0"/>
    <w:rPr>
      <w:rFonts w:ascii="楷体_GB2312" w:eastAsia="黑体"/>
      <w:b/>
      <w:bCs/>
      <w:kern w:val="44"/>
      <w:sz w:val="30"/>
      <w:szCs w:val="44"/>
      <w:lang w:val="en-US" w:eastAsia="zh-CN" w:bidi="ar-SA"/>
    </w:rPr>
  </w:style>
  <w:style w:type="character" w:customStyle="1" w:styleId="182">
    <w:name w:val="p141"/>
    <w:autoRedefine/>
    <w:qFormat/>
    <w:uiPriority w:val="0"/>
    <w:rPr>
      <w:b/>
      <w:bCs/>
      <w:color w:val="FF9900"/>
      <w:sz w:val="20"/>
      <w:szCs w:val="20"/>
    </w:rPr>
  </w:style>
  <w:style w:type="character" w:customStyle="1" w:styleId="183">
    <w:name w:val="style11"/>
    <w:autoRedefine/>
    <w:qFormat/>
    <w:uiPriority w:val="0"/>
    <w:rPr>
      <w:rFonts w:eastAsia="宋体"/>
      <w:kern w:val="2"/>
      <w:sz w:val="18"/>
      <w:szCs w:val="18"/>
      <w:lang w:val="en-US" w:eastAsia="zh-CN" w:bidi="ar-SA"/>
    </w:rPr>
  </w:style>
  <w:style w:type="character" w:customStyle="1" w:styleId="184">
    <w:name w:val="表格 Char Char"/>
    <w:autoRedefine/>
    <w:qFormat/>
    <w:uiPriority w:val="0"/>
    <w:rPr>
      <w:rFonts w:ascii="仿宋_GB2312" w:eastAsia="仿宋_GB2312" w:cs="宋体"/>
      <w:bCs/>
      <w:snapToGrid w:val="0"/>
      <w:kern w:val="2"/>
      <w:sz w:val="21"/>
      <w:szCs w:val="21"/>
      <w:lang w:val="en-US" w:eastAsia="zh-CN" w:bidi="ar-SA"/>
    </w:rPr>
  </w:style>
  <w:style w:type="character" w:customStyle="1" w:styleId="185">
    <w:name w:val="正文文本缩进 Char1"/>
    <w:link w:val="3"/>
    <w:autoRedefine/>
    <w:qFormat/>
    <w:uiPriority w:val="0"/>
    <w:rPr>
      <w:kern w:val="2"/>
      <w:sz w:val="28"/>
      <w:szCs w:val="24"/>
    </w:rPr>
  </w:style>
  <w:style w:type="character" w:customStyle="1" w:styleId="186">
    <w:name w:val="正文首行缩进 2 Char"/>
    <w:basedOn w:val="185"/>
    <w:link w:val="187"/>
    <w:autoRedefine/>
    <w:qFormat/>
    <w:uiPriority w:val="0"/>
    <w:rPr>
      <w:kern w:val="2"/>
      <w:sz w:val="28"/>
      <w:szCs w:val="24"/>
    </w:rPr>
  </w:style>
  <w:style w:type="paragraph" w:customStyle="1" w:styleId="187">
    <w:name w:val="正文首行缩进 21"/>
    <w:basedOn w:val="3"/>
    <w:link w:val="186"/>
    <w:autoRedefine/>
    <w:qFormat/>
    <w:uiPriority w:val="0"/>
    <w:pPr>
      <w:spacing w:after="120"/>
      <w:ind w:left="420" w:leftChars="200" w:firstLine="420"/>
    </w:pPr>
    <w:rPr>
      <w:sz w:val="21"/>
    </w:rPr>
  </w:style>
  <w:style w:type="character" w:customStyle="1" w:styleId="188">
    <w:name w:val="b21"/>
    <w:autoRedefine/>
    <w:qFormat/>
    <w:uiPriority w:val="0"/>
    <w:rPr>
      <w:rFonts w:hint="default"/>
      <w:color w:val="000000"/>
      <w:sz w:val="20"/>
      <w:szCs w:val="20"/>
    </w:rPr>
  </w:style>
  <w:style w:type="character" w:customStyle="1" w:styleId="189">
    <w:name w:val="zhengwen1"/>
    <w:autoRedefine/>
    <w:qFormat/>
    <w:uiPriority w:val="0"/>
    <w:rPr>
      <w:color w:val="000000"/>
      <w:sz w:val="20"/>
      <w:szCs w:val="20"/>
      <w:u w:val="none"/>
    </w:rPr>
  </w:style>
  <w:style w:type="character" w:customStyle="1" w:styleId="190">
    <w:name w:val="p9l1"/>
    <w:autoRedefine/>
    <w:qFormat/>
    <w:uiPriority w:val="0"/>
    <w:rPr>
      <w:sz w:val="18"/>
      <w:szCs w:val="18"/>
      <w:u w:val="none"/>
    </w:rPr>
  </w:style>
  <w:style w:type="character" w:customStyle="1" w:styleId="191">
    <w:name w:val="正文文字 Char2"/>
    <w:autoRedefine/>
    <w:qFormat/>
    <w:uiPriority w:val="0"/>
    <w:rPr>
      <w:rFonts w:eastAsia="仿宋_GB2312"/>
      <w:kern w:val="2"/>
      <w:sz w:val="24"/>
      <w:szCs w:val="24"/>
      <w:lang w:val="en-US" w:eastAsia="zh-CN" w:bidi="ar-SA"/>
    </w:rPr>
  </w:style>
  <w:style w:type="character" w:customStyle="1" w:styleId="192">
    <w:name w:val="content1"/>
    <w:basedOn w:val="63"/>
    <w:autoRedefine/>
    <w:qFormat/>
    <w:uiPriority w:val="0"/>
  </w:style>
  <w:style w:type="character" w:customStyle="1" w:styleId="193">
    <w:name w:val="textsy"/>
    <w:basedOn w:val="63"/>
    <w:autoRedefine/>
    <w:qFormat/>
    <w:uiPriority w:val="0"/>
  </w:style>
  <w:style w:type="character" w:customStyle="1" w:styleId="194">
    <w:name w:val="infodetail1"/>
    <w:autoRedefine/>
    <w:qFormat/>
    <w:uiPriority w:val="0"/>
    <w:rPr>
      <w:rFonts w:hint="default"/>
      <w:sz w:val="22"/>
      <w:szCs w:val="22"/>
    </w:rPr>
  </w:style>
  <w:style w:type="character" w:customStyle="1" w:styleId="195">
    <w:name w:val="z-窗体顶端 Char"/>
    <w:link w:val="196"/>
    <w:autoRedefine/>
    <w:qFormat/>
    <w:uiPriority w:val="0"/>
    <w:rPr>
      <w:rFonts w:ascii="Arial" w:hAnsi="Arial" w:cs="Arial"/>
      <w:vanish/>
      <w:sz w:val="16"/>
      <w:szCs w:val="16"/>
    </w:rPr>
  </w:style>
  <w:style w:type="paragraph" w:customStyle="1" w:styleId="196">
    <w:name w:val="HTML Top of Form"/>
    <w:basedOn w:val="1"/>
    <w:next w:val="1"/>
    <w:link w:val="195"/>
    <w:autoRedefine/>
    <w:qFormat/>
    <w:uiPriority w:val="0"/>
    <w:pPr>
      <w:pBdr>
        <w:bottom w:val="single" w:color="auto" w:sz="6" w:space="1"/>
      </w:pBdr>
      <w:jc w:val="center"/>
    </w:pPr>
    <w:rPr>
      <w:rFonts w:ascii="Arial" w:hAnsi="Arial"/>
      <w:vanish/>
      <w:sz w:val="16"/>
      <w:szCs w:val="16"/>
    </w:rPr>
  </w:style>
  <w:style w:type="character" w:customStyle="1" w:styleId="197">
    <w:name w:val="标题 4 Char1"/>
    <w:autoRedefine/>
    <w:qFormat/>
    <w:uiPriority w:val="0"/>
    <w:rPr>
      <w:rFonts w:ascii="Arial" w:hAnsi="Arial" w:eastAsia="黑体"/>
      <w:b/>
      <w:bCs/>
      <w:kern w:val="2"/>
      <w:sz w:val="28"/>
      <w:szCs w:val="28"/>
      <w:lang w:val="en-US" w:eastAsia="zh-CN" w:bidi="ar-SA"/>
    </w:rPr>
  </w:style>
  <w:style w:type="character" w:customStyle="1" w:styleId="198">
    <w:name w:val="p14b1"/>
    <w:autoRedefine/>
    <w:qFormat/>
    <w:uiPriority w:val="0"/>
    <w:rPr>
      <w:rFonts w:hint="eastAsia" w:ascii="宋体" w:hAnsi="宋体" w:eastAsia="宋体"/>
      <w:color w:val="000000"/>
      <w:sz w:val="28"/>
      <w:szCs w:val="28"/>
    </w:rPr>
  </w:style>
  <w:style w:type="character" w:customStyle="1" w:styleId="199">
    <w:name w:val="p11"/>
    <w:autoRedefine/>
    <w:qFormat/>
    <w:uiPriority w:val="0"/>
    <w:rPr>
      <w:sz w:val="18"/>
      <w:szCs w:val="18"/>
    </w:rPr>
  </w:style>
  <w:style w:type="character" w:customStyle="1" w:styleId="200">
    <w:name w:val="news1"/>
    <w:autoRedefine/>
    <w:qFormat/>
    <w:uiPriority w:val="0"/>
    <w:rPr>
      <w:color w:val="000000"/>
      <w:sz w:val="21"/>
      <w:szCs w:val="21"/>
      <w:u w:val="none"/>
    </w:rPr>
  </w:style>
  <w:style w:type="character" w:customStyle="1" w:styleId="201">
    <w:name w:val="普通文字 Char Char Char Char Char Char Char Char Char Char Char"/>
    <w:autoRedefine/>
    <w:qFormat/>
    <w:uiPriority w:val="0"/>
    <w:rPr>
      <w:rFonts w:hint="eastAsia" w:ascii="宋体" w:hAnsi="Courier New" w:eastAsia="宋体"/>
      <w:color w:val="000000"/>
      <w:kern w:val="2"/>
      <w:sz w:val="21"/>
      <w:u w:color="000000"/>
      <w:lang w:val="en-US" w:eastAsia="zh-CN"/>
    </w:rPr>
  </w:style>
  <w:style w:type="character" w:customStyle="1" w:styleId="202">
    <w:name w:val="默认段落字体 Char"/>
    <w:autoRedefine/>
    <w:qFormat/>
    <w:uiPriority w:val="0"/>
    <w:rPr>
      <w:rFonts w:hint="eastAsia"/>
      <w:color w:val="000000"/>
      <w:sz w:val="21"/>
      <w:u w:color="000000"/>
      <w:lang w:val="en-US" w:eastAsia="zh-CN"/>
    </w:rPr>
  </w:style>
  <w:style w:type="character" w:customStyle="1" w:styleId="203">
    <w:name w:val="批注引用 Char"/>
    <w:basedOn w:val="202"/>
    <w:autoRedefine/>
    <w:qFormat/>
    <w:uiPriority w:val="0"/>
    <w:rPr>
      <w:rFonts w:hint="eastAsia"/>
      <w:color w:val="000000"/>
      <w:sz w:val="21"/>
      <w:u w:color="000000"/>
      <w:lang w:val="en-US" w:eastAsia="zh-CN"/>
    </w:rPr>
  </w:style>
  <w:style w:type="character" w:customStyle="1" w:styleId="204">
    <w:name w:val="链接"/>
    <w:autoRedefine/>
    <w:qFormat/>
    <w:uiPriority w:val="0"/>
    <w:rPr>
      <w:rFonts w:hint="eastAsia"/>
      <w:color w:val="0000FF"/>
      <w:sz w:val="21"/>
      <w:u w:val="single" w:color="0000FF"/>
      <w:lang w:val="en-US" w:eastAsia="zh-CN"/>
    </w:rPr>
  </w:style>
  <w:style w:type="character" w:customStyle="1" w:styleId="205">
    <w:name w:val="页码 Char"/>
    <w:basedOn w:val="202"/>
    <w:autoRedefine/>
    <w:qFormat/>
    <w:uiPriority w:val="0"/>
    <w:rPr>
      <w:rFonts w:hint="eastAsia"/>
      <w:color w:val="000000"/>
      <w:sz w:val="21"/>
      <w:u w:color="000000"/>
      <w:lang w:val="en-US" w:eastAsia="zh-CN"/>
    </w:rPr>
  </w:style>
  <w:style w:type="character" w:customStyle="1" w:styleId="206">
    <w:name w:val="正文文字 Char Char Char"/>
    <w:autoRedefine/>
    <w:qFormat/>
    <w:uiPriority w:val="0"/>
    <w:rPr>
      <w:rFonts w:ascii="宋体" w:eastAsia="宋体"/>
      <w:kern w:val="2"/>
      <w:sz w:val="24"/>
      <w:lang w:val="en-US" w:eastAsia="zh-CN" w:bidi="ar-SA"/>
    </w:rPr>
  </w:style>
  <w:style w:type="character" w:customStyle="1" w:styleId="207">
    <w:name w:val="htd01"/>
    <w:autoRedefine/>
    <w:qFormat/>
    <w:uiPriority w:val="0"/>
  </w:style>
  <w:style w:type="character" w:customStyle="1" w:styleId="208">
    <w:name w:val="tt141"/>
    <w:autoRedefine/>
    <w:qFormat/>
    <w:uiPriority w:val="0"/>
    <w:rPr>
      <w:b/>
      <w:bCs/>
      <w:sz w:val="20"/>
      <w:szCs w:val="20"/>
    </w:rPr>
  </w:style>
  <w:style w:type="character" w:customStyle="1" w:styleId="209">
    <w:name w:val="题注2 Char"/>
    <w:autoRedefine/>
    <w:qFormat/>
    <w:uiPriority w:val="0"/>
    <w:rPr>
      <w:rFonts w:ascii="Arial" w:hAnsi="Arial" w:eastAsia="黑体"/>
      <w:b/>
      <w:bCs/>
      <w:kern w:val="2"/>
      <w:sz w:val="32"/>
      <w:szCs w:val="32"/>
      <w:lang w:val="en-US" w:eastAsia="zh-CN" w:bidi="ar-SA"/>
    </w:rPr>
  </w:style>
  <w:style w:type="character" w:customStyle="1" w:styleId="210">
    <w:name w:val="h21"/>
    <w:autoRedefine/>
    <w:qFormat/>
    <w:uiPriority w:val="0"/>
    <w:rPr>
      <w:rFonts w:ascii="Tahoma" w:hAnsi="Tahoma" w:cs="Tahoma"/>
      <w:b/>
      <w:bCs/>
      <w:color w:val="auto"/>
      <w:sz w:val="20"/>
      <w:szCs w:val="20"/>
    </w:rPr>
  </w:style>
  <w:style w:type="character" w:customStyle="1" w:styleId="211">
    <w:name w:val="样式 正文文本 + 小四 黑色 首行缩进:  0.92 厘米 段后: 0 磅 行距: 1.5 倍行距 Char"/>
    <w:autoRedefine/>
    <w:qFormat/>
    <w:uiPriority w:val="0"/>
    <w:rPr>
      <w:rFonts w:eastAsia="宋体" w:cs="宋体"/>
      <w:color w:val="000000"/>
      <w:kern w:val="2"/>
      <w:sz w:val="24"/>
      <w:lang w:val="en-US" w:eastAsia="zh-CN" w:bidi="ar-SA"/>
    </w:rPr>
  </w:style>
  <w:style w:type="character" w:customStyle="1" w:styleId="212">
    <w:name w:val="发布"/>
    <w:autoRedefine/>
    <w:qFormat/>
    <w:uiPriority w:val="0"/>
    <w:rPr>
      <w:rFonts w:ascii="黑体" w:eastAsia="黑体"/>
      <w:spacing w:val="22"/>
      <w:w w:val="100"/>
      <w:position w:val="3"/>
      <w:sz w:val="28"/>
    </w:rPr>
  </w:style>
  <w:style w:type="character" w:customStyle="1" w:styleId="213">
    <w:name w:val="个人答复风格"/>
    <w:autoRedefine/>
    <w:qFormat/>
    <w:uiPriority w:val="0"/>
    <w:rPr>
      <w:rFonts w:ascii="Arial" w:hAnsi="Arial" w:eastAsia="宋体" w:cs="Arial"/>
      <w:color w:val="auto"/>
      <w:sz w:val="20"/>
    </w:rPr>
  </w:style>
  <w:style w:type="character" w:customStyle="1" w:styleId="214">
    <w:name w:val="个人撰写风格"/>
    <w:autoRedefine/>
    <w:qFormat/>
    <w:uiPriority w:val="0"/>
    <w:rPr>
      <w:rFonts w:ascii="Arial" w:hAnsi="Arial" w:eastAsia="宋体" w:cs="Arial"/>
      <w:color w:val="auto"/>
      <w:sz w:val="20"/>
    </w:rPr>
  </w:style>
  <w:style w:type="character" w:customStyle="1" w:styleId="215">
    <w:name w:val="脚注文本 Char"/>
    <w:link w:val="48"/>
    <w:autoRedefine/>
    <w:qFormat/>
    <w:uiPriority w:val="0"/>
    <w:rPr>
      <w:kern w:val="2"/>
      <w:sz w:val="18"/>
      <w:szCs w:val="18"/>
    </w:rPr>
  </w:style>
  <w:style w:type="character" w:customStyle="1" w:styleId="216">
    <w:name w:val="f24"/>
    <w:basedOn w:val="63"/>
    <w:autoRedefine/>
    <w:qFormat/>
    <w:uiPriority w:val="0"/>
  </w:style>
  <w:style w:type="character" w:customStyle="1" w:styleId="217">
    <w:name w:val="style81"/>
    <w:autoRedefine/>
    <w:qFormat/>
    <w:uiPriority w:val="0"/>
    <w:rPr>
      <w:rFonts w:hint="eastAsia" w:ascii="宋体" w:hAnsi="宋体" w:eastAsia="宋体"/>
      <w:sz w:val="32"/>
      <w:szCs w:val="32"/>
    </w:rPr>
  </w:style>
  <w:style w:type="character" w:customStyle="1" w:styleId="218">
    <w:name w:val="p21"/>
    <w:autoRedefine/>
    <w:qFormat/>
    <w:uiPriority w:val="0"/>
    <w:rPr>
      <w:sz w:val="18"/>
      <w:szCs w:val="18"/>
    </w:rPr>
  </w:style>
  <w:style w:type="character" w:customStyle="1" w:styleId="219">
    <w:name w:val="样式10 Char"/>
    <w:autoRedefine/>
    <w:qFormat/>
    <w:uiPriority w:val="0"/>
    <w:rPr>
      <w:rFonts w:ascii="宋体" w:hAnsi="宋体" w:eastAsia="宋体"/>
      <w:color w:val="000000"/>
      <w:kern w:val="2"/>
      <w:sz w:val="28"/>
      <w:szCs w:val="28"/>
      <w:lang w:val="en-US" w:eastAsia="zh-CN" w:bidi="ar-SA"/>
    </w:rPr>
  </w:style>
  <w:style w:type="character" w:customStyle="1" w:styleId="220">
    <w:name w:val="样式 标题 4 + 宋体 Char"/>
    <w:autoRedefine/>
    <w:qFormat/>
    <w:uiPriority w:val="0"/>
    <w:rPr>
      <w:rFonts w:eastAsia="宋体"/>
      <w:b/>
      <w:bCs/>
      <w:kern w:val="2"/>
      <w:sz w:val="28"/>
      <w:szCs w:val="28"/>
      <w:lang w:val="en-US" w:eastAsia="zh-CN" w:bidi="ar-SA"/>
    </w:rPr>
  </w:style>
  <w:style w:type="character" w:customStyle="1" w:styleId="221">
    <w:name w:val="f14b1"/>
    <w:autoRedefine/>
    <w:qFormat/>
    <w:uiPriority w:val="0"/>
    <w:rPr>
      <w:b/>
      <w:bCs/>
      <w:sz w:val="21"/>
      <w:szCs w:val="21"/>
    </w:rPr>
  </w:style>
  <w:style w:type="character" w:customStyle="1" w:styleId="222">
    <w:name w:val="style91"/>
    <w:autoRedefine/>
    <w:qFormat/>
    <w:uiPriority w:val="0"/>
    <w:rPr>
      <w:color w:val="333333"/>
    </w:rPr>
  </w:style>
  <w:style w:type="character" w:customStyle="1" w:styleId="223">
    <w:name w:val="HTML 地址 Char"/>
    <w:link w:val="31"/>
    <w:autoRedefine/>
    <w:qFormat/>
    <w:uiPriority w:val="0"/>
    <w:rPr>
      <w:i/>
      <w:iCs/>
      <w:kern w:val="2"/>
      <w:sz w:val="24"/>
    </w:rPr>
  </w:style>
  <w:style w:type="character" w:customStyle="1" w:styleId="224">
    <w:name w:val="正文样式 Char"/>
    <w:link w:val="225"/>
    <w:autoRedefine/>
    <w:qFormat/>
    <w:uiPriority w:val="0"/>
    <w:rPr>
      <w:rFonts w:ascii="宋体" w:hAnsi="宋体" w:cs="宋体"/>
      <w:bCs/>
      <w:kern w:val="2"/>
      <w:sz w:val="28"/>
      <w:szCs w:val="24"/>
    </w:rPr>
  </w:style>
  <w:style w:type="paragraph" w:customStyle="1" w:styleId="225">
    <w:name w:val="正文样式"/>
    <w:basedOn w:val="1"/>
    <w:link w:val="224"/>
    <w:autoRedefine/>
    <w:qFormat/>
    <w:uiPriority w:val="0"/>
    <w:pPr>
      <w:adjustRightInd w:val="0"/>
      <w:snapToGrid w:val="0"/>
      <w:spacing w:line="360" w:lineRule="auto"/>
      <w:ind w:firstLine="524" w:firstLineChars="187"/>
    </w:pPr>
    <w:rPr>
      <w:bCs/>
      <w:sz w:val="28"/>
    </w:rPr>
  </w:style>
  <w:style w:type="character" w:customStyle="1" w:styleId="226">
    <w:name w:val="-- Char"/>
    <w:link w:val="227"/>
    <w:autoRedefine/>
    <w:qFormat/>
    <w:uiPriority w:val="0"/>
    <w:rPr>
      <w:rFonts w:ascii="宋体" w:hAnsi="宋体"/>
      <w:sz w:val="24"/>
      <w:szCs w:val="24"/>
    </w:rPr>
  </w:style>
  <w:style w:type="paragraph" w:customStyle="1" w:styleId="227">
    <w:name w:val="--"/>
    <w:basedOn w:val="1"/>
    <w:link w:val="226"/>
    <w:autoRedefine/>
    <w:qFormat/>
    <w:uiPriority w:val="0"/>
    <w:pPr>
      <w:spacing w:before="100" w:beforeAutospacing="1" w:after="100" w:afterAutospacing="1"/>
    </w:pPr>
  </w:style>
  <w:style w:type="character" w:customStyle="1" w:styleId="228">
    <w:name w:val="style21"/>
    <w:autoRedefine/>
    <w:qFormat/>
    <w:uiPriority w:val="0"/>
    <w:rPr>
      <w:color w:val="000000"/>
    </w:rPr>
  </w:style>
  <w:style w:type="character" w:customStyle="1" w:styleId="229">
    <w:name w:val="样式1 Char"/>
    <w:link w:val="230"/>
    <w:autoRedefine/>
    <w:qFormat/>
    <w:uiPriority w:val="0"/>
    <w:rPr>
      <w:rFonts w:ascii="宋体" w:hAnsi="宋体"/>
      <w:bCs/>
      <w:snapToGrid w:val="0"/>
      <w:sz w:val="24"/>
    </w:rPr>
  </w:style>
  <w:style w:type="paragraph" w:customStyle="1" w:styleId="230">
    <w:name w:val="样式1"/>
    <w:basedOn w:val="1"/>
    <w:link w:val="229"/>
    <w:autoRedefine/>
    <w:qFormat/>
    <w:uiPriority w:val="0"/>
    <w:pPr>
      <w:spacing w:line="480" w:lineRule="exact"/>
    </w:pPr>
    <w:rPr>
      <w:bCs/>
      <w:snapToGrid w:val="0"/>
      <w:szCs w:val="20"/>
    </w:rPr>
  </w:style>
  <w:style w:type="character" w:customStyle="1" w:styleId="231">
    <w:name w:val="样式 黑体 四号"/>
    <w:autoRedefine/>
    <w:qFormat/>
    <w:uiPriority w:val="0"/>
    <w:rPr>
      <w:rFonts w:ascii="黑体" w:hAnsi="黑体" w:eastAsia="黑体"/>
      <w:sz w:val="28"/>
    </w:rPr>
  </w:style>
  <w:style w:type="character" w:customStyle="1" w:styleId="232">
    <w:name w:val="列表 Char"/>
    <w:link w:val="47"/>
    <w:autoRedefine/>
    <w:qFormat/>
    <w:uiPriority w:val="0"/>
    <w:rPr>
      <w:sz w:val="21"/>
      <w:lang w:val="en-GB"/>
    </w:rPr>
  </w:style>
  <w:style w:type="character" w:customStyle="1" w:styleId="233">
    <w:name w:val="样式 标题 2 + Times New Roman Char"/>
    <w:link w:val="234"/>
    <w:autoRedefine/>
    <w:qFormat/>
    <w:uiPriority w:val="0"/>
    <w:rPr>
      <w:rFonts w:eastAsia="黑体"/>
      <w:b/>
      <w:bCs/>
      <w:kern w:val="2"/>
      <w:sz w:val="32"/>
      <w:szCs w:val="28"/>
    </w:rPr>
  </w:style>
  <w:style w:type="paragraph" w:customStyle="1" w:styleId="234">
    <w:name w:val="样式 标题 2 + Times New Roman"/>
    <w:basedOn w:val="6"/>
    <w:link w:val="233"/>
    <w:autoRedefine/>
    <w:qFormat/>
    <w:uiPriority w:val="0"/>
    <w:pPr>
      <w:adjustRightInd/>
      <w:snapToGrid/>
      <w:spacing w:beforeLines="50" w:afterLines="50"/>
      <w:ind w:firstLine="562" w:firstLineChars="200"/>
    </w:pPr>
    <w:rPr>
      <w:rFonts w:ascii="Times New Roman" w:hAnsi="Times New Roman"/>
      <w:snapToGrid/>
      <w:kern w:val="2"/>
      <w:sz w:val="32"/>
      <w:szCs w:val="28"/>
    </w:rPr>
  </w:style>
  <w:style w:type="character" w:customStyle="1" w:styleId="235">
    <w:name w:val="宋体四号 Char"/>
    <w:link w:val="236"/>
    <w:autoRedefine/>
    <w:qFormat/>
    <w:uiPriority w:val="0"/>
    <w:rPr>
      <w:rFonts w:ascii="ˎ̥" w:hAnsi="ˎ̥"/>
      <w:bCs/>
      <w:sz w:val="24"/>
      <w:szCs w:val="24"/>
    </w:rPr>
  </w:style>
  <w:style w:type="paragraph" w:customStyle="1" w:styleId="236">
    <w:name w:val="宋体四号"/>
    <w:basedOn w:val="1"/>
    <w:link w:val="235"/>
    <w:autoRedefine/>
    <w:qFormat/>
    <w:uiPriority w:val="0"/>
    <w:pPr>
      <w:spacing w:line="360" w:lineRule="auto"/>
      <w:ind w:firstLine="480" w:firstLineChars="200"/>
    </w:pPr>
    <w:rPr>
      <w:rFonts w:ascii="ˎ̥" w:hAnsi="ˎ̥"/>
      <w:bCs/>
    </w:rPr>
  </w:style>
  <w:style w:type="character" w:customStyle="1" w:styleId="237">
    <w:name w:val="称呼 Char"/>
    <w:link w:val="22"/>
    <w:autoRedefine/>
    <w:qFormat/>
    <w:uiPriority w:val="0"/>
    <w:rPr>
      <w:rFonts w:eastAsia="楷体_GB2312"/>
      <w:kern w:val="2"/>
      <w:sz w:val="21"/>
    </w:rPr>
  </w:style>
  <w:style w:type="character" w:customStyle="1" w:styleId="238">
    <w:name w:val="题注1 Char Char Char Char Char"/>
    <w:autoRedefine/>
    <w:qFormat/>
    <w:uiPriority w:val="0"/>
    <w:rPr>
      <w:rFonts w:ascii="Arial" w:hAnsi="Arial" w:eastAsia="黑体" w:cs="黑体"/>
      <w:kern w:val="2"/>
      <w:lang w:val="en-US" w:eastAsia="zh-CN" w:bidi="ar-SA"/>
    </w:rPr>
  </w:style>
  <w:style w:type="character" w:customStyle="1" w:styleId="239">
    <w:name w:val="样式1 Char Char"/>
    <w:autoRedefine/>
    <w:qFormat/>
    <w:uiPriority w:val="0"/>
    <w:rPr>
      <w:rFonts w:ascii="宋体" w:hAnsi="宋体" w:eastAsia="宋体"/>
      <w:kern w:val="2"/>
      <w:sz w:val="21"/>
      <w:szCs w:val="21"/>
      <w:lang w:val="en-US" w:eastAsia="zh-CN" w:bidi="ar-SA"/>
    </w:rPr>
  </w:style>
  <w:style w:type="character" w:customStyle="1" w:styleId="240">
    <w:name w:val="样式7 Char"/>
    <w:link w:val="241"/>
    <w:autoRedefine/>
    <w:qFormat/>
    <w:uiPriority w:val="0"/>
    <w:rPr>
      <w:rFonts w:eastAsia="黑体"/>
      <w:color w:val="000000"/>
      <w:kern w:val="44"/>
      <w:sz w:val="30"/>
      <w:szCs w:val="44"/>
    </w:rPr>
  </w:style>
  <w:style w:type="paragraph" w:customStyle="1" w:styleId="241">
    <w:name w:val="样式7"/>
    <w:basedOn w:val="5"/>
    <w:link w:val="240"/>
    <w:autoRedefine/>
    <w:qFormat/>
    <w:uiPriority w:val="0"/>
    <w:pPr>
      <w:tabs>
        <w:tab w:val="left" w:pos="360"/>
        <w:tab w:val="left" w:pos="570"/>
      </w:tabs>
      <w:adjustRightInd w:val="0"/>
      <w:snapToGrid w:val="0"/>
      <w:spacing w:beforeLines="200" w:afterLines="200" w:line="500" w:lineRule="exact"/>
      <w:jc w:val="both"/>
    </w:pPr>
    <w:rPr>
      <w:rFonts w:ascii="Times New Roman"/>
      <w:b w:val="0"/>
      <w:bCs w:val="0"/>
      <w:color w:val="000000"/>
      <w:sz w:val="30"/>
      <w:szCs w:val="44"/>
    </w:rPr>
  </w:style>
  <w:style w:type="character" w:customStyle="1" w:styleId="242">
    <w:name w:val="样式8 Char"/>
    <w:link w:val="243"/>
    <w:autoRedefine/>
    <w:semiHidden/>
    <w:qFormat/>
    <w:uiPriority w:val="0"/>
    <w:rPr>
      <w:rFonts w:ascii="黑体" w:eastAsia="黑体"/>
      <w:bCs/>
      <w:kern w:val="2"/>
      <w:sz w:val="24"/>
      <w:szCs w:val="24"/>
    </w:rPr>
  </w:style>
  <w:style w:type="paragraph" w:customStyle="1" w:styleId="243">
    <w:name w:val="样式8"/>
    <w:basedOn w:val="4"/>
    <w:link w:val="242"/>
    <w:autoRedefine/>
    <w:qFormat/>
    <w:uiPriority w:val="0"/>
    <w:pPr>
      <w:spacing w:beforeLines="50" w:afterLines="50" w:line="400" w:lineRule="exact"/>
      <w:ind w:firstLine="0"/>
      <w:jc w:val="center"/>
    </w:pPr>
    <w:rPr>
      <w:rFonts w:ascii="黑体" w:eastAsia="黑体"/>
      <w:bCs/>
      <w:szCs w:val="24"/>
    </w:rPr>
  </w:style>
  <w:style w:type="character" w:customStyle="1" w:styleId="244">
    <w:name w:val="表格内文字 Char"/>
    <w:link w:val="245"/>
    <w:autoRedefine/>
    <w:qFormat/>
    <w:uiPriority w:val="0"/>
    <w:rPr>
      <w:spacing w:val="10"/>
      <w:kern w:val="2"/>
      <w:sz w:val="24"/>
    </w:rPr>
  </w:style>
  <w:style w:type="paragraph" w:customStyle="1" w:styleId="245">
    <w:name w:val="表格内文字"/>
    <w:basedOn w:val="1"/>
    <w:link w:val="244"/>
    <w:autoRedefine/>
    <w:qFormat/>
    <w:uiPriority w:val="0"/>
    <w:pPr>
      <w:spacing w:before="100" w:after="100" w:line="320" w:lineRule="exact"/>
      <w:jc w:val="center"/>
    </w:pPr>
    <w:rPr>
      <w:spacing w:val="10"/>
      <w:szCs w:val="20"/>
    </w:rPr>
  </w:style>
  <w:style w:type="character" w:customStyle="1" w:styleId="246">
    <w:name w:val="样式48 Char"/>
    <w:link w:val="247"/>
    <w:autoRedefine/>
    <w:semiHidden/>
    <w:qFormat/>
    <w:uiPriority w:val="0"/>
    <w:rPr>
      <w:rFonts w:ascii="宋体" w:hAnsi="宋体"/>
      <w:kern w:val="2"/>
      <w:sz w:val="28"/>
      <w:szCs w:val="28"/>
    </w:rPr>
  </w:style>
  <w:style w:type="paragraph" w:customStyle="1" w:styleId="247">
    <w:name w:val="样式48"/>
    <w:basedOn w:val="1"/>
    <w:link w:val="246"/>
    <w:autoRedefine/>
    <w:semiHidden/>
    <w:qFormat/>
    <w:uiPriority w:val="0"/>
    <w:pPr>
      <w:spacing w:line="560" w:lineRule="exact"/>
      <w:ind w:firstLine="560" w:firstLineChars="200"/>
    </w:pPr>
    <w:rPr>
      <w:sz w:val="28"/>
      <w:szCs w:val="28"/>
    </w:rPr>
  </w:style>
  <w:style w:type="character" w:customStyle="1" w:styleId="248">
    <w:name w:val="样式17 Char Char"/>
    <w:link w:val="249"/>
    <w:autoRedefine/>
    <w:qFormat/>
    <w:uiPriority w:val="0"/>
    <w:rPr>
      <w:rFonts w:ascii="宋体" w:hAnsi="宋体"/>
      <w:bCs/>
      <w:color w:val="000000"/>
      <w:sz w:val="21"/>
      <w:szCs w:val="21"/>
    </w:rPr>
  </w:style>
  <w:style w:type="paragraph" w:customStyle="1" w:styleId="249">
    <w:name w:val="样式17"/>
    <w:basedOn w:val="1"/>
    <w:link w:val="248"/>
    <w:autoRedefine/>
    <w:qFormat/>
    <w:uiPriority w:val="0"/>
    <w:pPr>
      <w:tabs>
        <w:tab w:val="left" w:pos="1620"/>
      </w:tabs>
      <w:adjustRightInd w:val="0"/>
      <w:snapToGrid w:val="0"/>
      <w:spacing w:line="360" w:lineRule="auto"/>
    </w:pPr>
    <w:rPr>
      <w:bCs/>
      <w:color w:val="000000"/>
      <w:szCs w:val="21"/>
    </w:rPr>
  </w:style>
  <w:style w:type="character" w:customStyle="1" w:styleId="250">
    <w:name w:val="样式41 Char"/>
    <w:link w:val="251"/>
    <w:autoRedefine/>
    <w:semiHidden/>
    <w:qFormat/>
    <w:uiPriority w:val="0"/>
    <w:rPr>
      <w:rFonts w:ascii="黑体" w:eastAsia="黑体"/>
      <w:sz w:val="24"/>
      <w:szCs w:val="24"/>
    </w:rPr>
  </w:style>
  <w:style w:type="paragraph" w:customStyle="1" w:styleId="251">
    <w:name w:val="样式41"/>
    <w:basedOn w:val="1"/>
    <w:link w:val="250"/>
    <w:autoRedefine/>
    <w:semiHidden/>
    <w:qFormat/>
    <w:uiPriority w:val="0"/>
    <w:pPr>
      <w:spacing w:beforeLines="50" w:afterLines="50" w:line="400" w:lineRule="exact"/>
      <w:jc w:val="center"/>
    </w:pPr>
    <w:rPr>
      <w:rFonts w:ascii="黑体" w:eastAsia="黑体"/>
    </w:rPr>
  </w:style>
  <w:style w:type="character" w:customStyle="1" w:styleId="252">
    <w:name w:val="正文文本缩进 2 Char"/>
    <w:link w:val="37"/>
    <w:autoRedefine/>
    <w:qFormat/>
    <w:uiPriority w:val="0"/>
    <w:rPr>
      <w:rFonts w:ascii="宋体" w:hAnsi="宋体"/>
      <w:color w:val="FF0000"/>
      <w:kern w:val="2"/>
      <w:sz w:val="24"/>
      <w:szCs w:val="24"/>
    </w:rPr>
  </w:style>
  <w:style w:type="paragraph" w:customStyle="1" w:styleId="253">
    <w:name w:val="Right Par 3"/>
    <w:autoRedefine/>
    <w:qFormat/>
    <w:uiPriority w:val="0"/>
    <w:pPr>
      <w:tabs>
        <w:tab w:val="left" w:pos="-720"/>
        <w:tab w:val="left" w:pos="0"/>
        <w:tab w:val="left" w:pos="720"/>
        <w:tab w:val="left" w:pos="1440"/>
        <w:tab w:val="decimal" w:pos="2160"/>
      </w:tabs>
      <w:suppressAutoHyphens/>
      <w:ind w:left="2160" w:hanging="432"/>
    </w:pPr>
    <w:rPr>
      <w:rFonts w:ascii="Courier New" w:hAnsi="Courier New" w:eastAsia="宋体" w:cs="Times New Roman"/>
      <w:sz w:val="24"/>
      <w:lang w:val="en-US" w:eastAsia="en-US" w:bidi="ar-SA"/>
    </w:rPr>
  </w:style>
  <w:style w:type="paragraph" w:customStyle="1" w:styleId="254">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255">
    <w:name w:val="Char"/>
    <w:basedOn w:val="8"/>
    <w:autoRedefine/>
    <w:qFormat/>
    <w:uiPriority w:val="0"/>
    <w:pPr>
      <w:keepLines/>
      <w:spacing w:before="140" w:line="220" w:lineRule="atLeast"/>
      <w:ind w:left="720"/>
      <w:jc w:val="left"/>
    </w:pPr>
    <w:rPr>
      <w:rFonts w:ascii="Futura Bk BT" w:hAnsi="Futura Bk BT" w:eastAsia="Times New Roman"/>
      <w:b w:val="0"/>
      <w:bCs w:val="0"/>
      <w:snapToGrid/>
      <w:spacing w:val="-4"/>
      <w:kern w:val="28"/>
      <w:sz w:val="21"/>
      <w:lang w:val="en-AU" w:eastAsia="en-US"/>
    </w:rPr>
  </w:style>
  <w:style w:type="paragraph" w:customStyle="1" w:styleId="256">
    <w:name w:val="1"/>
    <w:basedOn w:val="8"/>
    <w:autoRedefine/>
    <w:qFormat/>
    <w:uiPriority w:val="0"/>
    <w:pPr>
      <w:keepLines/>
      <w:spacing w:before="140" w:line="220" w:lineRule="atLeast"/>
      <w:ind w:left="720"/>
      <w:jc w:val="left"/>
    </w:pPr>
    <w:rPr>
      <w:rFonts w:ascii="Arial" w:hAnsi="Arial" w:eastAsia="黑体"/>
      <w:snapToGrid/>
      <w:kern w:val="2"/>
      <w:sz w:val="28"/>
      <w:szCs w:val="28"/>
    </w:rPr>
  </w:style>
  <w:style w:type="paragraph" w:customStyle="1" w:styleId="257">
    <w:name w:val="页号"/>
    <w:basedOn w:val="39"/>
    <w:autoRedefine/>
    <w:qFormat/>
    <w:uiPriority w:val="0"/>
    <w:pPr>
      <w:tabs>
        <w:tab w:val="center" w:pos="4320"/>
        <w:tab w:val="right" w:pos="8640"/>
        <w:tab w:val="clear" w:pos="4153"/>
        <w:tab w:val="clear" w:pos="8306"/>
      </w:tabs>
      <w:adjustRightInd w:val="0"/>
      <w:snapToGrid/>
      <w:jc w:val="center"/>
      <w:textAlignment w:val="baseline"/>
    </w:pPr>
    <w:rPr>
      <w:rFonts w:hAnsi="Arial"/>
      <w:spacing w:val="3"/>
      <w:kern w:val="24"/>
      <w:sz w:val="24"/>
    </w:rPr>
  </w:style>
  <w:style w:type="paragraph" w:customStyle="1" w:styleId="258">
    <w:name w:val="默认段落字体 Para Char Char"/>
    <w:basedOn w:val="1"/>
    <w:autoRedefine/>
    <w:qFormat/>
    <w:uiPriority w:val="0"/>
    <w:pPr>
      <w:spacing w:line="360" w:lineRule="auto"/>
      <w:ind w:firstLine="200" w:firstLineChars="200"/>
    </w:pPr>
  </w:style>
  <w:style w:type="paragraph" w:customStyle="1" w:styleId="259">
    <w:name w:val="reader-word-layer reader-word-s2-5"/>
    <w:basedOn w:val="1"/>
    <w:autoRedefine/>
    <w:qFormat/>
    <w:uiPriority w:val="0"/>
    <w:pPr>
      <w:spacing w:before="100" w:beforeAutospacing="1" w:after="100" w:afterAutospacing="1"/>
    </w:pPr>
  </w:style>
  <w:style w:type="paragraph" w:customStyle="1" w:styleId="260">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61">
    <w:name w:val="reader-word-layer reader-word-s2-2"/>
    <w:basedOn w:val="1"/>
    <w:autoRedefine/>
    <w:qFormat/>
    <w:uiPriority w:val="0"/>
    <w:pPr>
      <w:spacing w:before="100" w:beforeAutospacing="1" w:after="100" w:afterAutospacing="1"/>
    </w:pPr>
  </w:style>
  <w:style w:type="paragraph" w:customStyle="1" w:styleId="262">
    <w:name w:val="reader-word-layer reader-word-s1-10"/>
    <w:basedOn w:val="1"/>
    <w:autoRedefine/>
    <w:qFormat/>
    <w:uiPriority w:val="0"/>
    <w:pPr>
      <w:spacing w:before="100" w:beforeAutospacing="1" w:after="100" w:afterAutospacing="1"/>
    </w:pPr>
  </w:style>
  <w:style w:type="paragraph" w:customStyle="1" w:styleId="263">
    <w:name w:val="宋体 13 磅 行距: 固定值 24 磅"/>
    <w:basedOn w:val="1"/>
    <w:autoRedefine/>
    <w:qFormat/>
    <w:uiPriority w:val="0"/>
    <w:pPr>
      <w:spacing w:line="480" w:lineRule="exact"/>
      <w:ind w:firstLine="520" w:firstLineChars="200"/>
    </w:pPr>
    <w:rPr>
      <w:sz w:val="26"/>
      <w:szCs w:val="20"/>
    </w:rPr>
  </w:style>
  <w:style w:type="paragraph" w:customStyle="1" w:styleId="264">
    <w:name w:val="Body text1"/>
    <w:basedOn w:val="1"/>
    <w:autoRedefine/>
    <w:qFormat/>
    <w:uiPriority w:val="0"/>
    <w:pPr>
      <w:shd w:val="clear" w:color="auto" w:fill="FFFFFF"/>
      <w:spacing w:line="360" w:lineRule="exact"/>
      <w:ind w:hanging="440"/>
      <w:jc w:val="distribute"/>
    </w:pPr>
    <w:rPr>
      <w:rFonts w:ascii="MingLiU" w:hAnsi="Courier New" w:eastAsia="MingLiU" w:cs="MingLiU"/>
      <w:spacing w:val="20"/>
      <w:szCs w:val="21"/>
    </w:rPr>
  </w:style>
  <w:style w:type="paragraph" w:customStyle="1" w:styleId="265">
    <w:name w:val="Char Char Char Char Char Char Char"/>
    <w:basedOn w:val="1"/>
    <w:autoRedefine/>
    <w:qFormat/>
    <w:uiPriority w:val="0"/>
    <w:pPr>
      <w:spacing w:line="360" w:lineRule="auto"/>
      <w:ind w:firstLine="200" w:firstLineChars="200"/>
    </w:pPr>
  </w:style>
  <w:style w:type="paragraph" w:customStyle="1" w:styleId="266">
    <w:name w:val="A标题2"/>
    <w:basedOn w:val="1"/>
    <w:autoRedefine/>
    <w:qFormat/>
    <w:uiPriority w:val="0"/>
    <w:pPr>
      <w:tabs>
        <w:tab w:val="left" w:pos="1380"/>
        <w:tab w:val="left" w:pos="3996"/>
      </w:tabs>
      <w:spacing w:beforeLines="50" w:line="500" w:lineRule="exact"/>
      <w:ind w:left="1380" w:hanging="420"/>
      <w:textAlignment w:val="center"/>
      <w:outlineLvl w:val="1"/>
    </w:pPr>
    <w:rPr>
      <w:b/>
      <w:sz w:val="28"/>
      <w:szCs w:val="28"/>
    </w:rPr>
  </w:style>
  <w:style w:type="paragraph" w:customStyle="1" w:styleId="267">
    <w:name w:val="reader-word-layer reader-word-s1-11"/>
    <w:basedOn w:val="1"/>
    <w:autoRedefine/>
    <w:qFormat/>
    <w:uiPriority w:val="0"/>
    <w:pPr>
      <w:spacing w:before="100" w:beforeAutospacing="1" w:after="100" w:afterAutospacing="1"/>
    </w:pPr>
  </w:style>
  <w:style w:type="paragraph" w:customStyle="1" w:styleId="268">
    <w:name w:val="表格内容"/>
    <w:basedOn w:val="1"/>
    <w:autoRedefine/>
    <w:qFormat/>
    <w:uiPriority w:val="0"/>
    <w:pPr>
      <w:overflowPunct w:val="0"/>
      <w:adjustRightInd w:val="0"/>
      <w:snapToGrid w:val="0"/>
      <w:spacing w:before="40" w:after="60" w:line="200" w:lineRule="atLeast"/>
      <w:textAlignment w:val="baseline"/>
    </w:pPr>
    <w:rPr>
      <w:rFonts w:ascii="Arial" w:hAnsi="Arial" w:eastAsia="仿宋_GB2312"/>
      <w:szCs w:val="20"/>
    </w:rPr>
  </w:style>
  <w:style w:type="paragraph" w:customStyle="1" w:styleId="269">
    <w:name w:val="reader-word-layer reader-word-s2-6"/>
    <w:basedOn w:val="1"/>
    <w:autoRedefine/>
    <w:qFormat/>
    <w:uiPriority w:val="0"/>
    <w:pPr>
      <w:spacing w:before="100" w:beforeAutospacing="1" w:after="100" w:afterAutospacing="1"/>
    </w:pPr>
  </w:style>
  <w:style w:type="paragraph" w:customStyle="1" w:styleId="270">
    <w:name w:val="reader-word-layer reader-word-s2-2 reader-word-s2-11"/>
    <w:basedOn w:val="1"/>
    <w:autoRedefine/>
    <w:qFormat/>
    <w:uiPriority w:val="0"/>
    <w:pPr>
      <w:spacing w:before="100" w:beforeAutospacing="1" w:after="100" w:afterAutospacing="1"/>
    </w:pPr>
  </w:style>
  <w:style w:type="paragraph" w:customStyle="1" w:styleId="271">
    <w:name w:val="15"/>
    <w:basedOn w:val="1"/>
    <w:autoRedefine/>
    <w:qFormat/>
    <w:uiPriority w:val="0"/>
    <w:pPr>
      <w:snapToGrid w:val="0"/>
      <w:spacing w:before="100" w:beforeAutospacing="1" w:after="100" w:afterAutospacing="1" w:line="300" w:lineRule="auto"/>
    </w:pPr>
    <w:rPr>
      <w:szCs w:val="20"/>
    </w:rPr>
  </w:style>
  <w:style w:type="paragraph" w:customStyle="1" w:styleId="272">
    <w:name w:val="我的正文"/>
    <w:basedOn w:val="1"/>
    <w:next w:val="1"/>
    <w:autoRedefine/>
    <w:qFormat/>
    <w:uiPriority w:val="0"/>
    <w:pPr>
      <w:ind w:firstLine="200" w:firstLineChars="200"/>
    </w:pPr>
    <w:rPr>
      <w:rFonts w:eastAsia="仿宋_GB2312"/>
      <w:color w:val="000000"/>
      <w:spacing w:val="4"/>
      <w:sz w:val="28"/>
      <w:szCs w:val="28"/>
    </w:rPr>
  </w:style>
  <w:style w:type="paragraph" w:customStyle="1" w:styleId="273">
    <w:name w:val="Char Char"/>
    <w:basedOn w:val="1"/>
    <w:autoRedefine/>
    <w:semiHidden/>
    <w:qFormat/>
    <w:uiPriority w:val="0"/>
    <w:pPr>
      <w:tabs>
        <w:tab w:val="left" w:pos="426"/>
      </w:tabs>
      <w:ind w:left="426" w:hanging="420"/>
    </w:pPr>
  </w:style>
  <w:style w:type="character" w:customStyle="1" w:styleId="274">
    <w:name w:val="批注文字 Char1"/>
    <w:link w:val="21"/>
    <w:autoRedefine/>
    <w:qFormat/>
    <w:uiPriority w:val="0"/>
    <w:rPr>
      <w:kern w:val="2"/>
      <w:sz w:val="21"/>
      <w:szCs w:val="24"/>
    </w:rPr>
  </w:style>
  <w:style w:type="paragraph" w:customStyle="1" w:styleId="275">
    <w:name w:val="图名"/>
    <w:basedOn w:val="1"/>
    <w:autoRedefine/>
    <w:qFormat/>
    <w:uiPriority w:val="0"/>
    <w:pPr>
      <w:jc w:val="center"/>
    </w:pPr>
    <w:rPr>
      <w:rFonts w:cs="CG Times"/>
    </w:rPr>
  </w:style>
  <w:style w:type="paragraph" w:customStyle="1" w:styleId="276">
    <w:name w:val="Char1"/>
    <w:basedOn w:val="1"/>
    <w:autoRedefine/>
    <w:qFormat/>
    <w:uiPriority w:val="0"/>
    <w:pPr>
      <w:spacing w:line="360" w:lineRule="auto"/>
      <w:ind w:firstLine="200" w:firstLineChars="200"/>
    </w:pPr>
  </w:style>
  <w:style w:type="character" w:customStyle="1" w:styleId="277">
    <w:name w:val="日期 Char"/>
    <w:link w:val="36"/>
    <w:autoRedefine/>
    <w:qFormat/>
    <w:uiPriority w:val="0"/>
    <w:rPr>
      <w:rFonts w:ascii="宋体" w:hAnsi="宋体" w:cs="宋体"/>
      <w:b/>
      <w:spacing w:val="-4"/>
      <w:sz w:val="24"/>
      <w:szCs w:val="24"/>
    </w:rPr>
  </w:style>
  <w:style w:type="paragraph" w:customStyle="1" w:styleId="278">
    <w:name w:val="默认段落字体 Para Char Char Char Char"/>
    <w:basedOn w:val="1"/>
    <w:autoRedefine/>
    <w:qFormat/>
    <w:uiPriority w:val="0"/>
    <w:pPr>
      <w:spacing w:line="360" w:lineRule="auto"/>
      <w:ind w:firstLine="200" w:firstLineChars="200"/>
    </w:pPr>
  </w:style>
  <w:style w:type="paragraph" w:customStyle="1" w:styleId="279">
    <w:name w:val="xl121"/>
    <w:basedOn w:val="1"/>
    <w:autoRedefine/>
    <w:qFormat/>
    <w:uiPriority w:val="0"/>
    <w:pPr>
      <w:pBdr>
        <w:left w:val="single" w:color="auto" w:sz="4" w:space="0"/>
        <w:right w:val="single" w:color="auto" w:sz="4" w:space="0"/>
      </w:pBdr>
      <w:spacing w:before="100" w:beforeAutospacing="1" w:after="100" w:afterAutospacing="1"/>
      <w:textAlignment w:val="bottom"/>
    </w:pPr>
    <w:rPr>
      <w:rFonts w:ascii="Arial Unicode MS" w:hAnsi="Arial Unicode MS"/>
      <w:sz w:val="20"/>
      <w:szCs w:val="20"/>
    </w:rPr>
  </w:style>
  <w:style w:type="paragraph" w:customStyle="1" w:styleId="280">
    <w:name w:val="reader-word-layer reader-word-s1-4"/>
    <w:basedOn w:val="1"/>
    <w:autoRedefine/>
    <w:qFormat/>
    <w:uiPriority w:val="0"/>
    <w:pPr>
      <w:spacing w:before="100" w:beforeAutospacing="1" w:after="100" w:afterAutospacing="1"/>
    </w:pPr>
  </w:style>
  <w:style w:type="paragraph" w:customStyle="1" w:styleId="281">
    <w:name w:val="reader-word-layer reader-word-s3-6"/>
    <w:basedOn w:val="1"/>
    <w:autoRedefine/>
    <w:qFormat/>
    <w:uiPriority w:val="0"/>
    <w:pPr>
      <w:spacing w:before="100" w:beforeAutospacing="1" w:after="100" w:afterAutospacing="1"/>
    </w:pPr>
  </w:style>
  <w:style w:type="paragraph" w:customStyle="1" w:styleId="282">
    <w:name w:val="reader-word-layer reader-word-s1-12"/>
    <w:basedOn w:val="1"/>
    <w:autoRedefine/>
    <w:qFormat/>
    <w:uiPriority w:val="0"/>
    <w:pPr>
      <w:spacing w:before="100" w:beforeAutospacing="1" w:after="100" w:afterAutospacing="1"/>
    </w:pPr>
  </w:style>
  <w:style w:type="paragraph" w:customStyle="1" w:styleId="283">
    <w:name w:val="目录 21"/>
    <w:basedOn w:val="1"/>
    <w:next w:val="1"/>
    <w:autoRedefine/>
    <w:qFormat/>
    <w:uiPriority w:val="39"/>
    <w:pPr>
      <w:tabs>
        <w:tab w:val="right" w:leader="dot" w:pos="9175"/>
      </w:tabs>
      <w:spacing w:line="360" w:lineRule="auto"/>
      <w:ind w:left="200" w:leftChars="200"/>
    </w:pPr>
    <w:rPr>
      <w:smallCaps/>
      <w:szCs w:val="20"/>
    </w:rPr>
  </w:style>
  <w:style w:type="paragraph" w:customStyle="1" w:styleId="284">
    <w:name w:val="xl31"/>
    <w:basedOn w:val="1"/>
    <w:autoRedefine/>
    <w:qFormat/>
    <w:uiPriority w:val="0"/>
    <w:pPr>
      <w:pBdr>
        <w:bottom w:val="single" w:color="auto" w:sz="4" w:space="0"/>
      </w:pBdr>
      <w:spacing w:before="100" w:beforeAutospacing="1" w:after="100" w:afterAutospacing="1"/>
      <w:textAlignment w:val="center"/>
    </w:pPr>
    <w:rPr>
      <w:rFonts w:ascii="Arial Unicode MS" w:hAnsi="Arial Unicode MS" w:eastAsia="Arial Unicode MS" w:cs="Arial Unicode MS"/>
      <w:sz w:val="20"/>
      <w:szCs w:val="20"/>
    </w:rPr>
  </w:style>
  <w:style w:type="paragraph" w:customStyle="1" w:styleId="285">
    <w:name w:val="reader-word-layer reader-word-s3-3"/>
    <w:basedOn w:val="1"/>
    <w:autoRedefine/>
    <w:qFormat/>
    <w:uiPriority w:val="0"/>
    <w:pPr>
      <w:spacing w:before="100" w:beforeAutospacing="1" w:after="100" w:afterAutospacing="1"/>
    </w:pPr>
  </w:style>
  <w:style w:type="paragraph" w:customStyle="1" w:styleId="286">
    <w:name w:val="font5"/>
    <w:basedOn w:val="1"/>
    <w:autoRedefine/>
    <w:qFormat/>
    <w:uiPriority w:val="0"/>
    <w:pPr>
      <w:spacing w:before="100" w:beforeAutospacing="1" w:after="100" w:afterAutospacing="1"/>
    </w:pPr>
    <w:rPr>
      <w:rFonts w:hint="eastAsia" w:cs="Arial Unicode MS"/>
      <w:sz w:val="18"/>
      <w:szCs w:val="18"/>
    </w:rPr>
  </w:style>
  <w:style w:type="paragraph" w:customStyle="1" w:styleId="287">
    <w:name w:val="xl34"/>
    <w:basedOn w:val="1"/>
    <w:autoRedefine/>
    <w:qFormat/>
    <w:uiPriority w:val="0"/>
    <w:pPr>
      <w:pBdr>
        <w:top w:val="single" w:color="auto" w:sz="4" w:space="0"/>
        <w:bottom w:val="single" w:color="auto" w:sz="4" w:space="0"/>
      </w:pBdr>
      <w:spacing w:before="100" w:beforeAutospacing="1" w:after="100" w:afterAutospacing="1"/>
      <w:jc w:val="center"/>
    </w:pPr>
    <w:rPr>
      <w:rFonts w:ascii="Arial Unicode MS" w:hAnsi="Arial Unicode MS" w:eastAsia="Arial Unicode MS" w:cs="Arial Unicode MS"/>
      <w:sz w:val="18"/>
      <w:szCs w:val="18"/>
    </w:rPr>
  </w:style>
  <w:style w:type="paragraph" w:customStyle="1" w:styleId="288">
    <w:name w:val="目录 41"/>
    <w:basedOn w:val="1"/>
    <w:next w:val="1"/>
    <w:autoRedefine/>
    <w:qFormat/>
    <w:uiPriority w:val="39"/>
    <w:pPr>
      <w:ind w:left="1260" w:leftChars="600"/>
    </w:pPr>
  </w:style>
  <w:style w:type="paragraph" w:customStyle="1" w:styleId="289">
    <w:name w:val="样式 标题 3 +"/>
    <w:basedOn w:val="7"/>
    <w:autoRedefine/>
    <w:qFormat/>
    <w:uiPriority w:val="0"/>
    <w:pPr>
      <w:spacing w:line="500" w:lineRule="exact"/>
    </w:pPr>
    <w:rPr>
      <w:rFonts w:ascii="Times New Roman" w:hAnsi="Times New Roman" w:eastAsia="宋体"/>
      <w:bCs w:val="0"/>
      <w:snapToGrid/>
      <w:color w:val="FF0000"/>
      <w:kern w:val="2"/>
      <w:szCs w:val="20"/>
    </w:rPr>
  </w:style>
  <w:style w:type="paragraph" w:customStyle="1" w:styleId="290">
    <w:name w:val="标题 2-1"/>
    <w:basedOn w:val="6"/>
    <w:autoRedefine/>
    <w:qFormat/>
    <w:uiPriority w:val="0"/>
    <w:pPr>
      <w:adjustRightInd/>
      <w:snapToGrid/>
      <w:spacing w:line="600" w:lineRule="exact"/>
    </w:pPr>
    <w:rPr>
      <w:rFonts w:ascii="Arial" w:hAnsi="Arial" w:eastAsia="宋体"/>
      <w:snapToGrid/>
      <w:kern w:val="2"/>
      <w:sz w:val="30"/>
      <w:szCs w:val="20"/>
    </w:rPr>
  </w:style>
  <w:style w:type="paragraph" w:customStyle="1" w:styleId="291">
    <w:name w:val="p0"/>
    <w:basedOn w:val="1"/>
    <w:autoRedefine/>
    <w:qFormat/>
    <w:uiPriority w:val="0"/>
    <w:rPr>
      <w:szCs w:val="21"/>
    </w:rPr>
  </w:style>
  <w:style w:type="paragraph" w:customStyle="1" w:styleId="292">
    <w:name w:val="新正文"/>
    <w:basedOn w:val="1"/>
    <w:autoRedefine/>
    <w:qFormat/>
    <w:uiPriority w:val="0"/>
    <w:pPr>
      <w:spacing w:line="480" w:lineRule="exact"/>
      <w:ind w:firstLine="482"/>
    </w:pPr>
    <w:rPr>
      <w:rFonts w:hint="eastAsia" w:ascii="仿宋_GB2312" w:eastAsia="仿宋_GB2312"/>
      <w:sz w:val="28"/>
      <w:szCs w:val="20"/>
    </w:rPr>
  </w:style>
  <w:style w:type="paragraph" w:customStyle="1" w:styleId="293">
    <w:name w:val="设计文本"/>
    <w:basedOn w:val="1"/>
    <w:autoRedefine/>
    <w:qFormat/>
    <w:uiPriority w:val="0"/>
    <w:pPr>
      <w:tabs>
        <w:tab w:val="left" w:pos="180"/>
      </w:tabs>
      <w:spacing w:line="360" w:lineRule="auto"/>
      <w:ind w:firstLine="549" w:firstLineChars="196"/>
    </w:pPr>
    <w:rPr>
      <w:bCs/>
      <w:spacing w:val="20"/>
    </w:rPr>
  </w:style>
  <w:style w:type="paragraph" w:customStyle="1" w:styleId="294">
    <w:name w:val="目录 71"/>
    <w:basedOn w:val="1"/>
    <w:next w:val="1"/>
    <w:autoRedefine/>
    <w:qFormat/>
    <w:uiPriority w:val="39"/>
    <w:pPr>
      <w:ind w:left="2520" w:leftChars="1200"/>
    </w:pPr>
  </w:style>
  <w:style w:type="paragraph" w:customStyle="1" w:styleId="295">
    <w:name w:val="reader-word-layer reader-word-s2-12"/>
    <w:basedOn w:val="1"/>
    <w:autoRedefine/>
    <w:qFormat/>
    <w:uiPriority w:val="0"/>
    <w:pPr>
      <w:spacing w:before="100" w:beforeAutospacing="1" w:after="100" w:afterAutospacing="1"/>
    </w:pPr>
  </w:style>
  <w:style w:type="paragraph" w:customStyle="1" w:styleId="296">
    <w:name w:val="目录 91"/>
    <w:basedOn w:val="1"/>
    <w:next w:val="1"/>
    <w:autoRedefine/>
    <w:unhideWhenUsed/>
    <w:qFormat/>
    <w:uiPriority w:val="39"/>
    <w:pPr>
      <w:ind w:left="3360" w:leftChars="1600"/>
    </w:pPr>
    <w:rPr>
      <w:rFonts w:ascii="Calibri" w:hAnsi="Calibri"/>
      <w:szCs w:val="22"/>
    </w:rPr>
  </w:style>
  <w:style w:type="paragraph" w:customStyle="1" w:styleId="297">
    <w:name w:val="批注框文本 Char Char"/>
    <w:basedOn w:val="1"/>
    <w:autoRedefine/>
    <w:qFormat/>
    <w:uiPriority w:val="0"/>
    <w:rPr>
      <w:sz w:val="18"/>
      <w:szCs w:val="20"/>
    </w:rPr>
  </w:style>
  <w:style w:type="paragraph" w:customStyle="1" w:styleId="298">
    <w:name w:val="reader-word-layer reader-word-s3-4"/>
    <w:basedOn w:val="1"/>
    <w:autoRedefine/>
    <w:qFormat/>
    <w:uiPriority w:val="0"/>
    <w:pPr>
      <w:spacing w:before="100" w:beforeAutospacing="1" w:after="100" w:afterAutospacing="1"/>
    </w:pPr>
  </w:style>
  <w:style w:type="paragraph" w:customStyle="1" w:styleId="299">
    <w:name w:val="Char2"/>
    <w:basedOn w:val="1"/>
    <w:autoRedefine/>
    <w:qFormat/>
    <w:uiPriority w:val="0"/>
    <w:pPr>
      <w:tabs>
        <w:tab w:val="left" w:pos="4665"/>
        <w:tab w:val="left" w:pos="8970"/>
      </w:tabs>
      <w:ind w:firstLine="400"/>
    </w:pPr>
    <w:rPr>
      <w:rFonts w:ascii="Tahoma" w:hAnsi="Tahoma"/>
      <w:szCs w:val="20"/>
    </w:rPr>
  </w:style>
  <w:style w:type="paragraph" w:customStyle="1" w:styleId="300">
    <w:name w:val="表格正文"/>
    <w:basedOn w:val="1"/>
    <w:autoRedefine/>
    <w:qFormat/>
    <w:uiPriority w:val="0"/>
    <w:pPr>
      <w:spacing w:line="360" w:lineRule="exact"/>
      <w:jc w:val="center"/>
    </w:pPr>
  </w:style>
  <w:style w:type="paragraph" w:customStyle="1" w:styleId="301">
    <w:name w:val="节以下标题样式"/>
    <w:basedOn w:val="302"/>
    <w:autoRedefine/>
    <w:qFormat/>
    <w:uiPriority w:val="0"/>
    <w:pPr>
      <w:tabs>
        <w:tab w:val="left" w:pos="567"/>
      </w:tabs>
      <w:ind w:firstLine="0"/>
    </w:pPr>
  </w:style>
  <w:style w:type="paragraph" w:customStyle="1" w:styleId="302">
    <w:name w:val="新正文样式"/>
    <w:basedOn w:val="1"/>
    <w:autoRedefine/>
    <w:qFormat/>
    <w:uiPriority w:val="0"/>
    <w:pPr>
      <w:tabs>
        <w:tab w:val="left" w:pos="567"/>
      </w:tabs>
      <w:spacing w:line="360" w:lineRule="auto"/>
      <w:ind w:firstLine="567"/>
    </w:pPr>
    <w:rPr>
      <w:spacing w:val="20"/>
      <w:szCs w:val="20"/>
    </w:rPr>
  </w:style>
  <w:style w:type="paragraph" w:customStyle="1" w:styleId="303">
    <w:name w:val="font0"/>
    <w:basedOn w:val="1"/>
    <w:autoRedefine/>
    <w:qFormat/>
    <w:uiPriority w:val="0"/>
    <w:pPr>
      <w:spacing w:before="100" w:beforeAutospacing="1" w:after="100" w:afterAutospacing="1"/>
    </w:pPr>
    <w:rPr>
      <w:rFonts w:hint="eastAsia"/>
    </w:rPr>
  </w:style>
  <w:style w:type="paragraph" w:customStyle="1" w:styleId="304">
    <w:name w:val="reader-word-layer reader-word-s3-7"/>
    <w:basedOn w:val="1"/>
    <w:autoRedefine/>
    <w:qFormat/>
    <w:uiPriority w:val="0"/>
    <w:pPr>
      <w:spacing w:before="100" w:beforeAutospacing="1" w:after="100" w:afterAutospacing="1"/>
    </w:pPr>
  </w:style>
  <w:style w:type="paragraph" w:customStyle="1" w:styleId="305">
    <w:name w:val="reader-word-layer reader-word-s2-8"/>
    <w:basedOn w:val="1"/>
    <w:autoRedefine/>
    <w:qFormat/>
    <w:uiPriority w:val="0"/>
    <w:pPr>
      <w:spacing w:before="100" w:beforeAutospacing="1" w:after="100" w:afterAutospacing="1"/>
    </w:pPr>
  </w:style>
  <w:style w:type="character" w:customStyle="1" w:styleId="306">
    <w:name w:val="批注主题 Char"/>
    <w:link w:val="60"/>
    <w:autoRedefine/>
    <w:qFormat/>
    <w:uiPriority w:val="0"/>
    <w:rPr>
      <w:rFonts w:ascii="宋体" w:hAnsi="宋体" w:cs="宋体"/>
      <w:b/>
      <w:bCs/>
      <w:sz w:val="24"/>
      <w:szCs w:val="24"/>
    </w:rPr>
  </w:style>
  <w:style w:type="paragraph" w:customStyle="1" w:styleId="307">
    <w:name w:val="xl2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sz w:val="18"/>
      <w:szCs w:val="18"/>
    </w:rPr>
  </w:style>
  <w:style w:type="paragraph" w:customStyle="1" w:styleId="308">
    <w:name w:val="段－宋小四"/>
    <w:basedOn w:val="1"/>
    <w:autoRedefine/>
    <w:qFormat/>
    <w:uiPriority w:val="0"/>
    <w:pPr>
      <w:autoSpaceDE w:val="0"/>
      <w:autoSpaceDN w:val="0"/>
      <w:spacing w:line="360" w:lineRule="auto"/>
      <w:ind w:firstLine="480" w:firstLineChars="200"/>
      <w:textAlignment w:val="center"/>
    </w:pPr>
  </w:style>
  <w:style w:type="paragraph" w:customStyle="1" w:styleId="309">
    <w:name w:val="reader-word-layer reader-word-s2-10"/>
    <w:basedOn w:val="1"/>
    <w:autoRedefine/>
    <w:qFormat/>
    <w:uiPriority w:val="0"/>
    <w:pPr>
      <w:spacing w:before="100" w:beforeAutospacing="1" w:after="100" w:afterAutospacing="1"/>
    </w:pPr>
  </w:style>
  <w:style w:type="paragraph" w:customStyle="1" w:styleId="310">
    <w:name w:val="xl120"/>
    <w:basedOn w:val="1"/>
    <w:autoRedefine/>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bottom"/>
    </w:pPr>
    <w:rPr>
      <w:sz w:val="20"/>
      <w:szCs w:val="20"/>
    </w:rPr>
  </w:style>
  <w:style w:type="paragraph" w:customStyle="1" w:styleId="311">
    <w:name w:val="文本正文"/>
    <w:basedOn w:val="1"/>
    <w:autoRedefine/>
    <w:qFormat/>
    <w:uiPriority w:val="0"/>
    <w:pPr>
      <w:spacing w:line="360" w:lineRule="auto"/>
      <w:ind w:firstLine="560" w:firstLineChars="200"/>
    </w:pPr>
    <w:rPr>
      <w:sz w:val="28"/>
      <w:szCs w:val="20"/>
    </w:rPr>
  </w:style>
  <w:style w:type="paragraph" w:customStyle="1" w:styleId="312">
    <w:name w:val="首页脚注"/>
    <w:basedOn w:val="39"/>
    <w:autoRedefine/>
    <w:qFormat/>
    <w:uiPriority w:val="0"/>
    <w:pPr>
      <w:keepLines/>
      <w:tabs>
        <w:tab w:val="center" w:pos="4320"/>
        <w:tab w:val="clear" w:pos="4153"/>
        <w:tab w:val="clear" w:pos="8306"/>
      </w:tabs>
      <w:overflowPunct w:val="0"/>
      <w:autoSpaceDE w:val="0"/>
      <w:autoSpaceDN w:val="0"/>
      <w:adjustRightInd w:val="0"/>
      <w:snapToGrid/>
      <w:spacing w:line="360" w:lineRule="auto"/>
      <w:jc w:val="center"/>
      <w:textAlignment w:val="baseline"/>
    </w:pPr>
    <w:rPr>
      <w:sz w:val="28"/>
      <w:szCs w:val="20"/>
    </w:rPr>
  </w:style>
  <w:style w:type="paragraph" w:customStyle="1" w:styleId="313">
    <w:name w:val="Char11"/>
    <w:basedOn w:val="1"/>
    <w:autoRedefine/>
    <w:qFormat/>
    <w:uiPriority w:val="0"/>
    <w:pPr>
      <w:spacing w:line="360" w:lineRule="auto"/>
      <w:ind w:firstLine="200" w:firstLineChars="200"/>
    </w:pPr>
  </w:style>
  <w:style w:type="paragraph" w:customStyle="1" w:styleId="314">
    <w:name w:val="reader-word-layer reader-word-s3-1"/>
    <w:basedOn w:val="1"/>
    <w:autoRedefine/>
    <w:qFormat/>
    <w:uiPriority w:val="0"/>
    <w:pPr>
      <w:spacing w:before="100" w:beforeAutospacing="1" w:after="100" w:afterAutospacing="1"/>
    </w:pPr>
  </w:style>
  <w:style w:type="paragraph" w:customStyle="1" w:styleId="315">
    <w:name w:val="reader-word-layer reader-word-s2-7"/>
    <w:basedOn w:val="1"/>
    <w:autoRedefine/>
    <w:qFormat/>
    <w:uiPriority w:val="0"/>
    <w:pPr>
      <w:spacing w:before="100" w:beforeAutospacing="1" w:after="100" w:afterAutospacing="1"/>
    </w:pPr>
  </w:style>
  <w:style w:type="paragraph" w:customStyle="1" w:styleId="316">
    <w:name w:val="目录 81"/>
    <w:basedOn w:val="1"/>
    <w:next w:val="1"/>
    <w:autoRedefine/>
    <w:unhideWhenUsed/>
    <w:qFormat/>
    <w:uiPriority w:val="39"/>
    <w:pPr>
      <w:ind w:left="2940" w:leftChars="1400"/>
    </w:pPr>
    <w:rPr>
      <w:rFonts w:ascii="Calibri" w:hAnsi="Calibri"/>
      <w:szCs w:val="22"/>
    </w:rPr>
  </w:style>
  <w:style w:type="paragraph" w:customStyle="1" w:styleId="317">
    <w:name w:val="reader-word-layer reader-word-s1-5"/>
    <w:basedOn w:val="1"/>
    <w:autoRedefine/>
    <w:qFormat/>
    <w:uiPriority w:val="0"/>
    <w:pPr>
      <w:spacing w:before="100" w:beforeAutospacing="1" w:after="100" w:afterAutospacing="1"/>
    </w:pPr>
  </w:style>
  <w:style w:type="paragraph" w:customStyle="1" w:styleId="318">
    <w:name w:val="目录 61"/>
    <w:basedOn w:val="1"/>
    <w:next w:val="1"/>
    <w:autoRedefine/>
    <w:unhideWhenUsed/>
    <w:qFormat/>
    <w:uiPriority w:val="39"/>
    <w:pPr>
      <w:ind w:left="2100" w:leftChars="1000"/>
    </w:pPr>
    <w:rPr>
      <w:rFonts w:ascii="Calibri" w:hAnsi="Calibri"/>
      <w:szCs w:val="22"/>
    </w:rPr>
  </w:style>
  <w:style w:type="paragraph" w:customStyle="1" w:styleId="319">
    <w:name w:val="样式10"/>
    <w:basedOn w:val="1"/>
    <w:autoRedefine/>
    <w:qFormat/>
    <w:uiPriority w:val="0"/>
    <w:pPr>
      <w:spacing w:line="360" w:lineRule="auto"/>
    </w:pPr>
    <w:rPr>
      <w:color w:val="000000"/>
      <w:sz w:val="28"/>
      <w:szCs w:val="28"/>
    </w:rPr>
  </w:style>
  <w:style w:type="paragraph" w:customStyle="1" w:styleId="320">
    <w:name w:val="reader-word-layer reader-word-s1-9"/>
    <w:basedOn w:val="1"/>
    <w:autoRedefine/>
    <w:qFormat/>
    <w:uiPriority w:val="0"/>
    <w:pPr>
      <w:spacing w:before="100" w:beforeAutospacing="1" w:after="100" w:afterAutospacing="1"/>
    </w:pPr>
  </w:style>
  <w:style w:type="paragraph" w:customStyle="1" w:styleId="321">
    <w:name w:val="目录 11"/>
    <w:basedOn w:val="1"/>
    <w:next w:val="1"/>
    <w:autoRedefine/>
    <w:qFormat/>
    <w:uiPriority w:val="39"/>
    <w:pPr>
      <w:tabs>
        <w:tab w:val="right" w:leader="dot" w:pos="9175"/>
      </w:tabs>
      <w:spacing w:before="120" w:after="120" w:line="360" w:lineRule="auto"/>
    </w:pPr>
    <w:rPr>
      <w:b/>
      <w:bCs/>
      <w:caps/>
      <w:szCs w:val="20"/>
    </w:rPr>
  </w:style>
  <w:style w:type="paragraph" w:customStyle="1" w:styleId="322">
    <w:name w:val="In Table"/>
    <w:basedOn w:val="1"/>
    <w:autoRedefine/>
    <w:qFormat/>
    <w:uiPriority w:val="0"/>
    <w:pPr>
      <w:tabs>
        <w:tab w:val="left" w:pos="2200"/>
        <w:tab w:val="left" w:pos="3960"/>
        <w:tab w:val="left" w:pos="5280"/>
      </w:tabs>
      <w:spacing w:beforeLines="40" w:afterLines="40" w:line="0" w:lineRule="atLeast"/>
      <w:jc w:val="center"/>
    </w:pPr>
    <w:rPr>
      <w:rFonts w:ascii="Tahoma" w:hAnsi="Tahoma" w:eastAsia="华文中宋"/>
      <w:szCs w:val="20"/>
    </w:rPr>
  </w:style>
  <w:style w:type="paragraph" w:customStyle="1" w:styleId="323">
    <w:name w:val="reader-word-layer reader-word-s2-1"/>
    <w:basedOn w:val="1"/>
    <w:autoRedefine/>
    <w:qFormat/>
    <w:uiPriority w:val="0"/>
    <w:pPr>
      <w:spacing w:before="100" w:beforeAutospacing="1" w:after="100" w:afterAutospacing="1"/>
    </w:pPr>
  </w:style>
  <w:style w:type="paragraph" w:customStyle="1" w:styleId="324">
    <w:name w:val="xl28"/>
    <w:basedOn w:val="1"/>
    <w:autoRedefine/>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sz w:val="18"/>
      <w:szCs w:val="18"/>
    </w:rPr>
  </w:style>
  <w:style w:type="paragraph" w:customStyle="1" w:styleId="325">
    <w:name w:val="默认段落字体 Para Char Char Char1 Char Char Char Char"/>
    <w:basedOn w:val="1"/>
    <w:autoRedefine/>
    <w:qFormat/>
    <w:uiPriority w:val="0"/>
  </w:style>
  <w:style w:type="paragraph" w:customStyle="1" w:styleId="326">
    <w:name w:val="Char Char Char Char Char Char Char1"/>
    <w:basedOn w:val="1"/>
    <w:autoRedefine/>
    <w:qFormat/>
    <w:uiPriority w:val="0"/>
    <w:pPr>
      <w:spacing w:line="360" w:lineRule="auto"/>
      <w:ind w:firstLine="200" w:firstLineChars="200"/>
    </w:pPr>
  </w:style>
  <w:style w:type="paragraph" w:customStyle="1" w:styleId="327">
    <w:name w:val="简单回函地址"/>
    <w:basedOn w:val="1"/>
    <w:autoRedefine/>
    <w:qFormat/>
    <w:uiPriority w:val="0"/>
    <w:pPr>
      <w:autoSpaceDE w:val="0"/>
      <w:autoSpaceDN w:val="0"/>
      <w:adjustRightInd w:val="0"/>
      <w:textAlignment w:val="baseline"/>
    </w:pPr>
    <w:rPr>
      <w:rFonts w:eastAsia="楷体_GB2312"/>
      <w:sz w:val="28"/>
      <w:szCs w:val="20"/>
    </w:rPr>
  </w:style>
  <w:style w:type="paragraph" w:customStyle="1" w:styleId="328">
    <w:name w:val="目录 31"/>
    <w:basedOn w:val="1"/>
    <w:next w:val="1"/>
    <w:autoRedefine/>
    <w:qFormat/>
    <w:uiPriority w:val="39"/>
    <w:pPr>
      <w:spacing w:line="360" w:lineRule="auto"/>
      <w:ind w:left="400" w:leftChars="400"/>
    </w:pPr>
    <w:rPr>
      <w:iCs/>
      <w:szCs w:val="20"/>
    </w:rPr>
  </w:style>
  <w:style w:type="paragraph" w:customStyle="1" w:styleId="329">
    <w:name w:val="Right Par 1"/>
    <w:autoRedefine/>
    <w:qFormat/>
    <w:uiPriority w:val="0"/>
    <w:pPr>
      <w:tabs>
        <w:tab w:val="left" w:pos="-720"/>
        <w:tab w:val="left" w:pos="0"/>
        <w:tab w:val="decimal" w:pos="720"/>
      </w:tabs>
      <w:suppressAutoHyphens/>
      <w:ind w:left="720" w:hanging="432"/>
    </w:pPr>
    <w:rPr>
      <w:rFonts w:ascii="Courier New" w:hAnsi="Courier New" w:eastAsia="宋体" w:cs="Times New Roman"/>
      <w:sz w:val="24"/>
      <w:lang w:val="en-US" w:eastAsia="en-US" w:bidi="ar-SA"/>
    </w:rPr>
  </w:style>
  <w:style w:type="paragraph" w:customStyle="1" w:styleId="330">
    <w:name w:val="目录 51"/>
    <w:basedOn w:val="1"/>
    <w:next w:val="1"/>
    <w:autoRedefine/>
    <w:unhideWhenUsed/>
    <w:qFormat/>
    <w:uiPriority w:val="39"/>
    <w:pPr>
      <w:ind w:left="1680" w:leftChars="800"/>
    </w:pPr>
    <w:rPr>
      <w:rFonts w:ascii="Calibri" w:hAnsi="Calibri"/>
      <w:szCs w:val="22"/>
    </w:rPr>
  </w:style>
  <w:style w:type="paragraph" w:customStyle="1" w:styleId="331">
    <w:name w:val="Right Par 2"/>
    <w:autoRedefine/>
    <w:qFormat/>
    <w:uiPriority w:val="0"/>
    <w:pPr>
      <w:tabs>
        <w:tab w:val="left" w:pos="-720"/>
        <w:tab w:val="left" w:pos="0"/>
        <w:tab w:val="left" w:pos="720"/>
        <w:tab w:val="decimal" w:pos="1440"/>
      </w:tabs>
      <w:suppressAutoHyphens/>
      <w:ind w:left="1440" w:hanging="432"/>
    </w:pPr>
    <w:rPr>
      <w:rFonts w:ascii="Courier New" w:hAnsi="Courier New" w:eastAsia="宋体" w:cs="Times New Roman"/>
      <w:sz w:val="24"/>
      <w:lang w:val="en-US" w:eastAsia="en-US" w:bidi="ar-SA"/>
    </w:rPr>
  </w:style>
  <w:style w:type="paragraph" w:customStyle="1" w:styleId="332">
    <w:name w:val="CM24"/>
    <w:basedOn w:val="333"/>
    <w:next w:val="333"/>
    <w:autoRedefine/>
    <w:qFormat/>
    <w:uiPriority w:val="0"/>
    <w:pPr>
      <w:spacing w:line="551" w:lineRule="atLeast"/>
    </w:pPr>
    <w:rPr>
      <w:rFonts w:ascii="宋体" w:eastAsia="宋体" w:cs="Times New Roman"/>
      <w:color w:val="auto"/>
    </w:rPr>
  </w:style>
  <w:style w:type="paragraph" w:customStyle="1" w:styleId="333">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334">
    <w:name w:val="CM15"/>
    <w:basedOn w:val="333"/>
    <w:next w:val="333"/>
    <w:autoRedefine/>
    <w:qFormat/>
    <w:uiPriority w:val="0"/>
    <w:pPr>
      <w:spacing w:line="543" w:lineRule="atLeast"/>
    </w:pPr>
    <w:rPr>
      <w:rFonts w:ascii="宋体" w:eastAsia="宋体" w:cs="Times New Roman"/>
      <w:color w:val="auto"/>
    </w:rPr>
  </w:style>
  <w:style w:type="paragraph" w:customStyle="1" w:styleId="335">
    <w:name w:val="CM59"/>
    <w:basedOn w:val="333"/>
    <w:next w:val="333"/>
    <w:autoRedefine/>
    <w:qFormat/>
    <w:uiPriority w:val="0"/>
    <w:pPr>
      <w:spacing w:after="273"/>
    </w:pPr>
    <w:rPr>
      <w:rFonts w:ascii="宋体" w:eastAsia="宋体" w:cs="Times New Roman"/>
      <w:color w:val="auto"/>
    </w:rPr>
  </w:style>
  <w:style w:type="paragraph" w:customStyle="1" w:styleId="336">
    <w:name w:val="reader-word-layer reader-word-s1-8"/>
    <w:basedOn w:val="1"/>
    <w:autoRedefine/>
    <w:qFormat/>
    <w:uiPriority w:val="0"/>
    <w:pPr>
      <w:spacing w:before="100" w:beforeAutospacing="1" w:after="100" w:afterAutospacing="1"/>
    </w:pPr>
  </w:style>
  <w:style w:type="paragraph" w:customStyle="1" w:styleId="337">
    <w:name w:val="xl32"/>
    <w:basedOn w:val="1"/>
    <w:autoRedefine/>
    <w:qFormat/>
    <w:uiPriority w:val="0"/>
    <w:pPr>
      <w:pBdr>
        <w:top w:val="single" w:color="auto" w:sz="4" w:space="0"/>
        <w:left w:val="single" w:color="auto" w:sz="4" w:space="0"/>
        <w:bottom w:val="single" w:color="auto" w:sz="4" w:space="0"/>
      </w:pBdr>
      <w:spacing w:before="100" w:beforeAutospacing="1" w:after="100" w:afterAutospacing="1"/>
      <w:jc w:val="center"/>
    </w:pPr>
    <w:rPr>
      <w:rFonts w:ascii="Arial Unicode MS" w:hAnsi="Arial Unicode MS" w:eastAsia="Arial Unicode MS" w:cs="Arial Unicode MS"/>
      <w:sz w:val="18"/>
      <w:szCs w:val="18"/>
    </w:rPr>
  </w:style>
  <w:style w:type="paragraph" w:customStyle="1" w:styleId="338">
    <w:name w:val="xl30"/>
    <w:basedOn w:val="1"/>
    <w:autoRedefine/>
    <w:qFormat/>
    <w:uiPriority w:val="0"/>
    <w:pPr>
      <w:spacing w:before="100" w:beforeAutospacing="1" w:after="100" w:afterAutospacing="1"/>
      <w:jc w:val="center"/>
      <w:textAlignment w:val="center"/>
    </w:pPr>
    <w:rPr>
      <w:rFonts w:ascii="Arial Unicode MS" w:hAnsi="Arial Unicode MS" w:eastAsia="Arial Unicode MS" w:cs="Arial Unicode MS"/>
      <w:b/>
      <w:bCs/>
    </w:rPr>
  </w:style>
  <w:style w:type="paragraph" w:customStyle="1" w:styleId="339">
    <w:name w:val="wtext"/>
    <w:basedOn w:val="1"/>
    <w:autoRedefine/>
    <w:qFormat/>
    <w:uiPriority w:val="0"/>
    <w:pPr>
      <w:spacing w:before="100" w:beforeAutospacing="1" w:after="100" w:afterAutospacing="1"/>
      <w:ind w:firstLine="480"/>
    </w:pPr>
    <w:rPr>
      <w:color w:val="000000"/>
      <w:sz w:val="22"/>
      <w:szCs w:val="20"/>
    </w:rPr>
  </w:style>
  <w:style w:type="paragraph" w:customStyle="1" w:styleId="340">
    <w:name w:val="zw"/>
    <w:basedOn w:val="1"/>
    <w:autoRedefine/>
    <w:qFormat/>
    <w:uiPriority w:val="0"/>
    <w:pPr>
      <w:spacing w:before="100" w:beforeAutospacing="1" w:after="100" w:afterAutospacing="1" w:line="440" w:lineRule="atLeast"/>
    </w:pPr>
    <w:rPr>
      <w:sz w:val="22"/>
      <w:szCs w:val="22"/>
    </w:rPr>
  </w:style>
  <w:style w:type="paragraph" w:customStyle="1" w:styleId="341">
    <w:name w:val="_Style 10"/>
    <w:basedOn w:val="1"/>
    <w:autoRedefine/>
    <w:qFormat/>
    <w:uiPriority w:val="0"/>
    <w:rPr>
      <w:szCs w:val="20"/>
    </w:rPr>
  </w:style>
  <w:style w:type="paragraph" w:customStyle="1" w:styleId="342">
    <w:name w:val="正文4-"/>
    <w:basedOn w:val="1"/>
    <w:autoRedefine/>
    <w:qFormat/>
    <w:uiPriority w:val="0"/>
    <w:pPr>
      <w:spacing w:line="300" w:lineRule="auto"/>
      <w:ind w:firstLine="461" w:firstLineChars="192"/>
    </w:pPr>
    <w:rPr>
      <w:szCs w:val="20"/>
    </w:rPr>
  </w:style>
  <w:style w:type="paragraph" w:customStyle="1" w:styleId="343">
    <w:name w:val="样式4"/>
    <w:basedOn w:val="1"/>
    <w:autoRedefine/>
    <w:qFormat/>
    <w:uiPriority w:val="0"/>
    <w:rPr>
      <w:szCs w:val="20"/>
    </w:rPr>
  </w:style>
  <w:style w:type="paragraph" w:customStyle="1" w:styleId="344">
    <w:name w:val="xl2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sz w:val="18"/>
      <w:szCs w:val="18"/>
    </w:rPr>
  </w:style>
  <w:style w:type="paragraph" w:customStyle="1" w:styleId="345">
    <w:name w:val="标题 1-1"/>
    <w:basedOn w:val="1"/>
    <w:autoRedefine/>
    <w:qFormat/>
    <w:uiPriority w:val="0"/>
    <w:pPr>
      <w:jc w:val="center"/>
    </w:pPr>
    <w:rPr>
      <w:rFonts w:ascii="黑体" w:eastAsia="黑体"/>
      <w:b/>
      <w:bCs/>
      <w:sz w:val="36"/>
      <w:szCs w:val="20"/>
    </w:rPr>
  </w:style>
  <w:style w:type="paragraph" w:customStyle="1" w:styleId="346">
    <w:name w:val="Revision"/>
    <w:autoRedefine/>
    <w:qFormat/>
    <w:uiPriority w:val="99"/>
    <w:rPr>
      <w:rFonts w:ascii="Times New Roman" w:hAnsi="Times New Roman" w:eastAsia="宋体" w:cs="Times New Roman"/>
      <w:kern w:val="2"/>
      <w:sz w:val="21"/>
      <w:szCs w:val="24"/>
      <w:lang w:val="en-US" w:eastAsia="zh-CN" w:bidi="ar-SA"/>
    </w:rPr>
  </w:style>
  <w:style w:type="paragraph" w:customStyle="1" w:styleId="347">
    <w:name w:val="xl37"/>
    <w:basedOn w:val="1"/>
    <w:autoRedefine/>
    <w:qFormat/>
    <w:uiPriority w:val="0"/>
    <w:pPr>
      <w:pBdr>
        <w:top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cs="Arial Unicode MS"/>
      <w:sz w:val="18"/>
      <w:szCs w:val="18"/>
    </w:rPr>
  </w:style>
  <w:style w:type="paragraph" w:customStyle="1" w:styleId="348">
    <w:name w:val="reader-word-layer reader-word-s1-7"/>
    <w:basedOn w:val="1"/>
    <w:autoRedefine/>
    <w:qFormat/>
    <w:uiPriority w:val="0"/>
    <w:pPr>
      <w:spacing w:before="100" w:beforeAutospacing="1" w:after="100" w:afterAutospacing="1"/>
    </w:pPr>
  </w:style>
  <w:style w:type="paragraph" w:customStyle="1" w:styleId="349">
    <w:name w:val="p20"/>
    <w:basedOn w:val="1"/>
    <w:autoRedefine/>
    <w:qFormat/>
    <w:uiPriority w:val="0"/>
    <w:pPr>
      <w:spacing w:after="120" w:line="480" w:lineRule="auto"/>
      <w:ind w:left="420"/>
    </w:pPr>
    <w:rPr>
      <w:szCs w:val="21"/>
    </w:rPr>
  </w:style>
  <w:style w:type="paragraph" w:customStyle="1" w:styleId="350">
    <w:name w:val="xl54"/>
    <w:basedOn w:val="1"/>
    <w:autoRedefine/>
    <w:qFormat/>
    <w:uiPriority w:val="0"/>
    <w:pPr>
      <w:spacing w:before="100" w:beforeAutospacing="1" w:after="100" w:afterAutospacing="1"/>
      <w:jc w:val="center"/>
      <w:textAlignment w:val="center"/>
    </w:pPr>
  </w:style>
  <w:style w:type="paragraph" w:customStyle="1" w:styleId="351">
    <w:name w:val="xl2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sz w:val="18"/>
      <w:szCs w:val="18"/>
    </w:rPr>
  </w:style>
  <w:style w:type="paragraph" w:customStyle="1" w:styleId="352">
    <w:name w:val="xl11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color w:val="000000"/>
      <w:sz w:val="20"/>
      <w:szCs w:val="20"/>
    </w:rPr>
  </w:style>
  <w:style w:type="paragraph" w:customStyle="1" w:styleId="353">
    <w:name w:val="列出段落1"/>
    <w:basedOn w:val="1"/>
    <w:autoRedefine/>
    <w:qFormat/>
    <w:uiPriority w:val="34"/>
    <w:pPr>
      <w:ind w:firstLine="420" w:firstLineChars="200"/>
    </w:pPr>
  </w:style>
  <w:style w:type="paragraph" w:customStyle="1" w:styleId="354">
    <w:name w:val="xl58"/>
    <w:basedOn w:val="1"/>
    <w:autoRedefine/>
    <w:qFormat/>
    <w:uiPriority w:val="0"/>
    <w:pPr>
      <w:pBdr>
        <w:top w:val="single" w:color="auto" w:sz="4" w:space="0"/>
        <w:left w:val="single" w:color="auto" w:sz="4" w:space="0"/>
        <w:bottom w:val="single" w:color="auto" w:sz="8" w:space="0"/>
      </w:pBdr>
      <w:spacing w:before="100" w:beforeAutospacing="1" w:after="100" w:afterAutospacing="1"/>
      <w:textAlignment w:val="center"/>
    </w:pPr>
  </w:style>
  <w:style w:type="paragraph" w:customStyle="1" w:styleId="355">
    <w:name w:val="xl2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sz w:val="18"/>
      <w:szCs w:val="18"/>
    </w:rPr>
  </w:style>
  <w:style w:type="paragraph" w:customStyle="1" w:styleId="356">
    <w:name w:val="xl33"/>
    <w:basedOn w:val="1"/>
    <w:autoRedefine/>
    <w:qFormat/>
    <w:uiPriority w:val="0"/>
    <w:pPr>
      <w:pBdr>
        <w:top w:val="single" w:color="auto" w:sz="4" w:space="0"/>
        <w:bottom w:val="single" w:color="auto" w:sz="4" w:space="0"/>
      </w:pBdr>
      <w:spacing w:before="100" w:beforeAutospacing="1" w:after="100" w:afterAutospacing="1"/>
      <w:jc w:val="center"/>
    </w:pPr>
    <w:rPr>
      <w:rFonts w:ascii="Arial Unicode MS" w:hAnsi="Arial Unicode MS" w:eastAsia="Arial Unicode MS" w:cs="Arial Unicode MS"/>
      <w:sz w:val="18"/>
      <w:szCs w:val="18"/>
    </w:rPr>
  </w:style>
  <w:style w:type="paragraph" w:customStyle="1" w:styleId="357">
    <w:name w:val="BIG BOLD"/>
    <w:basedOn w:val="1"/>
    <w:autoRedefine/>
    <w:qFormat/>
    <w:uiPriority w:val="0"/>
    <w:pPr>
      <w:tabs>
        <w:tab w:val="left" w:leader="underscore" w:pos="1134"/>
      </w:tabs>
    </w:pPr>
    <w:rPr>
      <w:sz w:val="28"/>
      <w:szCs w:val="20"/>
    </w:rPr>
  </w:style>
  <w:style w:type="paragraph" w:customStyle="1" w:styleId="358">
    <w:name w:val="xl36"/>
    <w:basedOn w:val="1"/>
    <w:autoRedefine/>
    <w:qFormat/>
    <w:uiPriority w:val="0"/>
    <w:pPr>
      <w:pBdr>
        <w:top w:val="single" w:color="auto" w:sz="4" w:space="0"/>
        <w:bottom w:val="single" w:color="auto" w:sz="4" w:space="0"/>
      </w:pBdr>
      <w:spacing w:before="100" w:beforeAutospacing="1" w:after="100" w:afterAutospacing="1"/>
      <w:textAlignment w:val="center"/>
    </w:pPr>
    <w:rPr>
      <w:rFonts w:ascii="Arial Unicode MS" w:hAnsi="Arial Unicode MS" w:eastAsia="Arial Unicode MS" w:cs="Arial Unicode MS"/>
      <w:sz w:val="18"/>
      <w:szCs w:val="18"/>
    </w:rPr>
  </w:style>
  <w:style w:type="paragraph" w:customStyle="1" w:styleId="359">
    <w:name w:val="p16"/>
    <w:basedOn w:val="1"/>
    <w:autoRedefine/>
    <w:qFormat/>
    <w:uiPriority w:val="0"/>
    <w:pPr>
      <w:spacing w:before="100" w:after="100"/>
    </w:pPr>
  </w:style>
  <w:style w:type="paragraph" w:customStyle="1" w:styleId="360">
    <w:name w:val="Char Char Char2 Char Char Char Char Char Char Char Char Char Char"/>
    <w:basedOn w:val="1"/>
    <w:autoRedefine/>
    <w:qFormat/>
    <w:uiPriority w:val="0"/>
    <w:pPr>
      <w:spacing w:line="360" w:lineRule="auto"/>
      <w:ind w:firstLine="200" w:firstLineChars="200"/>
    </w:pPr>
    <w:rPr>
      <w:sz w:val="28"/>
      <w:szCs w:val="28"/>
    </w:rPr>
  </w:style>
  <w:style w:type="paragraph" w:customStyle="1" w:styleId="361">
    <w:name w:val="xl35"/>
    <w:basedOn w:val="1"/>
    <w:autoRedefine/>
    <w:qFormat/>
    <w:uiPriority w:val="0"/>
    <w:pPr>
      <w:pBdr>
        <w:top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sz w:val="18"/>
      <w:szCs w:val="18"/>
    </w:rPr>
  </w:style>
  <w:style w:type="paragraph" w:customStyle="1" w:styleId="362">
    <w:name w:val="正文表格"/>
    <w:basedOn w:val="1"/>
    <w:autoRedefine/>
    <w:qFormat/>
    <w:uiPriority w:val="0"/>
    <w:pPr>
      <w:keepNext/>
      <w:keepLines/>
      <w:overflowPunct w:val="0"/>
      <w:adjustRightInd w:val="0"/>
      <w:spacing w:before="80"/>
      <w:jc w:val="center"/>
      <w:textAlignment w:val="bottom"/>
    </w:pPr>
    <w:rPr>
      <w:sz w:val="28"/>
      <w:szCs w:val="20"/>
    </w:rPr>
  </w:style>
  <w:style w:type="paragraph" w:customStyle="1" w:styleId="363">
    <w:name w:val="xl29"/>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sz w:val="18"/>
      <w:szCs w:val="18"/>
    </w:rPr>
  </w:style>
  <w:style w:type="paragraph" w:customStyle="1" w:styleId="364">
    <w:name w:val="表格1"/>
    <w:basedOn w:val="1"/>
    <w:autoRedefine/>
    <w:qFormat/>
    <w:uiPriority w:val="0"/>
    <w:pPr>
      <w:spacing w:line="400" w:lineRule="exact"/>
      <w:ind w:left="-17" w:leftChars="-8" w:right="-80" w:rightChars="-38"/>
    </w:pPr>
    <w:rPr>
      <w:rFonts w:ascii="Times" w:hAnsi="Times"/>
      <w:spacing w:val="-4"/>
      <w:kern w:val="28"/>
      <w:szCs w:val="21"/>
    </w:rPr>
  </w:style>
  <w:style w:type="paragraph" w:customStyle="1" w:styleId="365">
    <w:name w:val="reader-word-layer reader-word-s1-6"/>
    <w:basedOn w:val="1"/>
    <w:autoRedefine/>
    <w:qFormat/>
    <w:uiPriority w:val="0"/>
    <w:pPr>
      <w:spacing w:before="100" w:beforeAutospacing="1" w:after="100" w:afterAutospacing="1"/>
    </w:pPr>
  </w:style>
  <w:style w:type="paragraph" w:customStyle="1" w:styleId="366">
    <w:name w:val="xl122"/>
    <w:basedOn w:val="1"/>
    <w:autoRedefine/>
    <w:qFormat/>
    <w:uiPriority w:val="0"/>
    <w:pPr>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textAlignment w:val="bottom"/>
    </w:pPr>
    <w:rPr>
      <w:rFonts w:ascii="Arial Unicode MS" w:hAnsi="Arial Unicode MS"/>
      <w:b/>
      <w:bCs/>
      <w:sz w:val="20"/>
      <w:szCs w:val="20"/>
    </w:rPr>
  </w:style>
  <w:style w:type="paragraph" w:customStyle="1" w:styleId="367">
    <w:name w:val="reader-word-layer reader-word-s3-8"/>
    <w:basedOn w:val="1"/>
    <w:autoRedefine/>
    <w:qFormat/>
    <w:uiPriority w:val="0"/>
    <w:pPr>
      <w:spacing w:before="100" w:beforeAutospacing="1" w:after="100" w:afterAutospacing="1"/>
    </w:pPr>
  </w:style>
  <w:style w:type="paragraph" w:customStyle="1" w:styleId="368">
    <w:name w:val="reader-word-layer reader-word-s2-9"/>
    <w:basedOn w:val="1"/>
    <w:autoRedefine/>
    <w:qFormat/>
    <w:uiPriority w:val="0"/>
    <w:pPr>
      <w:spacing w:before="100" w:beforeAutospacing="1" w:after="100" w:afterAutospacing="1"/>
    </w:pPr>
  </w:style>
  <w:style w:type="paragraph" w:customStyle="1" w:styleId="369">
    <w:name w:val="样式2"/>
    <w:basedOn w:val="1"/>
    <w:autoRedefine/>
    <w:qFormat/>
    <w:uiPriority w:val="0"/>
    <w:pPr>
      <w:adjustRightInd w:val="0"/>
      <w:snapToGrid w:val="0"/>
      <w:spacing w:line="0" w:lineRule="atLeast"/>
      <w:jc w:val="center"/>
    </w:pPr>
    <w:rPr>
      <w:szCs w:val="20"/>
    </w:rPr>
  </w:style>
  <w:style w:type="paragraph" w:customStyle="1" w:styleId="370">
    <w:name w:val="Char Char Char"/>
    <w:basedOn w:val="1"/>
    <w:autoRedefine/>
    <w:qFormat/>
    <w:uiPriority w:val="0"/>
    <w:pPr>
      <w:spacing w:line="360" w:lineRule="auto"/>
      <w:ind w:firstLine="200" w:firstLineChars="200"/>
    </w:pPr>
  </w:style>
  <w:style w:type="paragraph" w:customStyle="1" w:styleId="371">
    <w:name w:val="表格2"/>
    <w:basedOn w:val="1"/>
    <w:autoRedefine/>
    <w:qFormat/>
    <w:uiPriority w:val="0"/>
    <w:pPr>
      <w:adjustRightInd w:val="0"/>
      <w:jc w:val="center"/>
      <w:textAlignment w:val="baseline"/>
    </w:pPr>
    <w:rPr>
      <w:szCs w:val="21"/>
    </w:rPr>
  </w:style>
  <w:style w:type="paragraph" w:customStyle="1" w:styleId="372">
    <w:name w:val="正文表标题"/>
    <w:next w:val="1"/>
    <w:autoRedefine/>
    <w:qFormat/>
    <w:uiPriority w:val="0"/>
    <w:pPr>
      <w:jc w:val="center"/>
    </w:pPr>
    <w:rPr>
      <w:rFonts w:ascii="黑体" w:hAnsi="Times New Roman" w:eastAsia="黑体" w:cs="Times New Roman"/>
      <w:sz w:val="21"/>
      <w:lang w:val="en-US" w:eastAsia="zh-CN" w:bidi="ar-SA"/>
    </w:rPr>
  </w:style>
  <w:style w:type="paragraph" w:customStyle="1" w:styleId="373">
    <w:name w:val="样式 标题 2 + 楷体_GB2312 居中 段前: 12 磅 段后: 12 磅 行距: 1.5 倍行距"/>
    <w:basedOn w:val="5"/>
    <w:autoRedefine/>
    <w:qFormat/>
    <w:uiPriority w:val="0"/>
    <w:pPr>
      <w:spacing w:beforeLines="0" w:afterLines="0"/>
    </w:pPr>
    <w:rPr>
      <w:rFonts w:ascii="楷体_GB2312" w:hAnsi="CG Times" w:cs="CG Times"/>
      <w:b w:val="0"/>
      <w:szCs w:val="20"/>
    </w:rPr>
  </w:style>
  <w:style w:type="paragraph" w:customStyle="1" w:styleId="374">
    <w:name w:val="_Style 141"/>
    <w:next w:val="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5">
    <w:name w:val="图"/>
    <w:basedOn w:val="4"/>
    <w:next w:val="1"/>
    <w:autoRedefine/>
    <w:qFormat/>
    <w:uiPriority w:val="0"/>
    <w:pPr>
      <w:ind w:firstLine="0"/>
      <w:jc w:val="center"/>
    </w:pPr>
    <w:rPr>
      <w:rFonts w:cs="CG Times"/>
    </w:rPr>
  </w:style>
  <w:style w:type="paragraph" w:customStyle="1" w:styleId="376">
    <w:name w:val="默认段落字体 Para Char Char Char Char Char Char Char"/>
    <w:basedOn w:val="1"/>
    <w:autoRedefine/>
    <w:qFormat/>
    <w:uiPriority w:val="0"/>
    <w:rPr>
      <w:rFonts w:ascii="Arial" w:hAnsi="Arial" w:cs="Arial"/>
      <w:sz w:val="20"/>
      <w:szCs w:val="20"/>
    </w:rPr>
  </w:style>
  <w:style w:type="paragraph" w:customStyle="1" w:styleId="377">
    <w:name w:val="表格后正文"/>
    <w:basedOn w:val="302"/>
    <w:autoRedefine/>
    <w:qFormat/>
    <w:uiPriority w:val="0"/>
    <w:pPr>
      <w:spacing w:before="200"/>
    </w:pPr>
  </w:style>
  <w:style w:type="paragraph" w:customStyle="1" w:styleId="378">
    <w:name w:val="样式 标题1 + 段前: 6 磅 段后: 6 磅"/>
    <w:basedOn w:val="379"/>
    <w:autoRedefine/>
    <w:qFormat/>
    <w:uiPriority w:val="0"/>
    <w:pPr>
      <w:spacing w:before="120" w:after="120"/>
    </w:pPr>
    <w:rPr>
      <w:szCs w:val="20"/>
    </w:rPr>
  </w:style>
  <w:style w:type="paragraph" w:customStyle="1" w:styleId="379">
    <w:name w:val="标题11"/>
    <w:basedOn w:val="5"/>
    <w:autoRedefine/>
    <w:qFormat/>
    <w:uiPriority w:val="0"/>
    <w:pPr>
      <w:spacing w:beforeLines="0" w:afterLines="0" w:line="500" w:lineRule="exact"/>
      <w:jc w:val="both"/>
    </w:pPr>
    <w:rPr>
      <w:rFonts w:ascii="Times New Roman"/>
      <w:sz w:val="30"/>
      <w:szCs w:val="44"/>
    </w:rPr>
  </w:style>
  <w:style w:type="paragraph" w:customStyle="1" w:styleId="380">
    <w:name w:val="报告书表格"/>
    <w:basedOn w:val="1"/>
    <w:autoRedefine/>
    <w:qFormat/>
    <w:uiPriority w:val="0"/>
    <w:pPr>
      <w:adjustRightInd w:val="0"/>
      <w:spacing w:line="400" w:lineRule="exact"/>
      <w:jc w:val="center"/>
      <w:textAlignment w:val="baseline"/>
    </w:pPr>
    <w:rPr>
      <w:rFonts w:eastAsia="仿宋_GB2312"/>
      <w:szCs w:val="20"/>
    </w:rPr>
  </w:style>
  <w:style w:type="paragraph" w:customStyle="1" w:styleId="381">
    <w:name w:val="xl97"/>
    <w:basedOn w:val="1"/>
    <w:autoRedefine/>
    <w:qFormat/>
    <w:uiPriority w:val="0"/>
    <w:pPr>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textAlignment w:val="bottom"/>
    </w:pPr>
    <w:rPr>
      <w:sz w:val="20"/>
      <w:szCs w:val="20"/>
    </w:rPr>
  </w:style>
  <w:style w:type="paragraph" w:customStyle="1" w:styleId="382">
    <w:name w:val="样式 样式1 + 首行缩进:  2 字符1"/>
    <w:basedOn w:val="230"/>
    <w:autoRedefine/>
    <w:qFormat/>
    <w:uiPriority w:val="0"/>
    <w:pPr>
      <w:spacing w:line="360" w:lineRule="auto"/>
      <w:ind w:firstLine="480" w:firstLineChars="200"/>
    </w:pPr>
    <w:rPr>
      <w:rFonts w:ascii="Times New Roman" w:hAnsi="Times New Roman" w:cs="Arial"/>
      <w:bCs w:val="0"/>
      <w:snapToGrid/>
      <w:kern w:val="2"/>
    </w:rPr>
  </w:style>
  <w:style w:type="paragraph" w:customStyle="1" w:styleId="383">
    <w:name w:val="环表头"/>
    <w:basedOn w:val="1"/>
    <w:autoRedefine/>
    <w:qFormat/>
    <w:uiPriority w:val="0"/>
    <w:pPr>
      <w:tabs>
        <w:tab w:val="left" w:pos="283"/>
        <w:tab w:val="left" w:pos="5094"/>
      </w:tabs>
      <w:adjustRightInd w:val="0"/>
      <w:spacing w:before="62" w:after="31" w:line="500" w:lineRule="exact"/>
      <w:ind w:left="493" w:right="28"/>
      <w:jc w:val="center"/>
      <w:textAlignment w:val="baseline"/>
    </w:pPr>
    <w:rPr>
      <w:rFonts w:eastAsia="仿宋_GB2312"/>
      <w:bCs/>
      <w:kern w:val="24"/>
      <w:sz w:val="28"/>
      <w:szCs w:val="28"/>
    </w:rPr>
  </w:style>
  <w:style w:type="paragraph" w:customStyle="1" w:styleId="384">
    <w:name w:val="xl99"/>
    <w:basedOn w:val="1"/>
    <w:autoRedefine/>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bottom"/>
    </w:pPr>
    <w:rPr>
      <w:b/>
      <w:bCs/>
      <w:sz w:val="20"/>
      <w:szCs w:val="20"/>
    </w:rPr>
  </w:style>
  <w:style w:type="paragraph" w:customStyle="1" w:styleId="385">
    <w:name w:val="xl40"/>
    <w:basedOn w:val="1"/>
    <w:autoRedefine/>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pPr>
    <w:rPr>
      <w:sz w:val="16"/>
      <w:szCs w:val="16"/>
    </w:rPr>
  </w:style>
  <w:style w:type="paragraph" w:customStyle="1" w:styleId="386">
    <w:name w:val="目录 2 Char Char"/>
    <w:basedOn w:val="1"/>
    <w:next w:val="1"/>
    <w:autoRedefine/>
    <w:qFormat/>
    <w:uiPriority w:val="0"/>
    <w:pPr>
      <w:spacing w:line="351" w:lineRule="atLeast"/>
      <w:ind w:left="209" w:firstLine="419"/>
    </w:pPr>
    <w:rPr>
      <w:rFonts w:hint="eastAsia"/>
      <w:szCs w:val="20"/>
    </w:rPr>
  </w:style>
  <w:style w:type="paragraph" w:customStyle="1" w:styleId="387">
    <w:name w:val="环表"/>
    <w:basedOn w:val="1"/>
    <w:autoRedefine/>
    <w:qFormat/>
    <w:uiPriority w:val="0"/>
    <w:pPr>
      <w:tabs>
        <w:tab w:val="left" w:pos="5094"/>
      </w:tabs>
      <w:adjustRightInd w:val="0"/>
      <w:spacing w:before="120" w:after="120" w:line="312" w:lineRule="atLeast"/>
      <w:ind w:right="29"/>
      <w:jc w:val="center"/>
      <w:textAlignment w:val="baseline"/>
    </w:pPr>
    <w:rPr>
      <w:rFonts w:ascii="仿宋_GB2312" w:hAnsi="Courier New" w:eastAsia="仿宋_GB2312"/>
      <w:sz w:val="28"/>
    </w:rPr>
  </w:style>
  <w:style w:type="paragraph" w:customStyle="1" w:styleId="388">
    <w:name w:val="xl100"/>
    <w:basedOn w:val="1"/>
    <w:autoRedefine/>
    <w:qFormat/>
    <w:uiPriority w:val="0"/>
    <w:pPr>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jc w:val="center"/>
      <w:textAlignment w:val="bottom"/>
    </w:pPr>
    <w:rPr>
      <w:rFonts w:ascii="Arial Unicode MS" w:hAnsi="Arial Unicode MS"/>
      <w:sz w:val="18"/>
      <w:szCs w:val="18"/>
    </w:rPr>
  </w:style>
  <w:style w:type="paragraph" w:customStyle="1" w:styleId="389">
    <w:name w:val="表格备注"/>
    <w:basedOn w:val="11"/>
    <w:next w:val="150"/>
    <w:autoRedefine/>
    <w:qFormat/>
    <w:uiPriority w:val="0"/>
    <w:pPr>
      <w:tabs>
        <w:tab w:val="left" w:pos="560"/>
      </w:tabs>
      <w:spacing w:line="336" w:lineRule="auto"/>
      <w:jc w:val="center"/>
    </w:pPr>
    <w:rPr>
      <w:rFonts w:ascii="黑体" w:hAnsi="Times New Roman"/>
      <w:b w:val="0"/>
      <w:bCs w:val="0"/>
      <w:color w:val="auto"/>
      <w:sz w:val="21"/>
      <w:szCs w:val="21"/>
    </w:rPr>
  </w:style>
  <w:style w:type="paragraph" w:customStyle="1" w:styleId="390">
    <w:name w:val="目录 6 Char Char"/>
    <w:basedOn w:val="1"/>
    <w:next w:val="1"/>
    <w:autoRedefine/>
    <w:qFormat/>
    <w:uiPriority w:val="0"/>
    <w:pPr>
      <w:spacing w:line="351" w:lineRule="atLeast"/>
      <w:ind w:left="1048" w:firstLine="419"/>
    </w:pPr>
    <w:rPr>
      <w:rFonts w:hint="eastAsia"/>
      <w:szCs w:val="20"/>
    </w:rPr>
  </w:style>
  <w:style w:type="paragraph" w:customStyle="1" w:styleId="391">
    <w:name w:val="样式 (西文) 宋体 段前: 6 磅 段后: 6 磅"/>
    <w:basedOn w:val="1"/>
    <w:autoRedefine/>
    <w:qFormat/>
    <w:uiPriority w:val="0"/>
    <w:pPr>
      <w:spacing w:before="120" w:after="120" w:line="500" w:lineRule="exact"/>
    </w:pPr>
    <w:rPr>
      <w:rFonts w:eastAsia="仿宋_GB2312"/>
      <w:sz w:val="28"/>
      <w:szCs w:val="20"/>
    </w:rPr>
  </w:style>
  <w:style w:type="paragraph" w:customStyle="1" w:styleId="392">
    <w:name w:val="proposal"/>
    <w:basedOn w:val="1"/>
    <w:autoRedefine/>
    <w:qFormat/>
    <w:uiPriority w:val="0"/>
    <w:pPr>
      <w:autoSpaceDE w:val="0"/>
      <w:autoSpaceDN w:val="0"/>
      <w:spacing w:line="300" w:lineRule="auto"/>
      <w:ind w:left="1440" w:hanging="1440"/>
    </w:pPr>
    <w:rPr>
      <w:rFonts w:eastAsia="仿宋_GB2312"/>
      <w:lang w:val="en-GB" w:eastAsia="en-GB"/>
    </w:rPr>
  </w:style>
  <w:style w:type="paragraph" w:customStyle="1" w:styleId="393">
    <w:name w:val="xl101"/>
    <w:basedOn w:val="1"/>
    <w:autoRedefine/>
    <w:qFormat/>
    <w:uiPriority w:val="0"/>
    <w:pPr>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textAlignment w:val="bottom"/>
    </w:pPr>
    <w:rPr>
      <w:rFonts w:ascii="Arial Unicode MS" w:hAnsi="Arial Unicode MS"/>
      <w:sz w:val="20"/>
      <w:szCs w:val="20"/>
    </w:rPr>
  </w:style>
  <w:style w:type="paragraph" w:customStyle="1" w:styleId="394">
    <w:name w:val="Heading3(1.)"/>
    <w:basedOn w:val="1"/>
    <w:autoRedefine/>
    <w:qFormat/>
    <w:uiPriority w:val="0"/>
    <w:pPr>
      <w:keepLines/>
      <w:framePr w:hSpace="180" w:vSpace="180" w:wrap="around" w:vAnchor="margin" w:hAnchor="text" w:y="1"/>
      <w:tabs>
        <w:tab w:val="left" w:pos="510"/>
        <w:tab w:val="left" w:pos="1440"/>
      </w:tabs>
      <w:ind w:left="990"/>
    </w:pPr>
    <w:rPr>
      <w:sz w:val="20"/>
      <w:szCs w:val="20"/>
      <w:lang w:eastAsia="en-US"/>
    </w:rPr>
  </w:style>
  <w:style w:type="paragraph" w:customStyle="1" w:styleId="395">
    <w:name w:val="目录2"/>
    <w:basedOn w:val="1"/>
    <w:next w:val="1"/>
    <w:autoRedefine/>
    <w:qFormat/>
    <w:uiPriority w:val="0"/>
    <w:pPr>
      <w:tabs>
        <w:tab w:val="left" w:leader="dot" w:pos="8503"/>
      </w:tabs>
      <w:spacing w:line="317" w:lineRule="atLeast"/>
      <w:ind w:left="419" w:firstLine="419"/>
    </w:pPr>
    <w:rPr>
      <w:rFonts w:hint="eastAsia"/>
      <w:szCs w:val="20"/>
    </w:rPr>
  </w:style>
  <w:style w:type="paragraph" w:customStyle="1" w:styleId="396">
    <w:name w:val="小四表文左齐"/>
    <w:basedOn w:val="1"/>
    <w:autoRedefine/>
    <w:qFormat/>
    <w:uiPriority w:val="0"/>
    <w:pPr>
      <w:spacing w:line="340" w:lineRule="exact"/>
      <w:jc w:val="center"/>
    </w:pPr>
    <w:rPr>
      <w:spacing w:val="-6"/>
    </w:rPr>
  </w:style>
  <w:style w:type="paragraph" w:customStyle="1" w:styleId="397">
    <w:name w:val="样式 样式 题注 + 两端对齐 + 宋体"/>
    <w:basedOn w:val="1"/>
    <w:autoRedefine/>
    <w:qFormat/>
    <w:uiPriority w:val="0"/>
    <w:pPr>
      <w:keepNext/>
      <w:spacing w:line="360" w:lineRule="auto"/>
      <w:jc w:val="center"/>
    </w:pPr>
    <w:rPr>
      <w:rFonts w:eastAsia="仿宋_GB2312"/>
      <w:snapToGrid w:val="0"/>
      <w:sz w:val="28"/>
      <w:szCs w:val="20"/>
    </w:rPr>
  </w:style>
  <w:style w:type="paragraph" w:customStyle="1" w:styleId="398">
    <w:name w:val="xl102"/>
    <w:basedOn w:val="1"/>
    <w:autoRedefine/>
    <w:qFormat/>
    <w:uiPriority w:val="0"/>
    <w:pPr>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jc w:val="center"/>
      <w:textAlignment w:val="bottom"/>
    </w:pPr>
    <w:rPr>
      <w:sz w:val="20"/>
      <w:szCs w:val="20"/>
    </w:rPr>
  </w:style>
  <w:style w:type="paragraph" w:customStyle="1" w:styleId="399">
    <w:name w:val="WPS Plain"/>
    <w:autoRedefine/>
    <w:qFormat/>
    <w:uiPriority w:val="0"/>
    <w:rPr>
      <w:rFonts w:ascii="Times New Roman" w:hAnsi="Times New Roman" w:eastAsia="宋体" w:cs="Times New Roman"/>
      <w:lang w:val="en-US" w:eastAsia="zh-CN" w:bidi="ar-SA"/>
    </w:rPr>
  </w:style>
  <w:style w:type="paragraph" w:customStyle="1" w:styleId="400">
    <w:name w:val="?(??)3"/>
    <w:basedOn w:val="6"/>
    <w:next w:val="1"/>
    <w:autoRedefine/>
    <w:qFormat/>
    <w:uiPriority w:val="0"/>
    <w:pPr>
      <w:autoSpaceDE w:val="0"/>
      <w:autoSpaceDN w:val="0"/>
      <w:snapToGrid/>
      <w:spacing w:line="460" w:lineRule="exact"/>
      <w:outlineLvl w:val="9"/>
    </w:pPr>
    <w:rPr>
      <w:rFonts w:ascii="Times New Roman" w:hAnsi="Times New Roman" w:eastAsia="宋体"/>
      <w:bCs w:val="0"/>
      <w:snapToGrid/>
      <w:spacing w:val="3"/>
      <w:kern w:val="24"/>
      <w:sz w:val="24"/>
      <w:szCs w:val="20"/>
    </w:rPr>
  </w:style>
  <w:style w:type="paragraph" w:customStyle="1" w:styleId="401">
    <w:name w:val="发布部门"/>
    <w:next w:val="260"/>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402">
    <w:name w:val="目录 1 Char Char"/>
    <w:basedOn w:val="1"/>
    <w:next w:val="1"/>
    <w:autoRedefine/>
    <w:qFormat/>
    <w:uiPriority w:val="0"/>
    <w:pPr>
      <w:tabs>
        <w:tab w:val="left" w:leader="dot" w:pos="8010"/>
      </w:tabs>
      <w:snapToGrid w:val="0"/>
      <w:spacing w:line="300" w:lineRule="auto"/>
    </w:pPr>
    <w:rPr>
      <w:rFonts w:hint="eastAsia" w:eastAsia="黑体"/>
      <w:sz w:val="28"/>
      <w:szCs w:val="20"/>
    </w:rPr>
  </w:style>
  <w:style w:type="paragraph" w:customStyle="1" w:styleId="403">
    <w:name w:val="xl49"/>
    <w:basedOn w:val="1"/>
    <w:autoRedefine/>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Arial Unicode MS" w:hAnsi="Arial Unicode MS" w:eastAsia="Arial Unicode MS"/>
      <w:sz w:val="28"/>
      <w:szCs w:val="28"/>
    </w:rPr>
  </w:style>
  <w:style w:type="paragraph" w:customStyle="1" w:styleId="404">
    <w:name w:val="xl103"/>
    <w:basedOn w:val="1"/>
    <w:autoRedefine/>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bottom"/>
    </w:pPr>
    <w:rPr>
      <w:rFonts w:ascii="Arial Unicode MS" w:hAnsi="Arial Unicode MS"/>
      <w:sz w:val="18"/>
      <w:szCs w:val="18"/>
    </w:rPr>
  </w:style>
  <w:style w:type="paragraph" w:customStyle="1" w:styleId="405">
    <w:name w:val="目录 5 Char Char"/>
    <w:basedOn w:val="1"/>
    <w:next w:val="1"/>
    <w:autoRedefine/>
    <w:qFormat/>
    <w:uiPriority w:val="0"/>
    <w:pPr>
      <w:spacing w:line="351" w:lineRule="atLeast"/>
      <w:ind w:left="839" w:firstLine="419"/>
    </w:pPr>
    <w:rPr>
      <w:rFonts w:hint="eastAsia"/>
      <w:szCs w:val="20"/>
    </w:rPr>
  </w:style>
  <w:style w:type="paragraph" w:customStyle="1" w:styleId="406">
    <w:name w:val="我的样式（正文）"/>
    <w:basedOn w:val="1"/>
    <w:autoRedefine/>
    <w:qFormat/>
    <w:uiPriority w:val="0"/>
    <w:pPr>
      <w:spacing w:line="440" w:lineRule="exact"/>
    </w:pPr>
    <w:rPr>
      <w:rFonts w:eastAsia="仿宋_GB2312"/>
      <w:sz w:val="28"/>
      <w:szCs w:val="20"/>
    </w:rPr>
  </w:style>
  <w:style w:type="paragraph" w:customStyle="1" w:styleId="407">
    <w:name w:val="xl104"/>
    <w:basedOn w:val="1"/>
    <w:autoRedefine/>
    <w:qFormat/>
    <w:uiPriority w:val="0"/>
    <w:pPr>
      <w:pBdr>
        <w:top w:val="single" w:color="auto" w:sz="4" w:space="0"/>
        <w:left w:val="single" w:color="auto" w:sz="4" w:space="0"/>
        <w:right w:val="single" w:color="auto" w:sz="4" w:space="0"/>
      </w:pBdr>
      <w:shd w:val="clear" w:color="auto" w:fill="FFFFFF"/>
      <w:spacing w:before="100" w:beforeAutospacing="1" w:after="100" w:afterAutospacing="1"/>
      <w:textAlignment w:val="bottom"/>
    </w:pPr>
    <w:rPr>
      <w:rFonts w:ascii="Arial Unicode MS" w:hAnsi="Arial Unicode MS"/>
      <w:sz w:val="20"/>
      <w:szCs w:val="20"/>
    </w:rPr>
  </w:style>
  <w:style w:type="paragraph" w:customStyle="1" w:styleId="408">
    <w:name w:val="font6"/>
    <w:basedOn w:val="1"/>
    <w:autoRedefine/>
    <w:qFormat/>
    <w:uiPriority w:val="0"/>
    <w:pPr>
      <w:spacing w:before="100" w:beforeAutospacing="1" w:after="100" w:afterAutospacing="1"/>
    </w:pPr>
    <w:rPr>
      <w:rFonts w:hint="eastAsia"/>
      <w:sz w:val="20"/>
      <w:szCs w:val="20"/>
    </w:rPr>
  </w:style>
  <w:style w:type="paragraph" w:customStyle="1" w:styleId="409">
    <w:name w:val="目录fuxi"/>
    <w:basedOn w:val="1"/>
    <w:autoRedefine/>
    <w:qFormat/>
    <w:uiPriority w:val="0"/>
    <w:pPr>
      <w:snapToGrid w:val="0"/>
      <w:spacing w:before="60" w:after="60"/>
      <w:jc w:val="center"/>
    </w:pPr>
    <w:rPr>
      <w:rFonts w:hint="eastAsia"/>
      <w:outline/>
      <w:color w:val="000000"/>
      <w:szCs w:val="20"/>
    </w:rPr>
  </w:style>
  <w:style w:type="paragraph" w:customStyle="1" w:styleId="410">
    <w:name w:val="环评正文"/>
    <w:basedOn w:val="36"/>
    <w:autoRedefine/>
    <w:qFormat/>
    <w:uiPriority w:val="0"/>
    <w:pPr>
      <w:spacing w:line="500" w:lineRule="exact"/>
      <w:ind w:left="0" w:leftChars="0" w:firstLine="560" w:firstLineChars="200"/>
    </w:pPr>
    <w:rPr>
      <w:rFonts w:ascii="仿宋_GB2312" w:hAnsi="Times New Roman" w:eastAsia="仿宋_GB2312"/>
      <w:b w:val="0"/>
      <w:spacing w:val="0"/>
      <w:sz w:val="28"/>
      <w:szCs w:val="20"/>
    </w:rPr>
  </w:style>
  <w:style w:type="paragraph" w:customStyle="1" w:styleId="411">
    <w:name w:val="xl105"/>
    <w:basedOn w:val="1"/>
    <w:autoRedefine/>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bottom"/>
    </w:pPr>
    <w:rPr>
      <w:sz w:val="20"/>
      <w:szCs w:val="20"/>
    </w:rPr>
  </w:style>
  <w:style w:type="paragraph" w:customStyle="1" w:styleId="412">
    <w:name w:val="font7"/>
    <w:basedOn w:val="1"/>
    <w:autoRedefine/>
    <w:qFormat/>
    <w:uiPriority w:val="0"/>
    <w:pPr>
      <w:spacing w:before="100" w:beforeAutospacing="1" w:after="100" w:afterAutospacing="1"/>
    </w:pPr>
    <w:rPr>
      <w:rFonts w:hint="eastAsia"/>
      <w:sz w:val="18"/>
      <w:szCs w:val="18"/>
    </w:rPr>
  </w:style>
  <w:style w:type="paragraph" w:customStyle="1" w:styleId="413">
    <w:name w:val="前言、引言标题"/>
    <w:next w:val="1"/>
    <w:autoRedefine/>
    <w:qFormat/>
    <w:uiPriority w:val="0"/>
    <w:pPr>
      <w:shd w:val="clear" w:color="FFFFFF" w:fill="FFFFFF"/>
      <w:tabs>
        <w:tab w:val="left" w:pos="903"/>
        <w:tab w:val="left" w:pos="1280"/>
      </w:tabs>
      <w:spacing w:before="640" w:after="560"/>
      <w:ind w:left="903" w:hanging="315"/>
      <w:jc w:val="center"/>
      <w:outlineLvl w:val="0"/>
    </w:pPr>
    <w:rPr>
      <w:rFonts w:ascii="黑体" w:hAnsi="Times New Roman" w:eastAsia="黑体" w:cs="Times New Roman"/>
      <w:sz w:val="32"/>
      <w:szCs w:val="32"/>
      <w:lang w:val="en-US" w:eastAsia="zh-CN" w:bidi="ar-SA"/>
    </w:rPr>
  </w:style>
  <w:style w:type="paragraph" w:customStyle="1" w:styleId="414">
    <w:name w:val="xl106"/>
    <w:basedOn w:val="1"/>
    <w:autoRedefine/>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bottom"/>
    </w:pPr>
    <w:rPr>
      <w:sz w:val="20"/>
      <w:szCs w:val="20"/>
    </w:rPr>
  </w:style>
  <w:style w:type="paragraph" w:customStyle="1" w:styleId="415">
    <w:name w:val="font8"/>
    <w:basedOn w:val="1"/>
    <w:autoRedefine/>
    <w:qFormat/>
    <w:uiPriority w:val="0"/>
    <w:pPr>
      <w:spacing w:before="100" w:beforeAutospacing="1" w:after="100" w:afterAutospacing="1"/>
    </w:pPr>
    <w:rPr>
      <w:sz w:val="20"/>
      <w:szCs w:val="20"/>
    </w:rPr>
  </w:style>
  <w:style w:type="paragraph" w:customStyle="1" w:styleId="416">
    <w:name w:val="font9"/>
    <w:basedOn w:val="1"/>
    <w:autoRedefine/>
    <w:qFormat/>
    <w:uiPriority w:val="0"/>
    <w:pPr>
      <w:spacing w:before="100" w:beforeAutospacing="1" w:after="100" w:afterAutospacing="1"/>
    </w:pPr>
    <w:rPr>
      <w:rFonts w:hint="eastAsia"/>
      <w:sz w:val="28"/>
      <w:szCs w:val="28"/>
    </w:rPr>
  </w:style>
  <w:style w:type="paragraph" w:customStyle="1" w:styleId="417">
    <w:name w:val="封面标准代替信息"/>
    <w:basedOn w:val="418"/>
    <w:autoRedefine/>
    <w:qFormat/>
    <w:uiPriority w:val="0"/>
    <w:pPr>
      <w:framePr w:wrap="around"/>
      <w:spacing w:before="57"/>
    </w:pPr>
    <w:rPr>
      <w:rFonts w:ascii="宋体"/>
      <w:sz w:val="21"/>
    </w:rPr>
  </w:style>
  <w:style w:type="paragraph" w:customStyle="1" w:styleId="418">
    <w:name w:val="封面标准号2"/>
    <w:basedOn w:val="419"/>
    <w:autoRedefine/>
    <w:qFormat/>
    <w:uiPriority w:val="0"/>
    <w:pPr>
      <w:framePr w:w="9138" w:h="1244" w:hRule="exact" w:wrap="around" w:vAnchor="page" w:hAnchor="margin" w:y="2908"/>
      <w:adjustRightInd w:val="0"/>
      <w:spacing w:before="357" w:line="280" w:lineRule="exact"/>
    </w:pPr>
  </w:style>
  <w:style w:type="paragraph" w:customStyle="1" w:styleId="419">
    <w:name w:val="封面标准号1"/>
    <w:autoRedefine/>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420">
    <w:name w:val="一级条标题"/>
    <w:basedOn w:val="5"/>
    <w:next w:val="1"/>
    <w:autoRedefine/>
    <w:qFormat/>
    <w:uiPriority w:val="0"/>
    <w:pPr>
      <w:keepNext w:val="0"/>
      <w:keepLines w:val="0"/>
      <w:spacing w:beforeLines="0" w:afterLines="0" w:line="240" w:lineRule="auto"/>
      <w:jc w:val="both"/>
      <w:outlineLvl w:val="2"/>
    </w:pPr>
    <w:rPr>
      <w:b w:val="0"/>
      <w:bCs w:val="0"/>
      <w:kern w:val="0"/>
      <w:sz w:val="21"/>
      <w:szCs w:val="21"/>
    </w:rPr>
  </w:style>
  <w:style w:type="paragraph" w:customStyle="1" w:styleId="421">
    <w:name w:val="22"/>
    <w:basedOn w:val="1"/>
    <w:next w:val="3"/>
    <w:autoRedefine/>
    <w:qFormat/>
    <w:uiPriority w:val="0"/>
    <w:pPr>
      <w:spacing w:line="500" w:lineRule="exact"/>
      <w:ind w:firstLine="560" w:firstLineChars="200"/>
    </w:pPr>
    <w:rPr>
      <w:rFonts w:ascii="仿宋_GB2312" w:eastAsia="仿宋_GB2312"/>
      <w:color w:val="FF0000"/>
      <w:sz w:val="28"/>
      <w:szCs w:val="20"/>
    </w:rPr>
  </w:style>
  <w:style w:type="paragraph" w:customStyle="1" w:styleId="422">
    <w:name w:val="xl10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Arial Unicode MS" w:hAnsi="Arial Unicode MS"/>
      <w:sz w:val="18"/>
      <w:szCs w:val="18"/>
    </w:rPr>
  </w:style>
  <w:style w:type="paragraph" w:customStyle="1" w:styleId="423">
    <w:name w:val="二级条标题"/>
    <w:basedOn w:val="420"/>
    <w:next w:val="1"/>
    <w:autoRedefine/>
    <w:qFormat/>
    <w:uiPriority w:val="0"/>
    <w:pPr>
      <w:tabs>
        <w:tab w:val="left" w:pos="2218"/>
      </w:tabs>
      <w:outlineLvl w:val="3"/>
    </w:pPr>
  </w:style>
  <w:style w:type="paragraph" w:customStyle="1" w:styleId="424">
    <w:name w:val="21"/>
    <w:basedOn w:val="1"/>
    <w:next w:val="3"/>
    <w:autoRedefine/>
    <w:qFormat/>
    <w:uiPriority w:val="0"/>
    <w:pPr>
      <w:spacing w:line="500" w:lineRule="exact"/>
      <w:ind w:firstLine="560" w:firstLineChars="200"/>
    </w:pPr>
    <w:rPr>
      <w:rFonts w:ascii="仿宋_GB2312" w:eastAsia="仿宋_GB2312"/>
      <w:color w:val="FF0000"/>
      <w:sz w:val="28"/>
      <w:szCs w:val="20"/>
    </w:rPr>
  </w:style>
  <w:style w:type="paragraph" w:customStyle="1" w:styleId="425">
    <w:name w:val="xl10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sz w:val="20"/>
      <w:szCs w:val="20"/>
    </w:rPr>
  </w:style>
  <w:style w:type="paragraph" w:customStyle="1" w:styleId="426">
    <w:name w:val="font10"/>
    <w:basedOn w:val="1"/>
    <w:autoRedefine/>
    <w:qFormat/>
    <w:uiPriority w:val="0"/>
    <w:pPr>
      <w:spacing w:before="100" w:beforeAutospacing="1" w:after="100" w:afterAutospacing="1"/>
    </w:pPr>
    <w:rPr>
      <w:sz w:val="28"/>
      <w:szCs w:val="28"/>
    </w:rPr>
  </w:style>
  <w:style w:type="paragraph" w:customStyle="1" w:styleId="427">
    <w:name w:val="xl3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color w:val="FF6600"/>
      <w:sz w:val="20"/>
      <w:szCs w:val="20"/>
    </w:rPr>
  </w:style>
  <w:style w:type="paragraph" w:customStyle="1" w:styleId="428">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429">
    <w:name w:val="三级条标题"/>
    <w:basedOn w:val="423"/>
    <w:next w:val="1"/>
    <w:autoRedefine/>
    <w:qFormat/>
    <w:uiPriority w:val="0"/>
    <w:pPr>
      <w:tabs>
        <w:tab w:val="left" w:pos="2638"/>
        <w:tab w:val="clear" w:pos="2218"/>
      </w:tabs>
      <w:outlineLvl w:val="4"/>
    </w:pPr>
  </w:style>
  <w:style w:type="paragraph" w:customStyle="1" w:styleId="430">
    <w:name w:val="Char Char1"/>
    <w:basedOn w:val="1"/>
    <w:autoRedefine/>
    <w:qFormat/>
    <w:uiPriority w:val="0"/>
    <w:pPr>
      <w:ind w:firstLine="200" w:firstLineChars="200"/>
    </w:pPr>
  </w:style>
  <w:style w:type="paragraph" w:customStyle="1" w:styleId="431">
    <w:name w:val="19"/>
    <w:basedOn w:val="1"/>
    <w:next w:val="3"/>
    <w:autoRedefine/>
    <w:qFormat/>
    <w:uiPriority w:val="0"/>
    <w:pPr>
      <w:spacing w:line="500" w:lineRule="exact"/>
      <w:ind w:firstLine="560" w:firstLineChars="200"/>
    </w:pPr>
    <w:rPr>
      <w:rFonts w:ascii="仿宋_GB2312" w:eastAsia="仿宋_GB2312"/>
      <w:color w:val="FF0000"/>
      <w:sz w:val="28"/>
      <w:szCs w:val="20"/>
    </w:rPr>
  </w:style>
  <w:style w:type="paragraph" w:customStyle="1" w:styleId="432">
    <w:name w:val="xl10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Arial Unicode MS" w:hAnsi="Arial Unicode MS"/>
      <w:color w:val="000000"/>
      <w:sz w:val="18"/>
      <w:szCs w:val="18"/>
    </w:rPr>
  </w:style>
  <w:style w:type="paragraph" w:customStyle="1" w:styleId="433">
    <w:name w:val="四级条标题"/>
    <w:basedOn w:val="429"/>
    <w:next w:val="1"/>
    <w:autoRedefine/>
    <w:qFormat/>
    <w:uiPriority w:val="0"/>
    <w:pPr>
      <w:tabs>
        <w:tab w:val="left" w:pos="3058"/>
        <w:tab w:val="clear" w:pos="2638"/>
      </w:tabs>
      <w:outlineLvl w:val="5"/>
    </w:pPr>
  </w:style>
  <w:style w:type="paragraph" w:customStyle="1" w:styleId="434">
    <w:name w:val="样式 标题 3条 + 两端对齐1"/>
    <w:basedOn w:val="7"/>
    <w:autoRedefine/>
    <w:qFormat/>
    <w:uiPriority w:val="0"/>
    <w:pPr>
      <w:keepNext w:val="0"/>
      <w:keepLines w:val="0"/>
      <w:tabs>
        <w:tab w:val="left" w:pos="290"/>
        <w:tab w:val="left" w:pos="500"/>
        <w:tab w:val="left" w:pos="1130"/>
        <w:tab w:val="left" w:pos="3229"/>
      </w:tabs>
      <w:snapToGrid w:val="0"/>
      <w:spacing w:before="156" w:after="156" w:line="440" w:lineRule="exact"/>
      <w:ind w:left="480" w:hanging="480"/>
    </w:pPr>
    <w:rPr>
      <w:rFonts w:ascii="宋体" w:eastAsia="宋体"/>
      <w:b w:val="0"/>
      <w:bCs w:val="0"/>
      <w:snapToGrid/>
      <w:sz w:val="24"/>
      <w:szCs w:val="20"/>
    </w:rPr>
  </w:style>
  <w:style w:type="paragraph" w:customStyle="1" w:styleId="435">
    <w:name w:val="17"/>
    <w:basedOn w:val="1"/>
    <w:next w:val="51"/>
    <w:autoRedefine/>
    <w:qFormat/>
    <w:uiPriority w:val="0"/>
    <w:pPr>
      <w:spacing w:line="500" w:lineRule="exact"/>
      <w:ind w:firstLine="560" w:firstLineChars="200"/>
    </w:pPr>
    <w:rPr>
      <w:rFonts w:ascii="仿宋_GB2312" w:eastAsia="仿宋_GB2312"/>
      <w:sz w:val="28"/>
      <w:szCs w:val="20"/>
    </w:rPr>
  </w:style>
  <w:style w:type="paragraph" w:customStyle="1" w:styleId="436">
    <w:name w:val="xl11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sz w:val="20"/>
      <w:szCs w:val="20"/>
    </w:rPr>
  </w:style>
  <w:style w:type="paragraph" w:customStyle="1" w:styleId="437">
    <w:name w:val="xl3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color w:val="000000"/>
      <w:sz w:val="20"/>
      <w:szCs w:val="20"/>
    </w:rPr>
  </w:style>
  <w:style w:type="paragraph" w:customStyle="1" w:styleId="438">
    <w:name w:val="xl4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style>
  <w:style w:type="paragraph" w:customStyle="1" w:styleId="439">
    <w:name w:val="封面一致性程度标识"/>
    <w:autoRedefine/>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440">
    <w:name w:val="宏福4"/>
    <w:basedOn w:val="1"/>
    <w:autoRedefine/>
    <w:qFormat/>
    <w:uiPriority w:val="0"/>
    <w:pPr>
      <w:adjustRightInd w:val="0"/>
      <w:spacing w:line="400" w:lineRule="atLeast"/>
      <w:ind w:firstLine="567"/>
      <w:textAlignment w:val="baseline"/>
    </w:pPr>
    <w:rPr>
      <w:sz w:val="28"/>
      <w:szCs w:val="28"/>
    </w:rPr>
  </w:style>
  <w:style w:type="paragraph" w:customStyle="1" w:styleId="441">
    <w:name w:val="表格居中"/>
    <w:basedOn w:val="1"/>
    <w:autoRedefine/>
    <w:qFormat/>
    <w:uiPriority w:val="0"/>
    <w:pPr>
      <w:jc w:val="center"/>
    </w:pPr>
    <w:rPr>
      <w:bCs/>
      <w:snapToGrid w:val="0"/>
      <w:kern w:val="18"/>
      <w:szCs w:val="21"/>
      <w:u w:color="FF0000"/>
    </w:rPr>
  </w:style>
  <w:style w:type="paragraph" w:customStyle="1" w:styleId="442">
    <w:name w:val="8"/>
    <w:basedOn w:val="1"/>
    <w:next w:val="51"/>
    <w:autoRedefine/>
    <w:qFormat/>
    <w:uiPriority w:val="0"/>
    <w:pPr>
      <w:spacing w:line="500" w:lineRule="exact"/>
      <w:ind w:firstLine="560" w:firstLineChars="200"/>
    </w:pPr>
    <w:rPr>
      <w:rFonts w:ascii="仿宋_GB2312" w:eastAsia="仿宋_GB2312"/>
      <w:sz w:val="28"/>
      <w:szCs w:val="20"/>
    </w:rPr>
  </w:style>
  <w:style w:type="paragraph" w:customStyle="1" w:styleId="443">
    <w:name w:val="样式1.....表格"/>
    <w:basedOn w:val="1"/>
    <w:next w:val="1"/>
    <w:autoRedefine/>
    <w:qFormat/>
    <w:uiPriority w:val="0"/>
    <w:pPr>
      <w:jc w:val="center"/>
    </w:pPr>
  </w:style>
  <w:style w:type="paragraph" w:customStyle="1" w:styleId="444">
    <w:name w:val="xl11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b/>
      <w:bCs/>
      <w:sz w:val="20"/>
      <w:szCs w:val="20"/>
    </w:rPr>
  </w:style>
  <w:style w:type="paragraph" w:customStyle="1" w:styleId="445">
    <w:name w:val="gy"/>
    <w:basedOn w:val="1"/>
    <w:autoRedefine/>
    <w:qFormat/>
    <w:uiPriority w:val="0"/>
    <w:pPr>
      <w:spacing w:before="100" w:beforeAutospacing="1" w:after="100" w:afterAutospacing="1" w:line="360" w:lineRule="auto"/>
      <w:ind w:left="150" w:right="150" w:firstLine="520"/>
    </w:pPr>
    <w:rPr>
      <w:rFonts w:ascii="Arial Unicode MS" w:hAnsi="Arial Unicode MS" w:eastAsia="Arial Unicode MS"/>
      <w:sz w:val="18"/>
      <w:szCs w:val="20"/>
    </w:rPr>
  </w:style>
  <w:style w:type="paragraph" w:customStyle="1" w:styleId="446">
    <w:name w:val="表格两端对齐"/>
    <w:basedOn w:val="441"/>
    <w:autoRedefine/>
    <w:qFormat/>
    <w:uiPriority w:val="0"/>
    <w:pPr>
      <w:spacing w:line="360" w:lineRule="auto"/>
    </w:pPr>
  </w:style>
  <w:style w:type="paragraph" w:customStyle="1" w:styleId="447">
    <w:name w:val="7"/>
    <w:basedOn w:val="1"/>
    <w:next w:val="3"/>
    <w:autoRedefine/>
    <w:qFormat/>
    <w:uiPriority w:val="0"/>
    <w:pPr>
      <w:spacing w:line="500" w:lineRule="exact"/>
      <w:ind w:firstLine="560" w:firstLineChars="200"/>
    </w:pPr>
    <w:rPr>
      <w:rFonts w:ascii="仿宋_GB2312" w:eastAsia="仿宋_GB2312"/>
      <w:color w:val="FF0000"/>
      <w:sz w:val="28"/>
      <w:szCs w:val="20"/>
    </w:rPr>
  </w:style>
  <w:style w:type="paragraph" w:customStyle="1" w:styleId="448">
    <w:name w:val="xl11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b/>
      <w:bCs/>
      <w:sz w:val="20"/>
      <w:szCs w:val="20"/>
    </w:rPr>
  </w:style>
  <w:style w:type="paragraph" w:customStyle="1" w:styleId="449">
    <w:name w:val="xl42"/>
    <w:basedOn w:val="1"/>
    <w:autoRedefine/>
    <w:qFormat/>
    <w:uiPriority w:val="0"/>
    <w:pPr>
      <w:spacing w:before="100" w:beforeAutospacing="1" w:after="100" w:afterAutospacing="1"/>
      <w:jc w:val="center"/>
    </w:pPr>
    <w:rPr>
      <w:rFonts w:hint="eastAsia"/>
      <w:sz w:val="28"/>
      <w:szCs w:val="28"/>
    </w:rPr>
  </w:style>
  <w:style w:type="paragraph" w:customStyle="1" w:styleId="450">
    <w:name w:val="表内文字"/>
    <w:basedOn w:val="1"/>
    <w:autoRedefine/>
    <w:qFormat/>
    <w:uiPriority w:val="0"/>
    <w:pPr>
      <w:spacing w:line="400" w:lineRule="exact"/>
    </w:pPr>
    <w:rPr>
      <w:rFonts w:eastAsia="仿宋_GB2312"/>
    </w:rPr>
  </w:style>
  <w:style w:type="paragraph" w:customStyle="1" w:styleId="451">
    <w:name w:val="6"/>
    <w:basedOn w:val="1"/>
    <w:next w:val="3"/>
    <w:autoRedefine/>
    <w:qFormat/>
    <w:uiPriority w:val="0"/>
    <w:pPr>
      <w:spacing w:line="500" w:lineRule="exact"/>
      <w:ind w:firstLine="560" w:firstLineChars="200"/>
    </w:pPr>
    <w:rPr>
      <w:rFonts w:ascii="仿宋_GB2312" w:eastAsia="仿宋_GB2312"/>
      <w:color w:val="FF0000"/>
      <w:sz w:val="28"/>
      <w:szCs w:val="20"/>
    </w:rPr>
  </w:style>
  <w:style w:type="paragraph" w:customStyle="1" w:styleId="452">
    <w:name w:val="xl113"/>
    <w:basedOn w:val="1"/>
    <w:autoRedefine/>
    <w:qFormat/>
    <w:uiPriority w:val="0"/>
    <w:pPr>
      <w:pBdr>
        <w:top w:val="single" w:color="auto" w:sz="4" w:space="0"/>
        <w:left w:val="single" w:color="auto" w:sz="4" w:space="0"/>
        <w:bottom w:val="single" w:color="auto" w:sz="4" w:space="0"/>
      </w:pBdr>
      <w:spacing w:before="100" w:beforeAutospacing="1" w:after="100" w:afterAutospacing="1"/>
      <w:jc w:val="center"/>
      <w:textAlignment w:val="bottom"/>
    </w:pPr>
    <w:rPr>
      <w:rFonts w:ascii="Arial Unicode MS" w:hAnsi="Arial Unicode MS"/>
      <w:color w:val="000000"/>
      <w:sz w:val="18"/>
      <w:szCs w:val="18"/>
    </w:rPr>
  </w:style>
  <w:style w:type="paragraph" w:customStyle="1" w:styleId="453">
    <w:name w:val="xl4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style>
  <w:style w:type="paragraph" w:customStyle="1" w:styleId="454">
    <w:name w:val="xl44"/>
    <w:basedOn w:val="1"/>
    <w:autoRedefine/>
    <w:qFormat/>
    <w:uiPriority w:val="0"/>
    <w:pPr>
      <w:spacing w:before="100" w:beforeAutospacing="1" w:after="100" w:afterAutospacing="1"/>
      <w:jc w:val="center"/>
    </w:pPr>
    <w:rPr>
      <w:rFonts w:hint="eastAsia"/>
      <w:sz w:val="28"/>
      <w:szCs w:val="28"/>
    </w:rPr>
  </w:style>
  <w:style w:type="paragraph" w:customStyle="1" w:styleId="455">
    <w:name w:val="标准书脚_奇数页"/>
    <w:autoRedefine/>
    <w:qFormat/>
    <w:uiPriority w:val="0"/>
    <w:pPr>
      <w:spacing w:before="120"/>
      <w:jc w:val="right"/>
    </w:pPr>
    <w:rPr>
      <w:rFonts w:ascii="Times New Roman" w:hAnsi="Times New Roman" w:eastAsia="宋体" w:cs="Times New Roman"/>
      <w:sz w:val="18"/>
      <w:lang w:val="en-US" w:eastAsia="zh-CN" w:bidi="ar-SA"/>
    </w:rPr>
  </w:style>
  <w:style w:type="paragraph" w:customStyle="1" w:styleId="456">
    <w:name w:val="正文首行缩进 Char Char"/>
    <w:basedOn w:val="1"/>
    <w:autoRedefine/>
    <w:qFormat/>
    <w:uiPriority w:val="0"/>
    <w:pPr>
      <w:spacing w:line="606" w:lineRule="atLeast"/>
      <w:ind w:firstLine="538"/>
    </w:pPr>
    <w:rPr>
      <w:rFonts w:hint="eastAsia"/>
      <w:szCs w:val="20"/>
    </w:rPr>
  </w:style>
  <w:style w:type="paragraph" w:customStyle="1" w:styleId="457">
    <w:name w:val="Date1"/>
    <w:basedOn w:val="1"/>
    <w:next w:val="1"/>
    <w:autoRedefine/>
    <w:qFormat/>
    <w:uiPriority w:val="0"/>
    <w:pPr>
      <w:adjustRightInd w:val="0"/>
      <w:spacing w:line="500" w:lineRule="exact"/>
      <w:textAlignment w:val="baseline"/>
    </w:pPr>
    <w:rPr>
      <w:rFonts w:eastAsia="仿宋_GB2312"/>
      <w:sz w:val="28"/>
      <w:szCs w:val="20"/>
    </w:rPr>
  </w:style>
  <w:style w:type="paragraph" w:customStyle="1" w:styleId="458">
    <w:name w:val="xl98"/>
    <w:basedOn w:val="1"/>
    <w:autoRedefine/>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bottom"/>
    </w:pPr>
    <w:rPr>
      <w:rFonts w:ascii="Arial Unicode MS" w:hAnsi="Arial Unicode MS"/>
      <w:b/>
      <w:bCs/>
      <w:sz w:val="18"/>
      <w:szCs w:val="18"/>
    </w:rPr>
  </w:style>
  <w:style w:type="paragraph" w:customStyle="1" w:styleId="459">
    <w:name w:val="gb1"/>
    <w:basedOn w:val="1"/>
    <w:autoRedefine/>
    <w:qFormat/>
    <w:uiPriority w:val="0"/>
    <w:pPr>
      <w:tabs>
        <w:tab w:val="left" w:pos="227"/>
      </w:tabs>
      <w:overflowPunct w:val="0"/>
      <w:autoSpaceDE w:val="0"/>
      <w:autoSpaceDN w:val="0"/>
      <w:adjustRightInd w:val="0"/>
      <w:spacing w:before="120" w:after="120"/>
      <w:textAlignment w:val="baseline"/>
    </w:pPr>
    <w:rPr>
      <w:rFonts w:ascii="Arial" w:hAnsi="Arial" w:eastAsia="仿宋体"/>
      <w:szCs w:val="20"/>
    </w:rPr>
  </w:style>
  <w:style w:type="paragraph" w:customStyle="1" w:styleId="460">
    <w:name w:val="附录二级条标题"/>
    <w:basedOn w:val="461"/>
    <w:next w:val="260"/>
    <w:autoRedefine/>
    <w:qFormat/>
    <w:uiPriority w:val="0"/>
    <w:pPr>
      <w:outlineLvl w:val="3"/>
    </w:pPr>
  </w:style>
  <w:style w:type="paragraph" w:customStyle="1" w:styleId="461">
    <w:name w:val="附录一级条标题"/>
    <w:basedOn w:val="462"/>
    <w:next w:val="260"/>
    <w:autoRedefine/>
    <w:qFormat/>
    <w:uiPriority w:val="0"/>
    <w:pPr>
      <w:autoSpaceDN w:val="0"/>
      <w:spacing w:beforeLines="0" w:afterLines="0"/>
      <w:outlineLvl w:val="2"/>
    </w:pPr>
  </w:style>
  <w:style w:type="paragraph" w:customStyle="1" w:styleId="462">
    <w:name w:val="附录章标题"/>
    <w:next w:val="260"/>
    <w:autoRedefine/>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463">
    <w:name w:val="表居中（中文）"/>
    <w:basedOn w:val="1"/>
    <w:autoRedefine/>
    <w:qFormat/>
    <w:uiPriority w:val="0"/>
    <w:pPr>
      <w:adjustRightInd w:val="0"/>
      <w:spacing w:line="380" w:lineRule="atLeast"/>
      <w:jc w:val="center"/>
      <w:textAlignment w:val="baseline"/>
    </w:pPr>
    <w:rPr>
      <w:rFonts w:eastAsia="楷体_GB2312"/>
      <w:szCs w:val="20"/>
    </w:rPr>
  </w:style>
  <w:style w:type="paragraph" w:customStyle="1" w:styleId="464">
    <w:name w:val="表蕊居中"/>
    <w:basedOn w:val="465"/>
    <w:autoRedefine/>
    <w:qFormat/>
    <w:uiPriority w:val="0"/>
    <w:pPr>
      <w:adjustRightInd w:val="0"/>
      <w:jc w:val="center"/>
      <w:textAlignment w:val="baseline"/>
    </w:pPr>
    <w:rPr>
      <w:rFonts w:ascii="Times New Roman" w:eastAsia="楷体_GB2312"/>
      <w:sz w:val="21"/>
      <w:szCs w:val="21"/>
    </w:rPr>
  </w:style>
  <w:style w:type="paragraph" w:customStyle="1" w:styleId="465">
    <w:name w:val="表蕊"/>
    <w:basedOn w:val="1"/>
    <w:autoRedefine/>
    <w:qFormat/>
    <w:uiPriority w:val="0"/>
    <w:pPr>
      <w:spacing w:line="280" w:lineRule="atLeast"/>
    </w:pPr>
    <w:rPr>
      <w:rFonts w:eastAsia="仿宋_GB2312"/>
      <w:spacing w:val="-10"/>
      <w:sz w:val="28"/>
      <w:szCs w:val="20"/>
    </w:rPr>
  </w:style>
  <w:style w:type="paragraph" w:customStyle="1" w:styleId="466">
    <w:name w:val="样式 正文文本缩进正文文字缩进 + 四号 首行缩进:  2 字符 行距: 最小值 25 磅"/>
    <w:basedOn w:val="3"/>
    <w:autoRedefine/>
    <w:qFormat/>
    <w:uiPriority w:val="0"/>
    <w:pPr>
      <w:spacing w:line="500" w:lineRule="exact"/>
      <w:ind w:firstLine="200"/>
    </w:pPr>
    <w:rPr>
      <w:szCs w:val="20"/>
    </w:rPr>
  </w:style>
  <w:style w:type="paragraph" w:customStyle="1" w:styleId="467">
    <w:name w:val="14"/>
    <w:basedOn w:val="1"/>
    <w:next w:val="3"/>
    <w:autoRedefine/>
    <w:qFormat/>
    <w:uiPriority w:val="0"/>
    <w:pPr>
      <w:spacing w:line="500" w:lineRule="exact"/>
      <w:ind w:firstLine="560" w:firstLineChars="200"/>
    </w:pPr>
    <w:rPr>
      <w:rFonts w:ascii="仿宋_GB2312" w:eastAsia="仿宋_GB2312"/>
      <w:color w:val="FF0000"/>
      <w:sz w:val="28"/>
      <w:szCs w:val="20"/>
    </w:rPr>
  </w:style>
  <w:style w:type="paragraph" w:customStyle="1" w:styleId="468">
    <w:name w:val="Plain Text1"/>
    <w:basedOn w:val="1"/>
    <w:autoRedefine/>
    <w:qFormat/>
    <w:uiPriority w:val="0"/>
    <w:pPr>
      <w:adjustRightInd w:val="0"/>
      <w:spacing w:line="500" w:lineRule="exact"/>
      <w:textAlignment w:val="baseline"/>
    </w:pPr>
    <w:rPr>
      <w:rFonts w:hAnsi="Courier New" w:eastAsia="仿宋_GB2312"/>
      <w:sz w:val="28"/>
      <w:szCs w:val="20"/>
    </w:rPr>
  </w:style>
  <w:style w:type="paragraph" w:customStyle="1" w:styleId="469">
    <w:name w:val="xl11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bottom"/>
    </w:pPr>
    <w:rPr>
      <w:rFonts w:ascii="Arial" w:hAnsi="Arial" w:cs="Arial"/>
      <w:sz w:val="18"/>
      <w:szCs w:val="18"/>
    </w:rPr>
  </w:style>
  <w:style w:type="paragraph" w:customStyle="1" w:styleId="470">
    <w:name w:val="wg"/>
    <w:basedOn w:val="1"/>
    <w:autoRedefine/>
    <w:qFormat/>
    <w:uiPriority w:val="0"/>
    <w:rPr>
      <w:sz w:val="28"/>
      <w:szCs w:val="20"/>
    </w:rPr>
  </w:style>
  <w:style w:type="paragraph" w:customStyle="1" w:styleId="471">
    <w:name w:val="样式 样式 标题 4 + 黑色 左侧:  -0.01 厘米 首行缩进:  0.01 厘米 + 左侧:  0 厘米 首行缩进: ..."/>
    <w:basedOn w:val="472"/>
    <w:autoRedefine/>
    <w:qFormat/>
    <w:uiPriority w:val="0"/>
    <w:pPr>
      <w:tabs>
        <w:tab w:val="left" w:pos="2160"/>
      </w:tabs>
    </w:pPr>
  </w:style>
  <w:style w:type="paragraph" w:customStyle="1" w:styleId="472">
    <w:name w:val="样式 标题 4 + 黑色 左侧:  -0.01 厘米 首行缩进:  0.01 厘米"/>
    <w:basedOn w:val="8"/>
    <w:autoRedefine/>
    <w:qFormat/>
    <w:uiPriority w:val="0"/>
    <w:pPr>
      <w:keepLines/>
      <w:tabs>
        <w:tab w:val="left" w:pos="2160"/>
      </w:tabs>
      <w:spacing w:beforeLines="50" w:line="312" w:lineRule="auto"/>
      <w:ind w:left="2160" w:hanging="420"/>
      <w:jc w:val="both"/>
    </w:pPr>
    <w:rPr>
      <w:rFonts w:hAnsi="Arial"/>
      <w:b w:val="0"/>
      <w:bCs w:val="0"/>
      <w:snapToGrid/>
      <w:color w:val="000000"/>
      <w:kern w:val="2"/>
      <w:sz w:val="28"/>
    </w:rPr>
  </w:style>
  <w:style w:type="paragraph" w:customStyle="1" w:styleId="473">
    <w:name w:val="13"/>
    <w:basedOn w:val="1"/>
    <w:next w:val="3"/>
    <w:autoRedefine/>
    <w:qFormat/>
    <w:uiPriority w:val="0"/>
    <w:pPr>
      <w:spacing w:line="500" w:lineRule="exact"/>
      <w:ind w:firstLine="560" w:firstLineChars="200"/>
    </w:pPr>
    <w:rPr>
      <w:rFonts w:ascii="仿宋_GB2312" w:eastAsia="仿宋_GB2312"/>
      <w:color w:val="FF0000"/>
      <w:sz w:val="28"/>
      <w:szCs w:val="20"/>
    </w:rPr>
  </w:style>
  <w:style w:type="paragraph" w:customStyle="1" w:styleId="474">
    <w:name w:val="Body Text 21"/>
    <w:basedOn w:val="1"/>
    <w:autoRedefine/>
    <w:qFormat/>
    <w:uiPriority w:val="0"/>
    <w:pPr>
      <w:adjustRightInd w:val="0"/>
      <w:spacing w:line="500" w:lineRule="exact"/>
      <w:textAlignment w:val="baseline"/>
    </w:pPr>
    <w:rPr>
      <w:rFonts w:eastAsia="仿宋体"/>
      <w:szCs w:val="20"/>
    </w:rPr>
  </w:style>
  <w:style w:type="paragraph" w:customStyle="1" w:styleId="475">
    <w:name w:val="xl119"/>
    <w:basedOn w:val="1"/>
    <w:autoRedefine/>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bottom"/>
    </w:pPr>
    <w:rPr>
      <w:sz w:val="20"/>
      <w:szCs w:val="20"/>
    </w:rPr>
  </w:style>
  <w:style w:type="paragraph" w:customStyle="1" w:styleId="476">
    <w:name w:val="xl86"/>
    <w:basedOn w:val="1"/>
    <w:autoRedefine/>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bottom"/>
    </w:pPr>
    <w:rPr>
      <w:rFonts w:ascii="Arial Unicode MS" w:hAnsi="Arial Unicode MS"/>
      <w:sz w:val="20"/>
      <w:szCs w:val="20"/>
    </w:rPr>
  </w:style>
  <w:style w:type="paragraph" w:customStyle="1" w:styleId="477">
    <w:name w:val="默认段落字体 Para Char"/>
    <w:basedOn w:val="1"/>
    <w:autoRedefine/>
    <w:qFormat/>
    <w:uiPriority w:val="0"/>
  </w:style>
  <w:style w:type="paragraph" w:customStyle="1" w:styleId="478">
    <w:name w:val="样式 样式 正文文本缩进正文文字缩进 + 行距: 单倍行距 + 首行缩进:  2 字符"/>
    <w:basedOn w:val="479"/>
    <w:autoRedefine/>
    <w:qFormat/>
    <w:uiPriority w:val="0"/>
    <w:pPr>
      <w:spacing w:line="500" w:lineRule="exact"/>
      <w:ind w:firstLine="200"/>
    </w:pPr>
  </w:style>
  <w:style w:type="paragraph" w:customStyle="1" w:styleId="479">
    <w:name w:val="样式 正文文本缩进正文文字缩进 + 行距: 单倍行距"/>
    <w:basedOn w:val="3"/>
    <w:autoRedefine/>
    <w:qFormat/>
    <w:uiPriority w:val="0"/>
    <w:pPr>
      <w:ind w:firstLine="480"/>
    </w:pPr>
    <w:rPr>
      <w:szCs w:val="20"/>
    </w:rPr>
  </w:style>
  <w:style w:type="paragraph" w:customStyle="1" w:styleId="480">
    <w:name w:val="12"/>
    <w:basedOn w:val="1"/>
    <w:next w:val="3"/>
    <w:autoRedefine/>
    <w:qFormat/>
    <w:uiPriority w:val="0"/>
    <w:pPr>
      <w:spacing w:line="500" w:lineRule="exact"/>
      <w:ind w:firstLine="560" w:firstLineChars="200"/>
    </w:pPr>
    <w:rPr>
      <w:rFonts w:ascii="仿宋_GB2312" w:eastAsia="仿宋_GB2312"/>
      <w:color w:val="FF0000"/>
      <w:sz w:val="28"/>
      <w:szCs w:val="20"/>
    </w:rPr>
  </w:style>
  <w:style w:type="paragraph" w:customStyle="1" w:styleId="481">
    <w:name w:val="表题"/>
    <w:basedOn w:val="47"/>
    <w:autoRedefine/>
    <w:qFormat/>
    <w:uiPriority w:val="0"/>
    <w:pPr>
      <w:widowControl w:val="0"/>
      <w:overflowPunct/>
      <w:autoSpaceDE/>
      <w:autoSpaceDN/>
      <w:adjustRightInd/>
      <w:spacing w:beforeLines="50" w:line="480" w:lineRule="exact"/>
      <w:textAlignment w:val="auto"/>
    </w:pPr>
    <w:rPr>
      <w:rFonts w:eastAsia="黑体"/>
      <w:kern w:val="2"/>
      <w:sz w:val="28"/>
      <w:szCs w:val="24"/>
      <w:lang w:val="en-US"/>
    </w:rPr>
  </w:style>
  <w:style w:type="paragraph" w:customStyle="1" w:styleId="482">
    <w:name w:val="xl87"/>
    <w:basedOn w:val="1"/>
    <w:autoRedefine/>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bottom"/>
    </w:pPr>
    <w:rPr>
      <w:rFonts w:ascii="Arial Unicode MS" w:hAnsi="Arial Unicode MS"/>
      <w:sz w:val="20"/>
      <w:szCs w:val="20"/>
    </w:rPr>
  </w:style>
  <w:style w:type="paragraph" w:customStyle="1" w:styleId="483">
    <w:name w:val="xl52"/>
    <w:basedOn w:val="1"/>
    <w:autoRedefine/>
    <w:qFormat/>
    <w:uiPriority w:val="0"/>
    <w:pPr>
      <w:shd w:val="clear" w:color="auto" w:fill="FFFFFF"/>
      <w:spacing w:before="100" w:beforeAutospacing="1" w:after="100" w:afterAutospacing="1"/>
      <w:textAlignment w:val="center"/>
    </w:pPr>
    <w:rPr>
      <w:rFonts w:ascii="Arial Unicode MS" w:hAnsi="Arial Unicode MS" w:eastAsia="Arial Unicode MS"/>
      <w:sz w:val="28"/>
      <w:szCs w:val="28"/>
    </w:rPr>
  </w:style>
  <w:style w:type="paragraph" w:customStyle="1" w:styleId="484">
    <w:name w:val="10"/>
    <w:basedOn w:val="1"/>
    <w:next w:val="3"/>
    <w:autoRedefine/>
    <w:qFormat/>
    <w:uiPriority w:val="0"/>
    <w:pPr>
      <w:spacing w:line="500" w:lineRule="exact"/>
      <w:ind w:firstLine="560" w:firstLineChars="200"/>
    </w:pPr>
    <w:rPr>
      <w:rFonts w:ascii="仿宋_GB2312" w:eastAsia="仿宋_GB2312"/>
      <w:color w:val="FF0000"/>
      <w:sz w:val="28"/>
      <w:szCs w:val="20"/>
    </w:rPr>
  </w:style>
  <w:style w:type="paragraph" w:customStyle="1" w:styleId="485">
    <w:name w:val="xl8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Arial Unicode MS" w:hAnsi="Arial Unicode MS"/>
      <w:sz w:val="20"/>
      <w:szCs w:val="20"/>
    </w:rPr>
  </w:style>
  <w:style w:type="paragraph" w:customStyle="1" w:styleId="486">
    <w:name w:val="样式 纯文本 + 首行缩进:  2 字符 Char Char Char Char Char Char Char Char Char Char Char Char Char Char Char Char Char Char Char Char Char Char Char Char Char Char"/>
    <w:basedOn w:val="34"/>
    <w:autoRedefine/>
    <w:qFormat/>
    <w:uiPriority w:val="0"/>
    <w:pPr>
      <w:spacing w:line="360" w:lineRule="auto"/>
    </w:pPr>
  </w:style>
  <w:style w:type="paragraph" w:customStyle="1" w:styleId="487">
    <w:name w:val="xl51"/>
    <w:basedOn w:val="1"/>
    <w:autoRedefine/>
    <w:qFormat/>
    <w:uiPriority w:val="0"/>
    <w:pPr>
      <w:shd w:val="clear" w:color="auto" w:fill="FFFFFF"/>
      <w:spacing w:before="100" w:beforeAutospacing="1" w:after="100" w:afterAutospacing="1"/>
      <w:jc w:val="center"/>
      <w:textAlignment w:val="center"/>
    </w:pPr>
    <w:rPr>
      <w:rFonts w:ascii="Arial Unicode MS" w:hAnsi="Arial Unicode MS" w:eastAsia="Arial Unicode MS"/>
      <w:sz w:val="28"/>
      <w:szCs w:val="28"/>
    </w:rPr>
  </w:style>
  <w:style w:type="paragraph" w:customStyle="1" w:styleId="488">
    <w:name w:val="4"/>
    <w:basedOn w:val="1"/>
    <w:next w:val="51"/>
    <w:autoRedefine/>
    <w:qFormat/>
    <w:uiPriority w:val="0"/>
    <w:pPr>
      <w:spacing w:line="500" w:lineRule="exact"/>
      <w:ind w:firstLine="560" w:firstLineChars="200"/>
    </w:pPr>
    <w:rPr>
      <w:rFonts w:ascii="仿宋_GB2312" w:eastAsia="仿宋_GB2312"/>
      <w:sz w:val="28"/>
      <w:szCs w:val="20"/>
    </w:rPr>
  </w:style>
  <w:style w:type="paragraph" w:customStyle="1" w:styleId="489">
    <w:name w:val="xl8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Arial" w:hAnsi="Arial" w:cs="Arial"/>
      <w:sz w:val="20"/>
      <w:szCs w:val="20"/>
    </w:rPr>
  </w:style>
  <w:style w:type="paragraph" w:customStyle="1" w:styleId="490">
    <w:name w:val="xl50"/>
    <w:basedOn w:val="1"/>
    <w:autoRedefine/>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center"/>
    </w:pPr>
    <w:rPr>
      <w:rFonts w:eastAsia="Arial Unicode MS"/>
    </w:rPr>
  </w:style>
  <w:style w:type="paragraph" w:customStyle="1" w:styleId="491">
    <w:name w:val="正文居中"/>
    <w:basedOn w:val="1"/>
    <w:next w:val="1"/>
    <w:autoRedefine/>
    <w:qFormat/>
    <w:uiPriority w:val="0"/>
    <w:pPr>
      <w:spacing w:line="320" w:lineRule="atLeast"/>
    </w:pPr>
    <w:rPr>
      <w:color w:val="000000"/>
      <w:szCs w:val="21"/>
    </w:rPr>
  </w:style>
  <w:style w:type="paragraph" w:customStyle="1" w:styleId="492">
    <w:name w:val="xl90"/>
    <w:basedOn w:val="1"/>
    <w:autoRedefine/>
    <w:qFormat/>
    <w:uiPriority w:val="0"/>
    <w:pPr>
      <w:pBdr>
        <w:top w:val="single" w:color="auto" w:sz="4" w:space="0"/>
        <w:left w:val="single" w:color="auto" w:sz="4" w:space="0"/>
        <w:bottom w:val="single" w:color="auto" w:sz="4" w:space="0"/>
      </w:pBdr>
      <w:spacing w:before="100" w:beforeAutospacing="1" w:after="100" w:afterAutospacing="1"/>
      <w:textAlignment w:val="bottom"/>
    </w:pPr>
    <w:rPr>
      <w:rFonts w:ascii="Arial" w:hAnsi="Arial" w:cs="Arial"/>
      <w:sz w:val="20"/>
      <w:szCs w:val="20"/>
    </w:rPr>
  </w:style>
  <w:style w:type="paragraph" w:customStyle="1" w:styleId="493">
    <w:name w:val="xl91"/>
    <w:basedOn w:val="1"/>
    <w:autoRedefine/>
    <w:qFormat/>
    <w:uiPriority w:val="0"/>
    <w:pPr>
      <w:pBdr>
        <w:top w:val="single" w:color="auto" w:sz="4" w:space="0"/>
        <w:left w:val="single" w:color="auto" w:sz="4" w:space="0"/>
        <w:bottom w:val="single" w:color="auto" w:sz="4" w:space="0"/>
        <w:right w:val="single" w:color="auto" w:sz="4" w:space="0"/>
      </w:pBdr>
      <w:shd w:val="clear" w:color="auto" w:fill="CCFFFF"/>
      <w:spacing w:before="100" w:beforeAutospacing="1" w:after="100" w:afterAutospacing="1"/>
      <w:jc w:val="center"/>
      <w:textAlignment w:val="bottom"/>
    </w:pPr>
    <w:rPr>
      <w:rFonts w:ascii="Arial Unicode MS" w:hAnsi="Arial Unicode MS"/>
      <w:sz w:val="20"/>
      <w:szCs w:val="20"/>
    </w:rPr>
  </w:style>
  <w:style w:type="paragraph" w:customStyle="1" w:styleId="494">
    <w:name w:val="样式 列表 2 + 宋体 小四 行距: 固定值 19 磅"/>
    <w:basedOn w:val="28"/>
    <w:autoRedefine/>
    <w:qFormat/>
    <w:uiPriority w:val="0"/>
    <w:pPr>
      <w:spacing w:line="400" w:lineRule="exact"/>
    </w:pPr>
    <w:rPr>
      <w:rFonts w:ascii="宋体" w:eastAsia="宋体"/>
      <w:sz w:val="24"/>
    </w:rPr>
  </w:style>
  <w:style w:type="paragraph" w:customStyle="1" w:styleId="495">
    <w:name w:val="xl92"/>
    <w:basedOn w:val="1"/>
    <w:autoRedefine/>
    <w:qFormat/>
    <w:uiPriority w:val="0"/>
    <w:pPr>
      <w:pBdr>
        <w:top w:val="single" w:color="auto" w:sz="4" w:space="0"/>
        <w:left w:val="single" w:color="auto" w:sz="4" w:space="0"/>
        <w:bottom w:val="single" w:color="auto" w:sz="4" w:space="0"/>
      </w:pBdr>
      <w:shd w:val="clear" w:color="auto" w:fill="CCFFFF"/>
      <w:spacing w:before="100" w:beforeAutospacing="1" w:after="100" w:afterAutospacing="1"/>
      <w:textAlignment w:val="bottom"/>
    </w:pPr>
    <w:rPr>
      <w:rFonts w:ascii="Arial Unicode MS" w:hAnsi="Arial Unicode MS"/>
      <w:sz w:val="20"/>
      <w:szCs w:val="20"/>
    </w:rPr>
  </w:style>
  <w:style w:type="paragraph" w:customStyle="1" w:styleId="496">
    <w:name w:val="日期 Char Char"/>
    <w:basedOn w:val="1"/>
    <w:next w:val="1"/>
    <w:autoRedefine/>
    <w:qFormat/>
    <w:uiPriority w:val="0"/>
    <w:pPr>
      <w:spacing w:line="351" w:lineRule="atLeast"/>
      <w:ind w:firstLine="419"/>
    </w:pPr>
    <w:rPr>
      <w:rFonts w:hint="eastAsia" w:eastAsia="仿宋_GB2312"/>
      <w:sz w:val="31"/>
      <w:szCs w:val="20"/>
    </w:rPr>
  </w:style>
  <w:style w:type="paragraph" w:customStyle="1" w:styleId="497">
    <w:name w:val="标题33"/>
    <w:basedOn w:val="37"/>
    <w:next w:val="7"/>
    <w:autoRedefine/>
    <w:qFormat/>
    <w:uiPriority w:val="0"/>
    <w:pPr>
      <w:spacing w:line="500" w:lineRule="exact"/>
      <w:ind w:firstLine="0" w:firstLineChars="0"/>
    </w:pPr>
    <w:rPr>
      <w:rFonts w:ascii="仿宋_GB2312" w:hAnsi="仿宋_GB2312" w:eastAsia="仿宋_GB2312"/>
      <w:color w:val="000000"/>
      <w:sz w:val="28"/>
    </w:rPr>
  </w:style>
  <w:style w:type="paragraph" w:customStyle="1" w:styleId="498">
    <w:name w:val="xl93"/>
    <w:basedOn w:val="1"/>
    <w:autoRedefine/>
    <w:qFormat/>
    <w:uiPriority w:val="0"/>
    <w:pPr>
      <w:pBdr>
        <w:top w:val="single" w:color="auto" w:sz="4" w:space="0"/>
        <w:left w:val="single" w:color="auto" w:sz="4" w:space="0"/>
        <w:bottom w:val="single" w:color="auto" w:sz="4" w:space="0"/>
        <w:right w:val="single" w:color="auto" w:sz="4" w:space="0"/>
      </w:pBdr>
      <w:shd w:val="clear" w:color="auto" w:fill="CCFFFF"/>
      <w:spacing w:before="100" w:beforeAutospacing="1" w:after="100" w:afterAutospacing="1"/>
      <w:jc w:val="center"/>
      <w:textAlignment w:val="bottom"/>
    </w:pPr>
    <w:rPr>
      <w:sz w:val="20"/>
      <w:szCs w:val="20"/>
    </w:rPr>
  </w:style>
  <w:style w:type="paragraph" w:customStyle="1" w:styleId="499">
    <w:name w:val="基准页眉样式"/>
    <w:basedOn w:val="25"/>
    <w:autoRedefine/>
    <w:qFormat/>
    <w:uiPriority w:val="0"/>
    <w:pPr>
      <w:spacing w:line="332" w:lineRule="exact"/>
      <w:jc w:val="center"/>
    </w:pPr>
    <w:rPr>
      <w:color w:val="000000"/>
      <w:sz w:val="21"/>
      <w:szCs w:val="21"/>
    </w:rPr>
  </w:style>
  <w:style w:type="paragraph" w:customStyle="1" w:styleId="500">
    <w:name w:val="小四宋居中1.0"/>
    <w:basedOn w:val="1"/>
    <w:next w:val="1"/>
    <w:autoRedefine/>
    <w:qFormat/>
    <w:uiPriority w:val="0"/>
    <w:pPr>
      <w:adjustRightInd w:val="0"/>
      <w:jc w:val="center"/>
      <w:textAlignment w:val="baseline"/>
    </w:pPr>
    <w:rPr>
      <w:rFonts w:ascii="仿宋_GB2312"/>
      <w:szCs w:val="20"/>
    </w:rPr>
  </w:style>
  <w:style w:type="paragraph" w:customStyle="1" w:styleId="501">
    <w:name w:val="xl94"/>
    <w:basedOn w:val="1"/>
    <w:autoRedefine/>
    <w:qFormat/>
    <w:uiPriority w:val="0"/>
    <w:pPr>
      <w:pBdr>
        <w:top w:val="single" w:color="auto" w:sz="4" w:space="0"/>
        <w:left w:val="single" w:color="auto" w:sz="4" w:space="0"/>
        <w:bottom w:val="single" w:color="auto" w:sz="4" w:space="0"/>
      </w:pBdr>
      <w:spacing w:before="100" w:beforeAutospacing="1" w:after="100" w:afterAutospacing="1"/>
      <w:jc w:val="center"/>
      <w:textAlignment w:val="bottom"/>
    </w:pPr>
    <w:rPr>
      <w:rFonts w:ascii="Arial Unicode MS" w:hAnsi="Arial Unicode MS"/>
      <w:sz w:val="20"/>
      <w:szCs w:val="20"/>
    </w:rPr>
  </w:style>
  <w:style w:type="paragraph" w:customStyle="1" w:styleId="502">
    <w:name w:val="xl9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sz w:val="20"/>
      <w:szCs w:val="20"/>
    </w:rPr>
  </w:style>
  <w:style w:type="paragraph" w:customStyle="1" w:styleId="503">
    <w:name w:val="样式 正文文本 + 小四 黑色 首行缩进:  0.92 厘米 段后: 0 磅 行距: 1.5 倍行距"/>
    <w:basedOn w:val="25"/>
    <w:autoRedefine/>
    <w:qFormat/>
    <w:uiPriority w:val="0"/>
    <w:pPr>
      <w:spacing w:line="360" w:lineRule="auto"/>
      <w:ind w:firstLine="522"/>
    </w:pPr>
    <w:rPr>
      <w:rFonts w:ascii="Times New Roman" w:hAnsi="Times New Roman"/>
      <w:color w:val="000000"/>
      <w:szCs w:val="20"/>
    </w:rPr>
  </w:style>
  <w:style w:type="paragraph" w:customStyle="1" w:styleId="504">
    <w:name w:val="xl23"/>
    <w:basedOn w:val="1"/>
    <w:autoRedefine/>
    <w:qFormat/>
    <w:uiPriority w:val="0"/>
    <w:pPr>
      <w:pBdr>
        <w:left w:val="single" w:color="auto" w:sz="4" w:space="0"/>
        <w:bottom w:val="single" w:color="auto" w:sz="4" w:space="0"/>
        <w:right w:val="single" w:color="auto" w:sz="4" w:space="0"/>
      </w:pBdr>
      <w:spacing w:before="100" w:beforeAutospacing="1" w:after="100" w:afterAutospacing="1" w:line="500" w:lineRule="exact"/>
      <w:jc w:val="center"/>
      <w:textAlignment w:val="center"/>
    </w:pPr>
    <w:rPr>
      <w:rFonts w:ascii="Arial Unicode MS" w:hAnsi="Arial Unicode MS" w:eastAsia="Arial Unicode MS"/>
    </w:rPr>
  </w:style>
  <w:style w:type="paragraph" w:customStyle="1" w:styleId="505">
    <w:name w:val="xl9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sz w:val="20"/>
      <w:szCs w:val="20"/>
    </w:rPr>
  </w:style>
  <w:style w:type="paragraph" w:customStyle="1" w:styleId="506">
    <w:name w:val="注解"/>
    <w:autoRedefine/>
    <w:qFormat/>
    <w:uiPriority w:val="0"/>
    <w:pPr>
      <w:widowControl w:val="0"/>
      <w:autoSpaceDE w:val="0"/>
      <w:autoSpaceDN w:val="0"/>
      <w:adjustRightInd w:val="0"/>
      <w:jc w:val="center"/>
    </w:pPr>
    <w:rPr>
      <w:rFonts w:ascii="宋体" w:hAnsi="Arial Black" w:eastAsia="宋体" w:cs="Times New Roman"/>
      <w:kern w:val="2"/>
      <w:sz w:val="21"/>
      <w:lang w:val="en-US" w:eastAsia="zh-CN" w:bidi="ar-SA"/>
    </w:rPr>
  </w:style>
  <w:style w:type="paragraph" w:customStyle="1" w:styleId="507">
    <w:name w:val="样式 标题 2节标题 1.1H2（一）Underrubrik1prop2Heading 2 HiddenHeadi..."/>
    <w:basedOn w:val="6"/>
    <w:autoRedefine/>
    <w:qFormat/>
    <w:uiPriority w:val="0"/>
    <w:pPr>
      <w:spacing w:before="120" w:after="120" w:line="240" w:lineRule="auto"/>
    </w:pPr>
    <w:rPr>
      <w:rFonts w:ascii="宋体" w:eastAsia="宋体"/>
      <w:kern w:val="2"/>
      <w:szCs w:val="20"/>
    </w:rPr>
  </w:style>
  <w:style w:type="paragraph" w:customStyle="1" w:styleId="508">
    <w:name w:val="5"/>
    <w:basedOn w:val="1"/>
    <w:next w:val="3"/>
    <w:autoRedefine/>
    <w:qFormat/>
    <w:uiPriority w:val="0"/>
    <w:pPr>
      <w:spacing w:line="500" w:lineRule="exact"/>
      <w:ind w:firstLine="560" w:firstLineChars="200"/>
    </w:pPr>
    <w:rPr>
      <w:rFonts w:ascii="仿宋_GB2312" w:eastAsia="仿宋_GB2312"/>
      <w:color w:val="FF0000"/>
      <w:sz w:val="28"/>
      <w:szCs w:val="20"/>
    </w:rPr>
  </w:style>
  <w:style w:type="paragraph" w:customStyle="1" w:styleId="509">
    <w:name w:val="表题格式"/>
    <w:basedOn w:val="1"/>
    <w:autoRedefine/>
    <w:qFormat/>
    <w:uiPriority w:val="0"/>
    <w:pPr>
      <w:spacing w:line="440" w:lineRule="exact"/>
      <w:ind w:firstLine="377" w:firstLineChars="377"/>
    </w:pPr>
    <w:rPr>
      <w:rFonts w:eastAsia="黑体"/>
      <w:szCs w:val="20"/>
    </w:rPr>
  </w:style>
  <w:style w:type="paragraph" w:customStyle="1" w:styleId="510">
    <w:name w:val="xl114"/>
    <w:basedOn w:val="1"/>
    <w:autoRedefine/>
    <w:qFormat/>
    <w:uiPriority w:val="0"/>
    <w:pPr>
      <w:pBdr>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sz w:val="20"/>
      <w:szCs w:val="20"/>
    </w:rPr>
  </w:style>
  <w:style w:type="paragraph" w:customStyle="1" w:styleId="511">
    <w:name w:val="二级无标题条"/>
    <w:basedOn w:val="1"/>
    <w:autoRedefine/>
    <w:qFormat/>
    <w:uiPriority w:val="0"/>
  </w:style>
  <w:style w:type="paragraph" w:customStyle="1" w:styleId="512">
    <w:name w:val="正文缩进1"/>
    <w:basedOn w:val="1"/>
    <w:autoRedefine/>
    <w:qFormat/>
    <w:uiPriority w:val="0"/>
    <w:pPr>
      <w:ind w:firstLine="420" w:firstLineChars="200"/>
    </w:pPr>
    <w:rPr>
      <w:rFonts w:hint="eastAsia"/>
      <w:szCs w:val="20"/>
    </w:rPr>
  </w:style>
  <w:style w:type="paragraph" w:customStyle="1" w:styleId="513">
    <w:name w:val="样式 仿宋_GB2312 小四 居中 行距: 最小值 12 磅"/>
    <w:basedOn w:val="1"/>
    <w:autoRedefine/>
    <w:qFormat/>
    <w:uiPriority w:val="0"/>
    <w:pPr>
      <w:spacing w:line="400" w:lineRule="exact"/>
      <w:jc w:val="center"/>
    </w:pPr>
    <w:rPr>
      <w:rFonts w:ascii="仿宋_GB2312"/>
      <w:szCs w:val="20"/>
    </w:rPr>
  </w:style>
  <w:style w:type="paragraph" w:customStyle="1" w:styleId="514">
    <w:name w:val="16"/>
    <w:basedOn w:val="1"/>
    <w:next w:val="34"/>
    <w:autoRedefine/>
    <w:qFormat/>
    <w:uiPriority w:val="0"/>
    <w:pPr>
      <w:spacing w:line="500" w:lineRule="exact"/>
    </w:pPr>
    <w:rPr>
      <w:rFonts w:hAnsi="Courier New" w:eastAsia="仿宋_GB2312"/>
      <w:sz w:val="28"/>
      <w:szCs w:val="20"/>
    </w:rPr>
  </w:style>
  <w:style w:type="paragraph" w:customStyle="1" w:styleId="515">
    <w:name w:val="Char Char Char1 Char Char Char1 Char Char Char1 Char"/>
    <w:basedOn w:val="1"/>
    <w:autoRedefine/>
    <w:qFormat/>
    <w:uiPriority w:val="0"/>
    <w:pPr>
      <w:spacing w:line="400" w:lineRule="exact"/>
      <w:ind w:firstLine="200" w:firstLineChars="200"/>
    </w:pPr>
    <w:rPr>
      <w:sz w:val="28"/>
      <w:szCs w:val="28"/>
    </w:rPr>
  </w:style>
  <w:style w:type="paragraph" w:customStyle="1" w:styleId="516">
    <w:name w:val="xl115"/>
    <w:basedOn w:val="1"/>
    <w:autoRedefine/>
    <w:qFormat/>
    <w:uiPriority w:val="0"/>
    <w:pPr>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jc w:val="center"/>
      <w:textAlignment w:val="bottom"/>
    </w:pPr>
    <w:rPr>
      <w:rFonts w:ascii="Arial Unicode MS" w:hAnsi="Arial Unicode MS"/>
      <w:b/>
      <w:bCs/>
      <w:sz w:val="18"/>
      <w:szCs w:val="18"/>
    </w:rPr>
  </w:style>
  <w:style w:type="paragraph" w:customStyle="1" w:styleId="517">
    <w:name w:val="xl116"/>
    <w:basedOn w:val="1"/>
    <w:autoRedefine/>
    <w:qFormat/>
    <w:uiPriority w:val="0"/>
    <w:pPr>
      <w:pBdr>
        <w:top w:val="single" w:color="auto" w:sz="4" w:space="0"/>
        <w:left w:val="single" w:color="auto" w:sz="4" w:space="0"/>
        <w:right w:val="single" w:color="auto" w:sz="4" w:space="0"/>
      </w:pBdr>
      <w:shd w:val="clear" w:color="auto" w:fill="FFFF99"/>
      <w:spacing w:before="100" w:beforeAutospacing="1" w:after="100" w:afterAutospacing="1"/>
      <w:textAlignment w:val="bottom"/>
    </w:pPr>
    <w:rPr>
      <w:rFonts w:ascii="Arial Unicode MS" w:hAnsi="Arial Unicode MS"/>
      <w:b/>
      <w:bCs/>
      <w:sz w:val="20"/>
      <w:szCs w:val="20"/>
    </w:rPr>
  </w:style>
  <w:style w:type="paragraph" w:customStyle="1" w:styleId="518">
    <w:name w:val="目录 4 Char Char"/>
    <w:basedOn w:val="1"/>
    <w:next w:val="1"/>
    <w:autoRedefine/>
    <w:qFormat/>
    <w:uiPriority w:val="0"/>
    <w:pPr>
      <w:spacing w:line="351" w:lineRule="atLeast"/>
      <w:ind w:left="629" w:firstLine="419"/>
    </w:pPr>
    <w:rPr>
      <w:rFonts w:hint="eastAsia"/>
      <w:szCs w:val="20"/>
    </w:rPr>
  </w:style>
  <w:style w:type="paragraph" w:customStyle="1" w:styleId="519">
    <w:name w:val="样式11"/>
    <w:basedOn w:val="1"/>
    <w:autoRedefine/>
    <w:qFormat/>
    <w:uiPriority w:val="0"/>
    <w:pPr>
      <w:tabs>
        <w:tab w:val="left" w:pos="720"/>
      </w:tabs>
      <w:adjustRightInd w:val="0"/>
      <w:snapToGrid w:val="0"/>
      <w:spacing w:line="312" w:lineRule="auto"/>
      <w:ind w:left="720" w:hanging="720"/>
    </w:pPr>
    <w:rPr>
      <w:rFonts w:ascii="仿宋_GB2312" w:eastAsia="仿宋_GB2312"/>
      <w:sz w:val="28"/>
    </w:rPr>
  </w:style>
  <w:style w:type="paragraph" w:customStyle="1" w:styleId="520">
    <w:name w:val="xl12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sz w:val="22"/>
      <w:szCs w:val="22"/>
    </w:rPr>
  </w:style>
  <w:style w:type="paragraph" w:customStyle="1" w:styleId="521">
    <w:name w:val="样式 正文首行缩进 + 首行缩进:  2 字符"/>
    <w:basedOn w:val="150"/>
    <w:autoRedefine/>
    <w:qFormat/>
    <w:uiPriority w:val="0"/>
    <w:pPr>
      <w:adjustRightInd w:val="0"/>
      <w:snapToGrid w:val="0"/>
      <w:spacing w:after="0" w:line="520" w:lineRule="atLeast"/>
      <w:ind w:firstLine="549" w:firstLineChars="200"/>
    </w:pPr>
    <w:rPr>
      <w:bCs/>
      <w:sz w:val="28"/>
      <w:szCs w:val="20"/>
    </w:rPr>
  </w:style>
  <w:style w:type="paragraph" w:customStyle="1" w:styleId="522">
    <w:name w:val="目录 3 Char Char"/>
    <w:basedOn w:val="1"/>
    <w:next w:val="1"/>
    <w:autoRedefine/>
    <w:qFormat/>
    <w:uiPriority w:val="0"/>
    <w:pPr>
      <w:spacing w:line="351" w:lineRule="atLeast"/>
      <w:ind w:left="419" w:firstLine="419"/>
    </w:pPr>
    <w:rPr>
      <w:rFonts w:hint="eastAsia"/>
      <w:i/>
      <w:szCs w:val="20"/>
    </w:rPr>
  </w:style>
  <w:style w:type="paragraph" w:customStyle="1" w:styleId="523">
    <w:name w:val="标准"/>
    <w:basedOn w:val="1"/>
    <w:autoRedefine/>
    <w:qFormat/>
    <w:uiPriority w:val="0"/>
    <w:pPr>
      <w:adjustRightInd w:val="0"/>
      <w:spacing w:line="312" w:lineRule="atLeast"/>
      <w:textAlignment w:val="baseline"/>
    </w:pPr>
    <w:rPr>
      <w:szCs w:val="20"/>
    </w:rPr>
  </w:style>
  <w:style w:type="paragraph" w:customStyle="1" w:styleId="524">
    <w:name w:val="xl124"/>
    <w:basedOn w:val="1"/>
    <w:autoRedefine/>
    <w:qFormat/>
    <w:uiPriority w:val="0"/>
    <w:pPr>
      <w:pBdr>
        <w:top w:val="single" w:color="auto" w:sz="4" w:space="0"/>
        <w:left w:val="single" w:color="auto" w:sz="4" w:space="0"/>
        <w:right w:val="single" w:color="auto" w:sz="4" w:space="0"/>
      </w:pBdr>
      <w:shd w:val="clear" w:color="auto" w:fill="FFFF99"/>
      <w:spacing w:before="100" w:beforeAutospacing="1" w:after="100" w:afterAutospacing="1"/>
      <w:textAlignment w:val="bottom"/>
    </w:pPr>
    <w:rPr>
      <w:rFonts w:ascii="Arial Unicode MS" w:hAnsi="Arial Unicode MS"/>
      <w:b/>
      <w:bCs/>
      <w:sz w:val="22"/>
      <w:szCs w:val="22"/>
    </w:rPr>
  </w:style>
  <w:style w:type="paragraph" w:customStyle="1" w:styleId="525">
    <w:name w:val="目录 8 Char Char"/>
    <w:basedOn w:val="1"/>
    <w:next w:val="1"/>
    <w:autoRedefine/>
    <w:qFormat/>
    <w:uiPriority w:val="0"/>
    <w:pPr>
      <w:spacing w:line="351" w:lineRule="atLeast"/>
      <w:ind w:left="1468" w:firstLine="419"/>
    </w:pPr>
    <w:rPr>
      <w:rFonts w:hint="eastAsia"/>
      <w:szCs w:val="20"/>
    </w:rPr>
  </w:style>
  <w:style w:type="paragraph" w:customStyle="1" w:styleId="526">
    <w:name w:val="样式 标题 2节 + 段前: 1 行 段后: 0.5 行1"/>
    <w:basedOn w:val="1"/>
    <w:autoRedefine/>
    <w:qFormat/>
    <w:uiPriority w:val="0"/>
    <w:pPr>
      <w:tabs>
        <w:tab w:val="left" w:pos="567"/>
      </w:tabs>
      <w:ind w:left="567" w:hanging="567"/>
    </w:pPr>
  </w:style>
  <w:style w:type="paragraph" w:customStyle="1" w:styleId="527">
    <w:name w:val="xl125"/>
    <w:basedOn w:val="1"/>
    <w:autoRedefine/>
    <w:qFormat/>
    <w:uiPriority w:val="0"/>
    <w:pPr>
      <w:pBdr>
        <w:top w:val="single" w:color="auto" w:sz="4" w:space="0"/>
        <w:left w:val="single" w:color="auto" w:sz="4" w:space="0"/>
        <w:right w:val="single" w:color="auto" w:sz="4" w:space="0"/>
      </w:pBdr>
      <w:shd w:val="clear" w:color="auto" w:fill="FFFF99"/>
      <w:spacing w:before="100" w:beforeAutospacing="1" w:after="100" w:afterAutospacing="1"/>
      <w:textAlignment w:val="bottom"/>
    </w:pPr>
    <w:rPr>
      <w:rFonts w:ascii="Arial Unicode MS" w:hAnsi="Arial Unicode MS"/>
      <w:b/>
      <w:bCs/>
      <w:sz w:val="20"/>
      <w:szCs w:val="20"/>
    </w:rPr>
  </w:style>
  <w:style w:type="paragraph" w:customStyle="1" w:styleId="528">
    <w:name w:val="表题前1后0.5行"/>
    <w:basedOn w:val="1"/>
    <w:autoRedefine/>
    <w:qFormat/>
    <w:uiPriority w:val="0"/>
    <w:pPr>
      <w:overflowPunct w:val="0"/>
      <w:topLinePunct/>
      <w:autoSpaceDE w:val="0"/>
      <w:autoSpaceDN w:val="0"/>
      <w:spacing w:before="30" w:after="30"/>
      <w:jc w:val="center"/>
    </w:pPr>
    <w:rPr>
      <w:szCs w:val="20"/>
    </w:rPr>
  </w:style>
  <w:style w:type="paragraph" w:customStyle="1" w:styleId="529">
    <w:name w:val="页眉 Char Char"/>
    <w:basedOn w:val="1"/>
    <w:autoRedefine/>
    <w:qFormat/>
    <w:uiPriority w:val="0"/>
    <w:pPr>
      <w:tabs>
        <w:tab w:val="left" w:pos="4149"/>
        <w:tab w:val="left" w:pos="8016"/>
      </w:tabs>
      <w:spacing w:line="351" w:lineRule="atLeast"/>
      <w:ind w:firstLine="419"/>
      <w:jc w:val="center"/>
    </w:pPr>
    <w:rPr>
      <w:rFonts w:hint="eastAsia"/>
      <w:sz w:val="18"/>
      <w:szCs w:val="20"/>
    </w:rPr>
  </w:style>
  <w:style w:type="paragraph" w:customStyle="1" w:styleId="530">
    <w:name w:val="样式5"/>
    <w:basedOn w:val="41"/>
    <w:autoRedefine/>
    <w:qFormat/>
    <w:uiPriority w:val="0"/>
    <w:pPr>
      <w:pBdr>
        <w:bottom w:val="none" w:color="auto" w:sz="0" w:space="0"/>
      </w:pBdr>
      <w:spacing w:line="240" w:lineRule="atLeast"/>
    </w:pPr>
    <w:rPr>
      <w:rFonts w:ascii="仿宋_GB2312" w:eastAsia="仿宋_GB2312"/>
    </w:rPr>
  </w:style>
  <w:style w:type="paragraph" w:customStyle="1" w:styleId="531">
    <w:name w:val="标题3"/>
    <w:basedOn w:val="7"/>
    <w:autoRedefine/>
    <w:qFormat/>
    <w:uiPriority w:val="0"/>
    <w:pPr>
      <w:autoSpaceDE w:val="0"/>
      <w:autoSpaceDN w:val="0"/>
      <w:adjustRightInd w:val="0"/>
      <w:snapToGrid w:val="0"/>
      <w:spacing w:line="500" w:lineRule="exact"/>
      <w:textAlignment w:val="baseline"/>
    </w:pPr>
    <w:rPr>
      <w:rFonts w:ascii="Times New Roman" w:hAnsi="Times New Roman" w:eastAsia="仿宋_GB2312"/>
      <w:b w:val="0"/>
      <w:bCs w:val="0"/>
      <w:snapToGrid/>
      <w:szCs w:val="20"/>
    </w:rPr>
  </w:style>
  <w:style w:type="paragraph" w:customStyle="1" w:styleId="532">
    <w:name w:val="xl12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szCs w:val="21"/>
    </w:rPr>
  </w:style>
  <w:style w:type="paragraph" w:customStyle="1" w:styleId="533">
    <w:name w:val="表格（大）"/>
    <w:basedOn w:val="1"/>
    <w:autoRedefine/>
    <w:qFormat/>
    <w:uiPriority w:val="0"/>
    <w:pPr>
      <w:spacing w:line="0" w:lineRule="atLeast"/>
      <w:outlineLvl w:val="1"/>
    </w:pPr>
    <w:rPr>
      <w:snapToGrid w:val="0"/>
      <w:szCs w:val="20"/>
    </w:rPr>
  </w:style>
  <w:style w:type="paragraph" w:customStyle="1" w:styleId="534">
    <w:name w:val="目录标题"/>
    <w:basedOn w:val="1"/>
    <w:next w:val="1"/>
    <w:autoRedefine/>
    <w:qFormat/>
    <w:uiPriority w:val="0"/>
    <w:pPr>
      <w:spacing w:before="215" w:after="419" w:line="436" w:lineRule="atLeast"/>
      <w:ind w:firstLine="419"/>
      <w:jc w:val="center"/>
    </w:pPr>
    <w:rPr>
      <w:rFonts w:hint="eastAsia" w:ascii="Arial" w:eastAsia="黑体"/>
      <w:spacing w:val="283"/>
      <w:sz w:val="42"/>
      <w:szCs w:val="20"/>
    </w:rPr>
  </w:style>
  <w:style w:type="paragraph" w:customStyle="1" w:styleId="535">
    <w:name w:val="图表五号"/>
    <w:basedOn w:val="1"/>
    <w:autoRedefine/>
    <w:qFormat/>
    <w:uiPriority w:val="0"/>
    <w:pPr>
      <w:autoSpaceDE w:val="0"/>
      <w:autoSpaceDN w:val="0"/>
      <w:adjustRightInd w:val="0"/>
      <w:snapToGrid w:val="0"/>
      <w:spacing w:line="20" w:lineRule="atLeast"/>
      <w:jc w:val="center"/>
    </w:pPr>
    <w:rPr>
      <w:szCs w:val="20"/>
    </w:rPr>
  </w:style>
  <w:style w:type="paragraph" w:customStyle="1" w:styleId="536">
    <w:name w:val="样式 标题 3 + 左侧:  0 厘米 首行缩进:  0 厘米"/>
    <w:basedOn w:val="7"/>
    <w:autoRedefine/>
    <w:qFormat/>
    <w:uiPriority w:val="0"/>
    <w:pPr>
      <w:autoSpaceDE w:val="0"/>
      <w:autoSpaceDN w:val="0"/>
      <w:adjustRightInd w:val="0"/>
      <w:snapToGrid w:val="0"/>
      <w:spacing w:line="500" w:lineRule="exact"/>
      <w:textAlignment w:val="baseline"/>
    </w:pPr>
    <w:rPr>
      <w:rFonts w:ascii="Times New Roman" w:hAnsi="Times New Roman" w:eastAsia="仿宋_GB2312"/>
      <w:b w:val="0"/>
      <w:bCs w:val="0"/>
      <w:snapToGrid/>
      <w:szCs w:val="20"/>
    </w:rPr>
  </w:style>
  <w:style w:type="paragraph" w:customStyle="1" w:styleId="537">
    <w:name w:val="样式3"/>
    <w:basedOn w:val="36"/>
    <w:autoRedefine/>
    <w:qFormat/>
    <w:uiPriority w:val="0"/>
    <w:pPr>
      <w:spacing w:line="500" w:lineRule="exact"/>
      <w:ind w:left="0" w:leftChars="0"/>
    </w:pPr>
    <w:rPr>
      <w:rFonts w:ascii="Times New Roman" w:hAnsi="Times New Roman" w:eastAsia="黑体"/>
      <w:b w:val="0"/>
      <w:bCs/>
      <w:spacing w:val="0"/>
      <w:sz w:val="30"/>
      <w:szCs w:val="20"/>
    </w:rPr>
  </w:style>
  <w:style w:type="paragraph" w:customStyle="1" w:styleId="538">
    <w:name w:val="xl12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color w:val="000000"/>
      <w:szCs w:val="21"/>
    </w:rPr>
  </w:style>
  <w:style w:type="paragraph" w:customStyle="1" w:styleId="539">
    <w:name w:val="方框"/>
    <w:basedOn w:val="1"/>
    <w:autoRedefine/>
    <w:qFormat/>
    <w:uiPriority w:val="0"/>
    <w:pPr>
      <w:spacing w:line="240" w:lineRule="atLeast"/>
    </w:pPr>
    <w:rPr>
      <w:szCs w:val="20"/>
    </w:rPr>
  </w:style>
  <w:style w:type="paragraph" w:customStyle="1" w:styleId="540">
    <w:name w:val="批注文字 Char Char"/>
    <w:basedOn w:val="1"/>
    <w:autoRedefine/>
    <w:qFormat/>
    <w:uiPriority w:val="0"/>
    <w:pPr>
      <w:spacing w:line="351" w:lineRule="atLeast"/>
      <w:ind w:firstLine="419"/>
    </w:pPr>
    <w:rPr>
      <w:rFonts w:hint="eastAsia"/>
      <w:szCs w:val="20"/>
    </w:rPr>
  </w:style>
  <w:style w:type="paragraph" w:customStyle="1" w:styleId="541">
    <w:name w:val="font11"/>
    <w:basedOn w:val="1"/>
    <w:autoRedefine/>
    <w:qFormat/>
    <w:uiPriority w:val="0"/>
    <w:pPr>
      <w:spacing w:before="100" w:beforeAutospacing="1" w:after="100" w:afterAutospacing="1"/>
    </w:pPr>
    <w:rPr>
      <w:rFonts w:hint="eastAsia"/>
      <w:color w:val="000000"/>
      <w:sz w:val="18"/>
      <w:szCs w:val="18"/>
    </w:rPr>
  </w:style>
  <w:style w:type="paragraph" w:customStyle="1" w:styleId="542">
    <w:name w:val="项目1"/>
    <w:basedOn w:val="1"/>
    <w:autoRedefine/>
    <w:qFormat/>
    <w:uiPriority w:val="0"/>
    <w:pPr>
      <w:tabs>
        <w:tab w:val="left" w:pos="425"/>
      </w:tabs>
      <w:snapToGrid w:val="0"/>
      <w:spacing w:line="0" w:lineRule="atLeast"/>
      <w:ind w:left="425" w:hanging="425"/>
    </w:pPr>
    <w:rPr>
      <w:sz w:val="28"/>
      <w:szCs w:val="20"/>
    </w:rPr>
  </w:style>
  <w:style w:type="paragraph" w:customStyle="1" w:styleId="543">
    <w:name w:val="黑点"/>
    <w:basedOn w:val="1"/>
    <w:autoRedefine/>
    <w:qFormat/>
    <w:uiPriority w:val="0"/>
    <w:pPr>
      <w:tabs>
        <w:tab w:val="left" w:pos="425"/>
        <w:tab w:val="left" w:pos="600"/>
        <w:tab w:val="left" w:pos="2100"/>
      </w:tabs>
      <w:adjustRightInd w:val="0"/>
      <w:spacing w:line="360" w:lineRule="auto"/>
      <w:ind w:left="2100" w:hanging="425"/>
      <w:textAlignment w:val="baseline"/>
    </w:pPr>
    <w:rPr>
      <w:color w:val="000000"/>
      <w:szCs w:val="20"/>
    </w:rPr>
  </w:style>
  <w:style w:type="paragraph" w:customStyle="1" w:styleId="544">
    <w:name w:val="正文王"/>
    <w:basedOn w:val="34"/>
    <w:autoRedefine/>
    <w:qFormat/>
    <w:uiPriority w:val="0"/>
    <w:pPr>
      <w:spacing w:line="440" w:lineRule="exact"/>
    </w:pPr>
    <w:rPr>
      <w:rFonts w:ascii="Arial" w:hAnsi="Arial" w:eastAsia="仿宋_GB2312"/>
      <w:snapToGrid w:val="0"/>
      <w:szCs w:val="20"/>
    </w:rPr>
  </w:style>
  <w:style w:type="paragraph" w:customStyle="1" w:styleId="545">
    <w:name w:val="xl128"/>
    <w:basedOn w:val="1"/>
    <w:autoRedefine/>
    <w:qFormat/>
    <w:uiPriority w:val="0"/>
    <w:pPr>
      <w:pBdr>
        <w:top w:val="single" w:color="auto" w:sz="4" w:space="0"/>
        <w:left w:val="single" w:color="auto" w:sz="4" w:space="0"/>
        <w:right w:val="single" w:color="auto" w:sz="4" w:space="0"/>
      </w:pBdr>
      <w:spacing w:before="100" w:beforeAutospacing="1" w:after="100" w:afterAutospacing="1"/>
      <w:textAlignment w:val="bottom"/>
    </w:pPr>
    <w:rPr>
      <w:rFonts w:ascii="Arial Unicode MS" w:hAnsi="Arial Unicode MS"/>
      <w:sz w:val="20"/>
      <w:szCs w:val="20"/>
    </w:rPr>
  </w:style>
  <w:style w:type="paragraph" w:customStyle="1" w:styleId="546">
    <w:name w:val="基准标题"/>
    <w:basedOn w:val="25"/>
    <w:next w:val="25"/>
    <w:autoRedefine/>
    <w:qFormat/>
    <w:uiPriority w:val="0"/>
    <w:pPr>
      <w:spacing w:before="80" w:after="80" w:line="240" w:lineRule="auto"/>
      <w:jc w:val="center"/>
    </w:pPr>
    <w:rPr>
      <w:rFonts w:hAnsi="Times New Roman"/>
      <w:sz w:val="21"/>
      <w:szCs w:val="20"/>
    </w:rPr>
  </w:style>
  <w:style w:type="paragraph" w:customStyle="1" w:styleId="547">
    <w:name w:val="xl45"/>
    <w:basedOn w:val="1"/>
    <w:autoRedefine/>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center"/>
    </w:pPr>
    <w:rPr>
      <w:rFonts w:ascii="Arial Unicode MS" w:hAnsi="Arial Unicode MS" w:eastAsia="Arial Unicode MS"/>
      <w:sz w:val="28"/>
      <w:szCs w:val="28"/>
    </w:rPr>
  </w:style>
  <w:style w:type="paragraph" w:customStyle="1" w:styleId="548">
    <w:name w:val="表标题"/>
    <w:next w:val="1"/>
    <w:autoRedefine/>
    <w:qFormat/>
    <w:uiPriority w:val="0"/>
    <w:pPr>
      <w:widowControl w:val="0"/>
      <w:adjustRightInd w:val="0"/>
      <w:spacing w:line="480" w:lineRule="atLeast"/>
      <w:jc w:val="center"/>
      <w:textAlignment w:val="baseline"/>
    </w:pPr>
    <w:rPr>
      <w:rFonts w:ascii="宋体" w:hAnsi="Times New Roman" w:eastAsia="宋体" w:cs="Times New Roman"/>
      <w:b/>
      <w:sz w:val="21"/>
      <w:lang w:val="en-US" w:eastAsia="zh-CN" w:bidi="ar-SA"/>
    </w:rPr>
  </w:style>
  <w:style w:type="paragraph" w:customStyle="1" w:styleId="549">
    <w:name w:val="24"/>
    <w:basedOn w:val="1"/>
    <w:next w:val="51"/>
    <w:autoRedefine/>
    <w:qFormat/>
    <w:uiPriority w:val="0"/>
    <w:pPr>
      <w:spacing w:line="500" w:lineRule="exact"/>
      <w:ind w:firstLine="560" w:firstLineChars="200"/>
    </w:pPr>
    <w:rPr>
      <w:rFonts w:ascii="仿宋_GB2312" w:eastAsia="仿宋_GB2312"/>
      <w:sz w:val="28"/>
      <w:szCs w:val="20"/>
    </w:rPr>
  </w:style>
  <w:style w:type="paragraph" w:customStyle="1" w:styleId="550">
    <w:name w:val="xl129"/>
    <w:basedOn w:val="1"/>
    <w:autoRedefine/>
    <w:qFormat/>
    <w:uiPriority w:val="0"/>
    <w:pPr>
      <w:pBdr>
        <w:top w:val="single" w:color="auto" w:sz="4" w:space="0"/>
        <w:left w:val="single" w:color="auto" w:sz="4" w:space="0"/>
        <w:right w:val="single" w:color="auto" w:sz="4" w:space="0"/>
      </w:pBdr>
      <w:spacing w:before="100" w:beforeAutospacing="1" w:after="100" w:afterAutospacing="1"/>
      <w:textAlignment w:val="bottom"/>
    </w:pPr>
    <w:rPr>
      <w:rFonts w:ascii="Arial Unicode MS" w:hAnsi="Arial Unicode MS"/>
      <w:b/>
      <w:bCs/>
      <w:sz w:val="20"/>
      <w:szCs w:val="20"/>
    </w:rPr>
  </w:style>
  <w:style w:type="paragraph" w:customStyle="1" w:styleId="551">
    <w:name w:val="目录3"/>
    <w:basedOn w:val="1"/>
    <w:next w:val="1"/>
    <w:autoRedefine/>
    <w:qFormat/>
    <w:uiPriority w:val="0"/>
    <w:pPr>
      <w:tabs>
        <w:tab w:val="left" w:leader="dot" w:pos="8503"/>
      </w:tabs>
      <w:spacing w:line="317" w:lineRule="atLeast"/>
      <w:ind w:left="419" w:firstLine="419"/>
    </w:pPr>
    <w:rPr>
      <w:rFonts w:hint="eastAsia"/>
      <w:szCs w:val="20"/>
    </w:rPr>
  </w:style>
  <w:style w:type="paragraph" w:customStyle="1" w:styleId="552">
    <w:name w:val="xl46"/>
    <w:basedOn w:val="1"/>
    <w:autoRedefine/>
    <w:qFormat/>
    <w:uiPriority w:val="0"/>
    <w:pPr>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jc w:val="center"/>
      <w:textAlignment w:val="center"/>
    </w:pPr>
    <w:rPr>
      <w:rFonts w:eastAsia="Arial Unicode MS"/>
      <w:sz w:val="28"/>
      <w:szCs w:val="28"/>
    </w:rPr>
  </w:style>
  <w:style w:type="paragraph" w:customStyle="1" w:styleId="553">
    <w:name w:val="小四表格"/>
    <w:basedOn w:val="1"/>
    <w:autoRedefine/>
    <w:qFormat/>
    <w:uiPriority w:val="0"/>
    <w:pPr>
      <w:keepNext/>
      <w:autoSpaceDE w:val="0"/>
      <w:autoSpaceDN w:val="0"/>
      <w:adjustRightInd w:val="0"/>
      <w:spacing w:line="480" w:lineRule="atLeast"/>
      <w:jc w:val="center"/>
    </w:pPr>
    <w:rPr>
      <w:color w:val="000000"/>
      <w:szCs w:val="20"/>
    </w:rPr>
  </w:style>
  <w:style w:type="paragraph" w:customStyle="1" w:styleId="554">
    <w:name w:val="23"/>
    <w:basedOn w:val="1"/>
    <w:next w:val="3"/>
    <w:autoRedefine/>
    <w:qFormat/>
    <w:uiPriority w:val="0"/>
    <w:pPr>
      <w:spacing w:line="500" w:lineRule="exact"/>
      <w:ind w:firstLine="560" w:firstLineChars="200"/>
    </w:pPr>
    <w:rPr>
      <w:rFonts w:ascii="仿宋_GB2312" w:eastAsia="仿宋_GB2312"/>
      <w:color w:val="FF0000"/>
      <w:sz w:val="28"/>
      <w:szCs w:val="20"/>
    </w:rPr>
  </w:style>
  <w:style w:type="paragraph" w:customStyle="1" w:styleId="555">
    <w:name w:val="xl130"/>
    <w:basedOn w:val="1"/>
    <w:autoRedefine/>
    <w:qFormat/>
    <w:uiPriority w:val="0"/>
    <w:pPr>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textAlignment w:val="bottom"/>
    </w:pPr>
    <w:rPr>
      <w:rFonts w:ascii="Arial Unicode MS" w:hAnsi="Arial Unicode MS"/>
      <w:b/>
      <w:bCs/>
      <w:color w:val="000000"/>
      <w:szCs w:val="21"/>
    </w:rPr>
  </w:style>
  <w:style w:type="paragraph" w:customStyle="1" w:styleId="556">
    <w:name w:val="标准书脚_偶数页"/>
    <w:autoRedefine/>
    <w:qFormat/>
    <w:uiPriority w:val="0"/>
    <w:pPr>
      <w:spacing w:before="120"/>
    </w:pPr>
    <w:rPr>
      <w:rFonts w:ascii="Times New Roman" w:hAnsi="Times New Roman" w:eastAsia="宋体" w:cs="Times New Roman"/>
      <w:sz w:val="18"/>
      <w:lang w:val="en-US" w:eastAsia="zh-CN" w:bidi="ar-SA"/>
    </w:rPr>
  </w:style>
  <w:style w:type="paragraph" w:customStyle="1" w:styleId="557">
    <w:name w:val="表头1"/>
    <w:basedOn w:val="34"/>
    <w:autoRedefine/>
    <w:qFormat/>
    <w:uiPriority w:val="0"/>
    <w:pPr>
      <w:adjustRightInd w:val="0"/>
      <w:spacing w:before="120"/>
      <w:jc w:val="center"/>
      <w:textAlignment w:val="baseline"/>
    </w:pPr>
    <w:rPr>
      <w:rFonts w:ascii="Times New Roman" w:hAnsi="Times New Roman"/>
      <w:color w:val="000000"/>
      <w:szCs w:val="20"/>
    </w:rPr>
  </w:style>
  <w:style w:type="paragraph" w:customStyle="1" w:styleId="558">
    <w:name w:val="xl47"/>
    <w:basedOn w:val="1"/>
    <w:autoRedefine/>
    <w:qFormat/>
    <w:uiPriority w:val="0"/>
    <w:pPr>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jc w:val="center"/>
      <w:textAlignment w:val="center"/>
    </w:pPr>
    <w:rPr>
      <w:rFonts w:ascii="Arial Unicode MS" w:hAnsi="Arial Unicode MS" w:eastAsia="Arial Unicode MS"/>
      <w:sz w:val="28"/>
      <w:szCs w:val="28"/>
    </w:rPr>
  </w:style>
  <w:style w:type="paragraph" w:customStyle="1" w:styleId="559">
    <w:name w:val="样式 样式 标题2 + (西文) Times New Roman (中文) 宋体 加粗 + 段前: 0.5 行 段后: 0.5..."/>
    <w:basedOn w:val="560"/>
    <w:autoRedefine/>
    <w:qFormat/>
    <w:uiPriority w:val="0"/>
    <w:rPr>
      <w:rFonts w:eastAsia="仿宋_GB2312"/>
    </w:rPr>
  </w:style>
  <w:style w:type="paragraph" w:customStyle="1" w:styleId="560">
    <w:name w:val="样式 标题2 + (西文) Times New Roman (中文) 宋体 加粗"/>
    <w:basedOn w:val="6"/>
    <w:autoRedefine/>
    <w:qFormat/>
    <w:uiPriority w:val="0"/>
    <w:pPr>
      <w:keepNext w:val="0"/>
      <w:keepLines w:val="0"/>
      <w:adjustRightInd/>
      <w:snapToGrid/>
      <w:spacing w:beforeLines="50" w:afterLines="50" w:line="500" w:lineRule="exact"/>
      <w:outlineLvl w:val="0"/>
    </w:pPr>
    <w:rPr>
      <w:rFonts w:ascii="Times New Roman" w:hAnsi="Times New Roman" w:eastAsia="宋体"/>
      <w:snapToGrid/>
      <w:kern w:val="2"/>
      <w:szCs w:val="20"/>
    </w:rPr>
  </w:style>
  <w:style w:type="paragraph" w:customStyle="1" w:styleId="561">
    <w:name w:val="报告"/>
    <w:basedOn w:val="1"/>
    <w:autoRedefine/>
    <w:qFormat/>
    <w:uiPriority w:val="0"/>
    <w:pPr>
      <w:adjustRightInd w:val="0"/>
      <w:spacing w:line="360" w:lineRule="auto"/>
      <w:ind w:firstLine="505"/>
      <w:textAlignment w:val="center"/>
    </w:pPr>
    <w:rPr>
      <w:rFonts w:ascii="TimesNewRoman" w:hAnsi="TimesNewRoman"/>
      <w:szCs w:val="20"/>
    </w:rPr>
  </w:style>
  <w:style w:type="paragraph" w:customStyle="1" w:styleId="562">
    <w:name w:val="xl131"/>
    <w:basedOn w:val="1"/>
    <w:autoRedefine/>
    <w:qFormat/>
    <w:uiPriority w:val="0"/>
    <w:pPr>
      <w:pBdr>
        <w:left w:val="single" w:color="auto" w:sz="4" w:space="0"/>
        <w:right w:val="single" w:color="auto" w:sz="4" w:space="0"/>
      </w:pBdr>
      <w:spacing w:before="100" w:beforeAutospacing="1" w:after="100" w:afterAutospacing="1"/>
      <w:textAlignment w:val="bottom"/>
    </w:pPr>
    <w:rPr>
      <w:rFonts w:ascii="Arial Unicode MS" w:hAnsi="Arial Unicode MS"/>
      <w:sz w:val="22"/>
      <w:szCs w:val="22"/>
    </w:rPr>
  </w:style>
  <w:style w:type="paragraph" w:customStyle="1" w:styleId="563">
    <w:name w:val="表格样式1"/>
    <w:basedOn w:val="1"/>
    <w:next w:val="1"/>
    <w:autoRedefine/>
    <w:qFormat/>
    <w:uiPriority w:val="0"/>
    <w:pPr>
      <w:adjustRightInd w:val="0"/>
      <w:spacing w:line="40" w:lineRule="atLeast"/>
      <w:jc w:val="center"/>
    </w:pPr>
    <w:rPr>
      <w:rFonts w:hint="eastAsia"/>
      <w:szCs w:val="20"/>
    </w:rPr>
  </w:style>
  <w:style w:type="paragraph" w:customStyle="1" w:styleId="564">
    <w:name w:val="xl48"/>
    <w:basedOn w:val="1"/>
    <w:autoRedefine/>
    <w:qFormat/>
    <w:uiPriority w:val="0"/>
    <w:pPr>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textAlignment w:val="center"/>
    </w:pPr>
    <w:rPr>
      <w:rFonts w:eastAsia="Arial Unicode MS"/>
      <w:sz w:val="28"/>
      <w:szCs w:val="28"/>
    </w:rPr>
  </w:style>
  <w:style w:type="paragraph" w:customStyle="1" w:styleId="565">
    <w:name w:val="样式 正文缩进正文（首行缩进两字） Char Char Char Char Char Char Char表格标题标题4文..."/>
    <w:basedOn w:val="4"/>
    <w:autoRedefine/>
    <w:qFormat/>
    <w:uiPriority w:val="0"/>
    <w:pPr>
      <w:overflowPunct w:val="0"/>
      <w:adjustRightInd w:val="0"/>
      <w:snapToGrid w:val="0"/>
      <w:spacing w:line="500" w:lineRule="exact"/>
      <w:ind w:firstLine="200" w:firstLineChars="200"/>
      <w:textAlignment w:val="baseline"/>
    </w:pPr>
    <w:rPr>
      <w:rFonts w:ascii="Times New Roman" w:eastAsia="仿宋_GB2312"/>
      <w:sz w:val="28"/>
    </w:rPr>
  </w:style>
  <w:style w:type="paragraph" w:customStyle="1" w:styleId="566">
    <w:name w:val="xl132"/>
    <w:basedOn w:val="1"/>
    <w:autoRedefine/>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bottom"/>
    </w:pPr>
    <w:rPr>
      <w:rFonts w:ascii="Arial Unicode MS" w:hAnsi="Arial Unicode MS"/>
      <w:b/>
      <w:bCs/>
      <w:color w:val="000000"/>
      <w:szCs w:val="21"/>
    </w:rPr>
  </w:style>
  <w:style w:type="paragraph" w:customStyle="1" w:styleId="567">
    <w:name w:val="标准书眉_奇数页"/>
    <w:next w:val="1"/>
    <w:autoRedefine/>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568">
    <w:name w:val="目录4"/>
    <w:basedOn w:val="1"/>
    <w:next w:val="1"/>
    <w:autoRedefine/>
    <w:qFormat/>
    <w:uiPriority w:val="0"/>
    <w:pPr>
      <w:tabs>
        <w:tab w:val="left" w:leader="dot" w:pos="8503"/>
      </w:tabs>
      <w:spacing w:line="317" w:lineRule="atLeast"/>
      <w:ind w:left="419" w:firstLine="629"/>
    </w:pPr>
    <w:rPr>
      <w:rFonts w:hint="eastAsia"/>
      <w:szCs w:val="20"/>
    </w:rPr>
  </w:style>
  <w:style w:type="paragraph" w:customStyle="1" w:styleId="569">
    <w:name w:val="样式 标题 1h1H1PIM 1标书11.标题 1Section HeadHeader11st levell1..."/>
    <w:basedOn w:val="5"/>
    <w:autoRedefine/>
    <w:qFormat/>
    <w:uiPriority w:val="0"/>
    <w:pPr>
      <w:spacing w:beforeLines="0" w:afterLines="0" w:line="500" w:lineRule="exact"/>
      <w:ind w:right="210"/>
      <w:jc w:val="both"/>
    </w:pPr>
    <w:rPr>
      <w:rFonts w:ascii="Times New Roman"/>
      <w:color w:val="000000"/>
      <w:sz w:val="30"/>
      <w:szCs w:val="20"/>
    </w:rPr>
  </w:style>
  <w:style w:type="paragraph" w:customStyle="1" w:styleId="570">
    <w:name w:val="样式 样式 正文缩进正文（首行缩进两字） Char Char Char Char Char Char Char表格标题标题4文...."/>
    <w:basedOn w:val="565"/>
    <w:autoRedefine/>
    <w:qFormat/>
    <w:uiPriority w:val="0"/>
  </w:style>
  <w:style w:type="paragraph" w:customStyle="1" w:styleId="571">
    <w:name w:val="xl13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b/>
      <w:bCs/>
      <w:sz w:val="20"/>
      <w:szCs w:val="20"/>
    </w:rPr>
  </w:style>
  <w:style w:type="paragraph" w:customStyle="1" w:styleId="572">
    <w:name w:val="样式 标题 2第一章 标题 2Heading 2 HiddenHeading 2 CCBSheading 2H2h2..."/>
    <w:basedOn w:val="6"/>
    <w:autoRedefine/>
    <w:qFormat/>
    <w:uiPriority w:val="0"/>
    <w:pPr>
      <w:adjustRightInd/>
      <w:snapToGrid/>
      <w:spacing w:before="120" w:after="120" w:line="500" w:lineRule="exact"/>
    </w:pPr>
    <w:rPr>
      <w:rFonts w:ascii="Times New Roman" w:hAnsi="Times New Roman" w:eastAsia="仿宋_GB2312"/>
      <w:snapToGrid/>
      <w:color w:val="000000"/>
      <w:kern w:val="44"/>
    </w:rPr>
  </w:style>
  <w:style w:type="paragraph" w:customStyle="1" w:styleId="573">
    <w:name w:val="图文框"/>
    <w:basedOn w:val="1"/>
    <w:autoRedefine/>
    <w:qFormat/>
    <w:uiPriority w:val="0"/>
    <w:pPr>
      <w:autoSpaceDE w:val="0"/>
      <w:autoSpaceDN w:val="0"/>
      <w:adjustRightInd w:val="0"/>
      <w:snapToGrid w:val="0"/>
      <w:jc w:val="center"/>
    </w:pPr>
    <w:rPr>
      <w:color w:val="000000"/>
      <w:kern w:val="28"/>
      <w:szCs w:val="20"/>
    </w:rPr>
  </w:style>
  <w:style w:type="paragraph" w:customStyle="1" w:styleId="574">
    <w:name w:val="xl13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sz w:val="20"/>
      <w:szCs w:val="20"/>
    </w:rPr>
  </w:style>
  <w:style w:type="paragraph" w:customStyle="1" w:styleId="575">
    <w:name w:val="标准书眉_偶数页"/>
    <w:basedOn w:val="567"/>
    <w:next w:val="1"/>
    <w:autoRedefine/>
    <w:qFormat/>
    <w:uiPriority w:val="0"/>
    <w:pPr>
      <w:jc w:val="left"/>
    </w:pPr>
  </w:style>
  <w:style w:type="paragraph" w:customStyle="1" w:styleId="576">
    <w:name w:val="样式 标题 2第一章 标题 2Heading 2 HiddenHeading 2 CCBSheading 2H2h2...1"/>
    <w:basedOn w:val="6"/>
    <w:autoRedefine/>
    <w:qFormat/>
    <w:uiPriority w:val="0"/>
    <w:pPr>
      <w:adjustRightInd/>
      <w:snapToGrid/>
      <w:spacing w:before="120" w:after="120" w:line="500" w:lineRule="exact"/>
    </w:pPr>
    <w:rPr>
      <w:rFonts w:ascii="Times New Roman" w:hAnsi="Times New Roman" w:eastAsia="仿宋_GB2312"/>
      <w:snapToGrid/>
      <w:kern w:val="2"/>
      <w:szCs w:val="20"/>
    </w:rPr>
  </w:style>
  <w:style w:type="paragraph" w:customStyle="1" w:styleId="577">
    <w:name w:val="正文编号"/>
    <w:basedOn w:val="1"/>
    <w:autoRedefine/>
    <w:qFormat/>
    <w:uiPriority w:val="0"/>
    <w:pPr>
      <w:tabs>
        <w:tab w:val="left" w:pos="1200"/>
      </w:tabs>
      <w:adjustRightInd w:val="0"/>
      <w:spacing w:line="360" w:lineRule="auto"/>
      <w:ind w:left="1200" w:leftChars="400" w:hanging="360" w:hangingChars="200"/>
      <w:textAlignment w:val="baseline"/>
    </w:pPr>
    <w:rPr>
      <w:rFonts w:ascii="Arial" w:hAnsi="Arial"/>
    </w:rPr>
  </w:style>
  <w:style w:type="paragraph" w:customStyle="1" w:styleId="578">
    <w:name w:val="xl13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bottom"/>
    </w:pPr>
    <w:rPr>
      <w:sz w:val="20"/>
      <w:szCs w:val="20"/>
    </w:rPr>
  </w:style>
  <w:style w:type="paragraph" w:customStyle="1" w:styleId="579">
    <w:name w:val="标准书眉一"/>
    <w:autoRedefine/>
    <w:qFormat/>
    <w:uiPriority w:val="0"/>
    <w:pPr>
      <w:jc w:val="both"/>
    </w:pPr>
    <w:rPr>
      <w:rFonts w:ascii="Times New Roman" w:hAnsi="Times New Roman" w:eastAsia="宋体" w:cs="Times New Roman"/>
      <w:lang w:val="en-US" w:eastAsia="zh-CN" w:bidi="ar-SA"/>
    </w:rPr>
  </w:style>
  <w:style w:type="paragraph" w:customStyle="1" w:styleId="580">
    <w:name w:val="样式 标题 4 + 行距: 多倍行距 1.3 字行"/>
    <w:basedOn w:val="8"/>
    <w:autoRedefine/>
    <w:qFormat/>
    <w:uiPriority w:val="0"/>
    <w:pPr>
      <w:keepLines/>
      <w:tabs>
        <w:tab w:val="left" w:pos="1200"/>
      </w:tabs>
      <w:snapToGrid w:val="0"/>
      <w:spacing w:beforeLines="20" w:afterLines="20" w:line="300" w:lineRule="auto"/>
      <w:jc w:val="both"/>
    </w:pPr>
    <w:rPr>
      <w:rFonts w:hAnsi="Arial"/>
      <w:b w:val="0"/>
      <w:snapToGrid/>
      <w:kern w:val="2"/>
      <w:sz w:val="28"/>
      <w:szCs w:val="28"/>
    </w:rPr>
  </w:style>
  <w:style w:type="paragraph" w:customStyle="1" w:styleId="581">
    <w:name w:val="xl13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sz w:val="20"/>
      <w:szCs w:val="20"/>
    </w:rPr>
  </w:style>
  <w:style w:type="paragraph" w:customStyle="1" w:styleId="582">
    <w:name w:val="参考文献、索引标题"/>
    <w:basedOn w:val="413"/>
    <w:next w:val="1"/>
    <w:autoRedefine/>
    <w:qFormat/>
    <w:uiPriority w:val="0"/>
    <w:pPr>
      <w:tabs>
        <w:tab w:val="clear" w:pos="903"/>
        <w:tab w:val="clear" w:pos="1280"/>
      </w:tabs>
      <w:spacing w:after="200"/>
      <w:ind w:left="0" w:firstLine="0"/>
    </w:pPr>
    <w:rPr>
      <w:sz w:val="21"/>
      <w:szCs w:val="20"/>
    </w:rPr>
  </w:style>
  <w:style w:type="paragraph" w:customStyle="1" w:styleId="583">
    <w:name w:val="xl55"/>
    <w:basedOn w:val="1"/>
    <w:autoRedefine/>
    <w:qFormat/>
    <w:uiPriority w:val="0"/>
    <w:pPr>
      <w:shd w:val="clear" w:color="auto" w:fill="FFFFFF"/>
      <w:spacing w:before="100" w:beforeAutospacing="1" w:after="100" w:afterAutospacing="1"/>
      <w:jc w:val="center"/>
    </w:pPr>
    <w:rPr>
      <w:rFonts w:hint="eastAsia" w:ascii="隶书" w:hAnsi="Arial Unicode MS" w:eastAsia="隶书"/>
      <w:color w:val="000080"/>
      <w:sz w:val="44"/>
      <w:szCs w:val="44"/>
    </w:rPr>
  </w:style>
  <w:style w:type="paragraph" w:customStyle="1" w:styleId="584">
    <w:name w:val="样式 标题 2第一章 标题 2Heading 2 HiddenHeading 2 CCBSheading 2H2h2...2"/>
    <w:basedOn w:val="6"/>
    <w:autoRedefine/>
    <w:qFormat/>
    <w:uiPriority w:val="0"/>
    <w:pPr>
      <w:adjustRightInd/>
      <w:snapToGrid/>
      <w:spacing w:before="120" w:after="120" w:line="500" w:lineRule="exact"/>
    </w:pPr>
    <w:rPr>
      <w:rFonts w:ascii="Times New Roman" w:hAnsi="Times New Roman" w:eastAsia="仿宋_GB2312"/>
      <w:snapToGrid/>
      <w:color w:val="000000"/>
      <w:kern w:val="2"/>
    </w:rPr>
  </w:style>
  <w:style w:type="paragraph" w:customStyle="1" w:styleId="585">
    <w:name w:val="xl13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sz w:val="20"/>
      <w:szCs w:val="20"/>
    </w:rPr>
  </w:style>
  <w:style w:type="paragraph" w:customStyle="1" w:styleId="586">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587">
    <w:name w:val="xl56"/>
    <w:basedOn w:val="1"/>
    <w:autoRedefine/>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Arial Unicode MS" w:hAnsi="Arial Unicode MS" w:eastAsia="Arial Unicode MS"/>
      <w:sz w:val="28"/>
      <w:szCs w:val="28"/>
    </w:rPr>
  </w:style>
  <w:style w:type="paragraph" w:customStyle="1" w:styleId="588">
    <w:name w:val="样式 样式 样式 标题2 + (西文) Times New Roman (中文) 宋体 加粗 + 段前: 0.5 行 段后: 0..."/>
    <w:basedOn w:val="559"/>
    <w:autoRedefine/>
    <w:qFormat/>
    <w:uiPriority w:val="0"/>
    <w:rPr>
      <w:color w:val="000000"/>
    </w:rPr>
  </w:style>
  <w:style w:type="paragraph" w:customStyle="1" w:styleId="589">
    <w:name w:val="xl138"/>
    <w:basedOn w:val="1"/>
    <w:autoRedefine/>
    <w:qFormat/>
    <w:uiPriority w:val="0"/>
    <w:pPr>
      <w:pBdr>
        <w:top w:val="single" w:color="auto" w:sz="4" w:space="0"/>
        <w:left w:val="single" w:color="auto" w:sz="4" w:space="0"/>
        <w:right w:val="single" w:color="auto" w:sz="4" w:space="0"/>
      </w:pBdr>
      <w:spacing w:before="100" w:beforeAutospacing="1" w:after="100" w:afterAutospacing="1"/>
      <w:textAlignment w:val="bottom"/>
    </w:pPr>
    <w:rPr>
      <w:rFonts w:ascii="Arial" w:hAnsi="Arial" w:cs="Arial"/>
      <w:sz w:val="20"/>
      <w:szCs w:val="20"/>
    </w:rPr>
  </w:style>
  <w:style w:type="paragraph" w:customStyle="1" w:styleId="590">
    <w:name w:val="xl57"/>
    <w:basedOn w:val="1"/>
    <w:autoRedefine/>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Arial Unicode MS" w:hAnsi="Arial Unicode MS" w:eastAsia="Arial Unicode MS"/>
      <w:sz w:val="28"/>
      <w:szCs w:val="28"/>
    </w:rPr>
  </w:style>
  <w:style w:type="paragraph" w:customStyle="1" w:styleId="591">
    <w:name w:val="样式 标题 2第一章 标题 2Heading 2 HiddenHeading 2 CCBSheading 2H2h2...3"/>
    <w:basedOn w:val="6"/>
    <w:autoRedefine/>
    <w:qFormat/>
    <w:uiPriority w:val="0"/>
    <w:pPr>
      <w:adjustRightInd/>
      <w:snapToGrid/>
      <w:spacing w:before="120" w:after="120" w:line="500" w:lineRule="exact"/>
    </w:pPr>
    <w:rPr>
      <w:rFonts w:ascii="Times New Roman" w:hAnsi="Times New Roman" w:eastAsia="仿宋_GB2312"/>
      <w:snapToGrid/>
      <w:kern w:val="2"/>
      <w:szCs w:val="20"/>
    </w:rPr>
  </w:style>
  <w:style w:type="paragraph" w:customStyle="1" w:styleId="592">
    <w:name w:val="xl22"/>
    <w:basedOn w:val="1"/>
    <w:autoRedefine/>
    <w:qFormat/>
    <w:uiPriority w:val="0"/>
    <w:pPr>
      <w:pBdr>
        <w:bottom w:val="single" w:color="auto" w:sz="4" w:space="0"/>
        <w:right w:val="single" w:color="auto" w:sz="4" w:space="0"/>
      </w:pBdr>
      <w:spacing w:before="100" w:after="100"/>
      <w:jc w:val="center"/>
    </w:pPr>
    <w:rPr>
      <w:szCs w:val="20"/>
    </w:rPr>
  </w:style>
  <w:style w:type="paragraph" w:customStyle="1" w:styleId="593">
    <w:name w:val="xl63"/>
    <w:basedOn w:val="1"/>
    <w:autoRedefine/>
    <w:qFormat/>
    <w:uiPriority w:val="0"/>
    <w:pPr>
      <w:spacing w:before="100" w:beforeAutospacing="1" w:after="100" w:afterAutospacing="1" w:line="500" w:lineRule="exact"/>
      <w:jc w:val="center"/>
    </w:pPr>
    <w:rPr>
      <w:rFonts w:eastAsia="仿宋_GB2312"/>
      <w:b/>
      <w:bCs/>
    </w:rPr>
  </w:style>
  <w:style w:type="paragraph" w:customStyle="1" w:styleId="594">
    <w:name w:val="xl13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Arial Unicode MS" w:hAnsi="Arial Unicode MS"/>
      <w:sz w:val="18"/>
      <w:szCs w:val="18"/>
    </w:rPr>
  </w:style>
  <w:style w:type="paragraph" w:customStyle="1" w:styleId="595">
    <w:name w:val="xl59"/>
    <w:basedOn w:val="1"/>
    <w:autoRedefine/>
    <w:qFormat/>
    <w:uiPriority w:val="0"/>
    <w:pPr>
      <w:pBdr>
        <w:bottom w:val="single" w:color="auto" w:sz="4" w:space="0"/>
      </w:pBdr>
      <w:shd w:val="clear" w:color="auto" w:fill="FFFFFF"/>
      <w:spacing w:before="100" w:beforeAutospacing="1" w:after="100" w:afterAutospacing="1"/>
      <w:jc w:val="right"/>
    </w:pPr>
    <w:rPr>
      <w:rFonts w:ascii="Arial Unicode MS" w:hAnsi="Arial Unicode MS" w:eastAsia="Arial Unicode MS"/>
      <w:color w:val="000080"/>
      <w:sz w:val="28"/>
      <w:szCs w:val="28"/>
    </w:rPr>
  </w:style>
  <w:style w:type="paragraph" w:customStyle="1" w:styleId="596">
    <w:name w:val="样式 标题 2第一章 标题 2Heading 2 HiddenHeading 2 CCBSheading 2H2h2...4"/>
    <w:basedOn w:val="6"/>
    <w:autoRedefine/>
    <w:qFormat/>
    <w:uiPriority w:val="0"/>
    <w:pPr>
      <w:adjustRightInd/>
      <w:snapToGrid/>
      <w:spacing w:before="120" w:after="120" w:line="500" w:lineRule="exact"/>
    </w:pPr>
    <w:rPr>
      <w:rFonts w:ascii="Times New Roman" w:hAnsi="Times New Roman" w:eastAsia="仿宋_GB2312"/>
      <w:snapToGrid/>
      <w:color w:val="000000"/>
      <w:kern w:val="2"/>
    </w:rPr>
  </w:style>
  <w:style w:type="paragraph" w:customStyle="1" w:styleId="597">
    <w:name w:val="条文"/>
    <w:basedOn w:val="9"/>
    <w:next w:val="1"/>
    <w:autoRedefine/>
    <w:qFormat/>
    <w:uiPriority w:val="0"/>
    <w:pPr>
      <w:keepNext w:val="0"/>
      <w:keepLines/>
      <w:spacing w:before="120"/>
      <w:ind w:firstLine="454"/>
      <w:jc w:val="both"/>
    </w:pPr>
    <w:rPr>
      <w:rFonts w:ascii="Times New Roman" w:hAnsi="Times New Roman"/>
      <w:b w:val="0"/>
      <w:bCs w:val="0"/>
      <w:sz w:val="24"/>
      <w:szCs w:val="20"/>
    </w:rPr>
  </w:style>
  <w:style w:type="paragraph" w:customStyle="1" w:styleId="598">
    <w:name w:val="xl140"/>
    <w:basedOn w:val="1"/>
    <w:autoRedefine/>
    <w:qFormat/>
    <w:uiPriority w:val="0"/>
    <w:pPr>
      <w:pBdr>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sz w:val="18"/>
      <w:szCs w:val="18"/>
    </w:rPr>
  </w:style>
  <w:style w:type="paragraph" w:customStyle="1" w:styleId="599">
    <w:name w:val="标题3_MHZ"/>
    <w:basedOn w:val="1"/>
    <w:next w:val="1"/>
    <w:autoRedefine/>
    <w:qFormat/>
    <w:uiPriority w:val="0"/>
    <w:rPr>
      <w:rFonts w:eastAsia="楷体_GB2312"/>
      <w:b/>
      <w:sz w:val="28"/>
    </w:rPr>
  </w:style>
  <w:style w:type="paragraph" w:customStyle="1" w:styleId="600">
    <w:name w:val="样式 标题 1h1H1PIM 1标书11.标题 1Section HeadHeader11st levell1...1"/>
    <w:basedOn w:val="5"/>
    <w:autoRedefine/>
    <w:qFormat/>
    <w:uiPriority w:val="0"/>
    <w:pPr>
      <w:spacing w:beforeLines="0" w:afterLines="0" w:line="500" w:lineRule="exact"/>
      <w:jc w:val="both"/>
    </w:pPr>
    <w:rPr>
      <w:rFonts w:ascii="Times New Roman"/>
      <w:sz w:val="30"/>
      <w:szCs w:val="44"/>
    </w:rPr>
  </w:style>
  <w:style w:type="paragraph" w:customStyle="1" w:styleId="601">
    <w:name w:val="文本框"/>
    <w:basedOn w:val="1"/>
    <w:next w:val="1"/>
    <w:autoRedefine/>
    <w:qFormat/>
    <w:uiPriority w:val="0"/>
    <w:pPr>
      <w:spacing w:line="320" w:lineRule="exact"/>
      <w:ind w:firstLine="200" w:firstLineChars="200"/>
      <w:jc w:val="center"/>
    </w:pPr>
    <w:rPr>
      <w:rFonts w:ascii="仿宋_GB2312" w:eastAsia="仿宋_GB2312"/>
    </w:rPr>
  </w:style>
  <w:style w:type="paragraph" w:customStyle="1" w:styleId="602">
    <w:name w:val="xl14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bottom"/>
    </w:pPr>
    <w:rPr>
      <w:rFonts w:ascii="Arial Unicode MS" w:hAnsi="Arial Unicode MS"/>
      <w:sz w:val="20"/>
      <w:szCs w:val="20"/>
    </w:rPr>
  </w:style>
  <w:style w:type="paragraph" w:customStyle="1" w:styleId="603">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604">
    <w:name w:val="标题4_MHZ"/>
    <w:basedOn w:val="1"/>
    <w:next w:val="1"/>
    <w:autoRedefine/>
    <w:qFormat/>
    <w:uiPriority w:val="0"/>
    <w:pPr>
      <w:adjustRightInd w:val="0"/>
      <w:snapToGrid w:val="0"/>
      <w:spacing w:line="360" w:lineRule="auto"/>
      <w:ind w:firstLine="482" w:firstLineChars="200"/>
    </w:pPr>
    <w:rPr>
      <w:b/>
      <w:bCs/>
    </w:rPr>
  </w:style>
  <w:style w:type="paragraph" w:customStyle="1" w:styleId="605">
    <w:name w:val="样式"/>
    <w:autoRedefine/>
    <w:qFormat/>
    <w:uiPriority w:val="0"/>
    <w:pPr>
      <w:keepNext/>
      <w:keepLines/>
      <w:widowControl w:val="0"/>
      <w:adjustRightInd w:val="0"/>
      <w:spacing w:before="340" w:after="330" w:line="578" w:lineRule="atLeast"/>
      <w:jc w:val="both"/>
      <w:textAlignment w:val="baseline"/>
    </w:pPr>
    <w:rPr>
      <w:rFonts w:ascii="Times New Roman" w:hAnsi="Times New Roman" w:eastAsia="宋体" w:cs="Times New Roman"/>
      <w:b/>
      <w:sz w:val="24"/>
      <w:lang w:val="en-US" w:eastAsia="zh-CN" w:bidi="ar-SA"/>
    </w:rPr>
  </w:style>
  <w:style w:type="paragraph" w:customStyle="1" w:styleId="606">
    <w:name w:val="样式 正文文本btBody Text(ch) + 仿宋_GB2312 五号"/>
    <w:basedOn w:val="25"/>
    <w:autoRedefine/>
    <w:qFormat/>
    <w:uiPriority w:val="0"/>
    <w:pPr>
      <w:adjustRightInd w:val="0"/>
      <w:snapToGrid w:val="0"/>
      <w:spacing w:line="500" w:lineRule="exact"/>
    </w:pPr>
    <w:rPr>
      <w:rFonts w:ascii="仿宋_GB2312" w:hAnsi="仿宋_GB2312"/>
      <w:sz w:val="28"/>
    </w:rPr>
  </w:style>
  <w:style w:type="paragraph" w:customStyle="1" w:styleId="607">
    <w:name w:val="正文文本 21"/>
    <w:basedOn w:val="1"/>
    <w:next w:val="3"/>
    <w:autoRedefine/>
    <w:qFormat/>
    <w:uiPriority w:val="0"/>
    <w:pPr>
      <w:spacing w:after="120" w:line="500" w:lineRule="exact"/>
      <w:ind w:left="420" w:leftChars="200"/>
    </w:pPr>
    <w:rPr>
      <w:rFonts w:ascii="仿宋_GB2312" w:eastAsia="仿宋_GB2312"/>
      <w:sz w:val="28"/>
      <w:szCs w:val="28"/>
    </w:rPr>
  </w:style>
  <w:style w:type="paragraph" w:customStyle="1" w:styleId="608">
    <w:name w:val="xl14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sz w:val="18"/>
      <w:szCs w:val="18"/>
    </w:rPr>
  </w:style>
  <w:style w:type="paragraph" w:customStyle="1" w:styleId="609">
    <w:name w:val="样式 正文缩进 + 段前: 0.3 行"/>
    <w:basedOn w:val="4"/>
    <w:autoRedefine/>
    <w:qFormat/>
    <w:uiPriority w:val="0"/>
    <w:pPr>
      <w:suppressAutoHyphens/>
      <w:adjustRightInd w:val="0"/>
      <w:spacing w:beforeLines="30" w:afterLines="10" w:line="288" w:lineRule="auto"/>
      <w:ind w:firstLine="480" w:firstLineChars="200"/>
    </w:pPr>
    <w:rPr>
      <w:rFonts w:ascii="Times New Roman"/>
      <w:kern w:val="24"/>
    </w:rPr>
  </w:style>
  <w:style w:type="paragraph" w:customStyle="1" w:styleId="610">
    <w:name w:val="Char Char Char Char Char Char Char Char Char Char"/>
    <w:basedOn w:val="1"/>
    <w:autoRedefine/>
    <w:qFormat/>
    <w:uiPriority w:val="0"/>
    <w:rPr>
      <w:rFonts w:ascii="黑体" w:hAnsi="黑体" w:eastAsia="黑体"/>
      <w:b/>
      <w:spacing w:val="10"/>
      <w:sz w:val="28"/>
      <w:szCs w:val="20"/>
    </w:rPr>
  </w:style>
  <w:style w:type="paragraph" w:customStyle="1" w:styleId="611">
    <w:name w:val="条题"/>
    <w:basedOn w:val="1"/>
    <w:autoRedefine/>
    <w:qFormat/>
    <w:uiPriority w:val="0"/>
    <w:pPr>
      <w:tabs>
        <w:tab w:val="left" w:pos="1278"/>
      </w:tabs>
      <w:spacing w:line="420" w:lineRule="exact"/>
      <w:ind w:firstLine="480" w:firstLineChars="200"/>
    </w:pPr>
    <w:rPr>
      <w:color w:val="000000"/>
      <w:szCs w:val="20"/>
    </w:rPr>
  </w:style>
  <w:style w:type="paragraph" w:customStyle="1" w:styleId="612">
    <w:name w:val="xl14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sz w:val="18"/>
      <w:szCs w:val="18"/>
    </w:rPr>
  </w:style>
  <w:style w:type="paragraph" w:customStyle="1" w:styleId="613">
    <w:name w:val="封面标准英文名称"/>
    <w:autoRedefine/>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614">
    <w:name w:val="样式 报告书表格 + 小五 底端: (单实线 自动设置  0.75 磅 行宽)"/>
    <w:basedOn w:val="380"/>
    <w:autoRedefine/>
    <w:qFormat/>
    <w:uiPriority w:val="0"/>
    <w:rPr>
      <w:sz w:val="18"/>
      <w:szCs w:val="18"/>
    </w:rPr>
  </w:style>
  <w:style w:type="paragraph" w:customStyle="1" w:styleId="615">
    <w:name w:val="lz正文"/>
    <w:basedOn w:val="1"/>
    <w:autoRedefine/>
    <w:qFormat/>
    <w:uiPriority w:val="0"/>
    <w:pPr>
      <w:adjustRightInd w:val="0"/>
      <w:snapToGrid w:val="0"/>
      <w:spacing w:line="360" w:lineRule="auto"/>
      <w:ind w:firstLine="480" w:firstLineChars="200"/>
    </w:pPr>
    <w:rPr>
      <w:sz w:val="28"/>
      <w:szCs w:val="21"/>
    </w:rPr>
  </w:style>
  <w:style w:type="paragraph" w:customStyle="1" w:styleId="616">
    <w:name w:val="xl14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sz w:val="18"/>
      <w:szCs w:val="18"/>
    </w:rPr>
  </w:style>
  <w:style w:type="paragraph" w:customStyle="1" w:styleId="617">
    <w:name w:val="正文 居中"/>
    <w:basedOn w:val="1"/>
    <w:autoRedefine/>
    <w:qFormat/>
    <w:uiPriority w:val="0"/>
    <w:pPr>
      <w:spacing w:before="48" w:after="48" w:line="360" w:lineRule="auto"/>
      <w:jc w:val="center"/>
    </w:pPr>
    <w:rPr>
      <w:bCs/>
      <w:snapToGrid w:val="0"/>
      <w:szCs w:val="20"/>
    </w:rPr>
  </w:style>
  <w:style w:type="paragraph" w:customStyle="1" w:styleId="618">
    <w:name w:val="xl14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Unicode MS" w:hAnsi="Arial Unicode MS"/>
      <w:sz w:val="20"/>
      <w:szCs w:val="20"/>
    </w:rPr>
  </w:style>
  <w:style w:type="paragraph" w:customStyle="1" w:styleId="619">
    <w:name w:val="封面正文"/>
    <w:autoRedefine/>
    <w:qFormat/>
    <w:uiPriority w:val="0"/>
    <w:pPr>
      <w:jc w:val="both"/>
    </w:pPr>
    <w:rPr>
      <w:rFonts w:ascii="Times New Roman" w:hAnsi="Times New Roman" w:eastAsia="宋体" w:cs="Times New Roman"/>
      <w:lang w:val="en-US" w:eastAsia="zh-CN" w:bidi="ar-SA"/>
    </w:rPr>
  </w:style>
  <w:style w:type="paragraph" w:customStyle="1" w:styleId="620">
    <w:name w:val="报告表格"/>
    <w:basedOn w:val="1"/>
    <w:autoRedefine/>
    <w:qFormat/>
    <w:uiPriority w:val="0"/>
    <w:pPr>
      <w:autoSpaceDE w:val="0"/>
      <w:autoSpaceDN w:val="0"/>
      <w:adjustRightInd w:val="0"/>
      <w:spacing w:line="400" w:lineRule="exact"/>
      <w:jc w:val="center"/>
      <w:textAlignment w:val="bottom"/>
    </w:pPr>
    <w:rPr>
      <w:rFonts w:eastAsia="仿宋_GB2312"/>
      <w:sz w:val="28"/>
      <w:szCs w:val="21"/>
    </w:rPr>
  </w:style>
  <w:style w:type="paragraph" w:customStyle="1" w:styleId="621">
    <w:name w:val="样式 宋体 四号 左 行距: 固定值 25 磅"/>
    <w:basedOn w:val="1"/>
    <w:autoRedefine/>
    <w:qFormat/>
    <w:uiPriority w:val="0"/>
    <w:pPr>
      <w:spacing w:line="500" w:lineRule="exact"/>
      <w:ind w:firstLine="200" w:firstLineChars="200"/>
    </w:pPr>
    <w:rPr>
      <w:sz w:val="28"/>
      <w:szCs w:val="20"/>
    </w:rPr>
  </w:style>
  <w:style w:type="paragraph" w:customStyle="1" w:styleId="622">
    <w:name w:val="正文样式1"/>
    <w:basedOn w:val="1"/>
    <w:autoRedefine/>
    <w:qFormat/>
    <w:uiPriority w:val="0"/>
    <w:pPr>
      <w:adjustRightInd w:val="0"/>
      <w:spacing w:line="360" w:lineRule="auto"/>
      <w:ind w:firstLine="480" w:firstLineChars="200"/>
      <w:textAlignment w:val="baseline"/>
    </w:pPr>
    <w:rPr>
      <w:rFonts w:ascii="Arial" w:hAnsi="Arial" w:cs="Arial"/>
      <w:szCs w:val="20"/>
    </w:rPr>
  </w:style>
  <w:style w:type="paragraph" w:customStyle="1" w:styleId="623">
    <w:name w:val="附录标识"/>
    <w:basedOn w:val="413"/>
    <w:autoRedefine/>
    <w:qFormat/>
    <w:uiPriority w:val="0"/>
    <w:pPr>
      <w:tabs>
        <w:tab w:val="left" w:pos="6405"/>
        <w:tab w:val="clear" w:pos="903"/>
        <w:tab w:val="clear" w:pos="1280"/>
      </w:tabs>
      <w:spacing w:after="200"/>
      <w:ind w:left="0" w:firstLine="0"/>
    </w:pPr>
    <w:rPr>
      <w:sz w:val="21"/>
      <w:szCs w:val="20"/>
    </w:rPr>
  </w:style>
  <w:style w:type="paragraph" w:customStyle="1" w:styleId="624">
    <w:name w:val="正文新 Char"/>
    <w:basedOn w:val="1"/>
    <w:autoRedefine/>
    <w:qFormat/>
    <w:uiPriority w:val="0"/>
    <w:pPr>
      <w:spacing w:line="360" w:lineRule="auto"/>
      <w:ind w:firstLine="480" w:firstLineChars="200"/>
    </w:pPr>
    <w:rPr>
      <w:szCs w:val="20"/>
    </w:rPr>
  </w:style>
  <w:style w:type="paragraph" w:customStyle="1" w:styleId="625">
    <w:name w:val="图表正文"/>
    <w:basedOn w:val="1"/>
    <w:autoRedefine/>
    <w:qFormat/>
    <w:uiPriority w:val="0"/>
    <w:pPr>
      <w:adjustRightInd w:val="0"/>
      <w:snapToGrid w:val="0"/>
      <w:spacing w:line="360" w:lineRule="auto"/>
      <w:jc w:val="center"/>
      <w:textAlignment w:val="center"/>
    </w:pPr>
    <w:rPr>
      <w:rFonts w:eastAsia="仿宋_GB2312"/>
      <w:snapToGrid w:val="0"/>
      <w:szCs w:val="21"/>
    </w:rPr>
  </w:style>
  <w:style w:type="paragraph" w:customStyle="1" w:styleId="626">
    <w:name w:val="样式9"/>
    <w:basedOn w:val="1"/>
    <w:autoRedefine/>
    <w:qFormat/>
    <w:uiPriority w:val="0"/>
  </w:style>
  <w:style w:type="paragraph" w:customStyle="1" w:styleId="627">
    <w:name w:val="表内容"/>
    <w:basedOn w:val="1"/>
    <w:autoRedefine/>
    <w:qFormat/>
    <w:uiPriority w:val="0"/>
    <w:pPr>
      <w:adjustRightInd w:val="0"/>
      <w:snapToGrid w:val="0"/>
      <w:spacing w:after="120"/>
      <w:textAlignment w:val="bottom"/>
    </w:pPr>
    <w:rPr>
      <w:rFonts w:ascii="Arial" w:hAnsi="Arial" w:eastAsia="楷体_GB2312"/>
      <w:szCs w:val="20"/>
    </w:rPr>
  </w:style>
  <w:style w:type="paragraph" w:customStyle="1" w:styleId="628">
    <w:name w:val="附录表标题"/>
    <w:next w:val="260"/>
    <w:autoRedefine/>
    <w:qFormat/>
    <w:uiPriority w:val="0"/>
    <w:pPr>
      <w:jc w:val="center"/>
      <w:textAlignment w:val="baseline"/>
    </w:pPr>
    <w:rPr>
      <w:rFonts w:ascii="黑体" w:hAnsi="Times New Roman" w:eastAsia="黑体" w:cs="Times New Roman"/>
      <w:kern w:val="21"/>
      <w:sz w:val="21"/>
      <w:lang w:val="en-US" w:eastAsia="zh-CN" w:bidi="ar-SA"/>
    </w:rPr>
  </w:style>
  <w:style w:type="paragraph" w:customStyle="1" w:styleId="629">
    <w:name w:val="文字块"/>
    <w:basedOn w:val="1"/>
    <w:autoRedefine/>
    <w:qFormat/>
    <w:uiPriority w:val="0"/>
    <w:pPr>
      <w:adjustRightInd w:val="0"/>
      <w:spacing w:line="360" w:lineRule="auto"/>
      <w:ind w:left="-360" w:right="-57" w:firstLine="303"/>
      <w:textAlignment w:val="baseline"/>
    </w:pPr>
    <w:rPr>
      <w:sz w:val="28"/>
      <w:szCs w:val="20"/>
    </w:rPr>
  </w:style>
  <w:style w:type="paragraph" w:customStyle="1" w:styleId="630">
    <w:name w:val="zhenwen"/>
    <w:basedOn w:val="1"/>
    <w:autoRedefine/>
    <w:qFormat/>
    <w:uiPriority w:val="0"/>
    <w:pPr>
      <w:spacing w:before="100" w:beforeAutospacing="1" w:after="100" w:afterAutospacing="1" w:line="360" w:lineRule="atLeast"/>
    </w:pPr>
    <w:rPr>
      <w:rFonts w:ascii="Բ" w:hAnsi="Բ"/>
      <w:color w:val="000000"/>
      <w:sz w:val="18"/>
      <w:szCs w:val="18"/>
    </w:rPr>
  </w:style>
  <w:style w:type="paragraph" w:customStyle="1" w:styleId="631">
    <w:name w:val="正文e"/>
    <w:basedOn w:val="1"/>
    <w:autoRedefine/>
    <w:qFormat/>
    <w:uiPriority w:val="0"/>
    <w:rPr>
      <w:rFonts w:ascii="Arial" w:hAnsi="Arial" w:cs="Arial"/>
      <w:szCs w:val="20"/>
    </w:rPr>
  </w:style>
  <w:style w:type="paragraph" w:customStyle="1" w:styleId="632">
    <w:name w:val="xl53"/>
    <w:basedOn w:val="1"/>
    <w:autoRedefine/>
    <w:qFormat/>
    <w:uiPriority w:val="0"/>
    <w:pPr>
      <w:pBdr>
        <w:left w:val="single" w:color="auto" w:sz="4" w:space="0"/>
        <w:bottom w:val="single" w:color="auto" w:sz="4" w:space="0"/>
        <w:right w:val="single" w:color="auto" w:sz="4" w:space="0"/>
      </w:pBdr>
      <w:spacing w:before="100" w:beforeAutospacing="1" w:after="100" w:afterAutospacing="1" w:line="500" w:lineRule="exact"/>
      <w:jc w:val="center"/>
      <w:textAlignment w:val="center"/>
    </w:pPr>
    <w:rPr>
      <w:rFonts w:eastAsia="仿宋_GB2312"/>
      <w:sz w:val="18"/>
      <w:szCs w:val="18"/>
    </w:rPr>
  </w:style>
  <w:style w:type="paragraph" w:customStyle="1" w:styleId="633">
    <w:name w:val="环评报告格式"/>
    <w:basedOn w:val="5"/>
    <w:autoRedefine/>
    <w:qFormat/>
    <w:uiPriority w:val="0"/>
    <w:pPr>
      <w:spacing w:beforeLines="0" w:afterLines="0" w:line="500" w:lineRule="exact"/>
      <w:ind w:firstLine="540" w:firstLineChars="225"/>
      <w:jc w:val="both"/>
    </w:pPr>
    <w:rPr>
      <w:rFonts w:ascii="Times New Roman" w:eastAsia="宋体"/>
      <w:sz w:val="30"/>
      <w:szCs w:val="44"/>
    </w:rPr>
  </w:style>
  <w:style w:type="paragraph" w:customStyle="1" w:styleId="634">
    <w:name w:val="标题1"/>
    <w:basedOn w:val="1"/>
    <w:autoRedefine/>
    <w:qFormat/>
    <w:uiPriority w:val="0"/>
    <w:pPr>
      <w:spacing w:before="100" w:beforeAutospacing="1" w:after="100" w:afterAutospacing="1"/>
    </w:pPr>
    <w:rPr>
      <w:color w:val="000000"/>
    </w:rPr>
  </w:style>
  <w:style w:type="paragraph" w:customStyle="1" w:styleId="635">
    <w:name w:val="Char Char Char Char"/>
    <w:basedOn w:val="1"/>
    <w:autoRedefine/>
    <w:qFormat/>
    <w:uiPriority w:val="0"/>
    <w:pPr>
      <w:adjustRightInd w:val="0"/>
      <w:spacing w:after="160" w:line="240" w:lineRule="exact"/>
      <w:textAlignment w:val="baseline"/>
    </w:pPr>
    <w:rPr>
      <w:rFonts w:ascii="Arial" w:hAnsi="Arial" w:eastAsia="Times New Roman" w:cs="Verdana"/>
      <w:b/>
      <w:lang w:eastAsia="en-US"/>
    </w:rPr>
  </w:style>
  <w:style w:type="paragraph" w:customStyle="1" w:styleId="636">
    <w:name w:val="附录图标题"/>
    <w:next w:val="260"/>
    <w:autoRedefine/>
    <w:qFormat/>
    <w:uiPriority w:val="0"/>
    <w:pPr>
      <w:jc w:val="center"/>
    </w:pPr>
    <w:rPr>
      <w:rFonts w:ascii="黑体" w:hAnsi="Times New Roman" w:eastAsia="黑体" w:cs="Times New Roman"/>
      <w:sz w:val="21"/>
      <w:lang w:val="en-US" w:eastAsia="zh-CN" w:bidi="ar-SA"/>
    </w:rPr>
  </w:style>
  <w:style w:type="paragraph" w:customStyle="1" w:styleId="637">
    <w:name w:val="目录 9 Char Char"/>
    <w:basedOn w:val="1"/>
    <w:next w:val="1"/>
    <w:autoRedefine/>
    <w:qFormat/>
    <w:uiPriority w:val="0"/>
    <w:pPr>
      <w:spacing w:line="351" w:lineRule="atLeast"/>
      <w:ind w:left="1678" w:firstLine="419"/>
    </w:pPr>
    <w:rPr>
      <w:rFonts w:hint="eastAsia"/>
      <w:szCs w:val="20"/>
    </w:rPr>
  </w:style>
  <w:style w:type="paragraph" w:customStyle="1" w:styleId="638">
    <w:name w:val="正文段落"/>
    <w:basedOn w:val="1"/>
    <w:autoRedefine/>
    <w:qFormat/>
    <w:uiPriority w:val="0"/>
    <w:pPr>
      <w:autoSpaceDE w:val="0"/>
      <w:autoSpaceDN w:val="0"/>
      <w:adjustRightInd w:val="0"/>
      <w:spacing w:line="500" w:lineRule="exact"/>
      <w:ind w:firstLine="200" w:firstLineChars="200"/>
      <w:textAlignment w:val="baseline"/>
    </w:pPr>
    <w:rPr>
      <w:rFonts w:hAnsi="Tms Rmn" w:eastAsia="仿宋_GB2312"/>
      <w:sz w:val="28"/>
      <w:szCs w:val="20"/>
    </w:rPr>
  </w:style>
  <w:style w:type="paragraph" w:customStyle="1" w:styleId="639">
    <w:name w:val="页脚 Char Char"/>
    <w:basedOn w:val="1"/>
    <w:autoRedefine/>
    <w:qFormat/>
    <w:uiPriority w:val="0"/>
    <w:pPr>
      <w:tabs>
        <w:tab w:val="left" w:pos="4149"/>
        <w:tab w:val="left" w:pos="8016"/>
      </w:tabs>
      <w:spacing w:line="351" w:lineRule="atLeast"/>
      <w:ind w:firstLine="419"/>
    </w:pPr>
    <w:rPr>
      <w:rFonts w:hint="eastAsia"/>
      <w:sz w:val="18"/>
      <w:szCs w:val="20"/>
    </w:rPr>
  </w:style>
  <w:style w:type="paragraph" w:customStyle="1" w:styleId="640">
    <w:name w:val="样式 标题3 + Times New Roman"/>
    <w:basedOn w:val="531"/>
    <w:autoRedefine/>
    <w:qFormat/>
    <w:uiPriority w:val="0"/>
    <w:pPr>
      <w:keepNext w:val="0"/>
      <w:keepLines w:val="0"/>
      <w:autoSpaceDE/>
      <w:autoSpaceDN/>
      <w:snapToGrid/>
      <w:jc w:val="both"/>
      <w:outlineLvl w:val="9"/>
    </w:pPr>
    <w:rPr>
      <w:rFonts w:eastAsia="宋体"/>
      <w:b/>
      <w:bCs/>
      <w:kern w:val="2"/>
    </w:rPr>
  </w:style>
  <w:style w:type="paragraph" w:customStyle="1" w:styleId="641">
    <w:name w:val="SCIDI正文"/>
    <w:basedOn w:val="1"/>
    <w:autoRedefine/>
    <w:qFormat/>
    <w:uiPriority w:val="0"/>
    <w:pPr>
      <w:adjustRightInd w:val="0"/>
      <w:snapToGrid w:val="0"/>
      <w:spacing w:line="360" w:lineRule="auto"/>
      <w:ind w:firstLine="560" w:firstLineChars="200"/>
    </w:pPr>
    <w:rPr>
      <w:sz w:val="28"/>
      <w:szCs w:val="28"/>
    </w:rPr>
  </w:style>
  <w:style w:type="paragraph" w:customStyle="1" w:styleId="642">
    <w:name w:val="cjh"/>
    <w:basedOn w:val="1"/>
    <w:next w:val="1"/>
    <w:autoRedefine/>
    <w:qFormat/>
    <w:uiPriority w:val="0"/>
    <w:pPr>
      <w:keepLines/>
      <w:suppressLineNumbers/>
      <w:suppressAutoHyphens/>
      <w:jc w:val="center"/>
      <w:outlineLvl w:val="0"/>
    </w:pPr>
    <w:rPr>
      <w:rFonts w:hint="eastAsia"/>
      <w:kern w:val="24"/>
      <w:szCs w:val="20"/>
    </w:rPr>
  </w:style>
  <w:style w:type="paragraph" w:customStyle="1" w:styleId="643">
    <w:name w:val="项目编号"/>
    <w:basedOn w:val="1"/>
    <w:next w:val="1"/>
    <w:autoRedefine/>
    <w:qFormat/>
    <w:uiPriority w:val="0"/>
    <w:pPr>
      <w:spacing w:before="120" w:after="120" w:line="360" w:lineRule="auto"/>
    </w:pPr>
    <w:rPr>
      <w:szCs w:val="20"/>
    </w:rPr>
  </w:style>
  <w:style w:type="paragraph" w:customStyle="1" w:styleId="644">
    <w:name w:val="表后文"/>
    <w:basedOn w:val="1"/>
    <w:autoRedefine/>
    <w:qFormat/>
    <w:uiPriority w:val="0"/>
    <w:pPr>
      <w:adjustRightInd w:val="0"/>
      <w:spacing w:before="120" w:line="520" w:lineRule="exact"/>
      <w:ind w:firstLine="510"/>
      <w:textAlignment w:val="baseline"/>
    </w:pPr>
    <w:rPr>
      <w:rFonts w:eastAsia="楷体_GB2312"/>
    </w:rPr>
  </w:style>
  <w:style w:type="paragraph" w:customStyle="1" w:styleId="645">
    <w:name w:val="目录 7 Char Char"/>
    <w:basedOn w:val="1"/>
    <w:next w:val="1"/>
    <w:autoRedefine/>
    <w:qFormat/>
    <w:uiPriority w:val="0"/>
    <w:pPr>
      <w:spacing w:line="351" w:lineRule="atLeast"/>
      <w:ind w:left="1258" w:firstLine="419"/>
    </w:pPr>
    <w:rPr>
      <w:rFonts w:hint="eastAsia"/>
      <w:szCs w:val="20"/>
    </w:rPr>
  </w:style>
  <w:style w:type="paragraph" w:customStyle="1" w:styleId="646">
    <w:name w:val="CM6"/>
    <w:basedOn w:val="333"/>
    <w:next w:val="333"/>
    <w:autoRedefine/>
    <w:qFormat/>
    <w:uiPriority w:val="0"/>
    <w:pPr>
      <w:spacing w:line="546" w:lineRule="atLeast"/>
    </w:pPr>
    <w:rPr>
      <w:rFonts w:ascii="宋体" w:eastAsia="宋体" w:cs="Times New Roman"/>
      <w:color w:val="auto"/>
    </w:rPr>
  </w:style>
  <w:style w:type="paragraph" w:customStyle="1" w:styleId="647">
    <w:name w:val="附录三级条标题"/>
    <w:basedOn w:val="460"/>
    <w:next w:val="260"/>
    <w:autoRedefine/>
    <w:qFormat/>
    <w:uiPriority w:val="0"/>
    <w:pPr>
      <w:outlineLvl w:val="4"/>
    </w:pPr>
  </w:style>
  <w:style w:type="paragraph" w:customStyle="1" w:styleId="648">
    <w:name w:val="CM21"/>
    <w:basedOn w:val="333"/>
    <w:next w:val="333"/>
    <w:autoRedefine/>
    <w:qFormat/>
    <w:uiPriority w:val="0"/>
    <w:pPr>
      <w:spacing w:line="548" w:lineRule="atLeast"/>
    </w:pPr>
    <w:rPr>
      <w:rFonts w:ascii="宋体" w:eastAsia="宋体" w:cs="Times New Roman"/>
      <w:color w:val="auto"/>
    </w:rPr>
  </w:style>
  <w:style w:type="paragraph" w:customStyle="1" w:styleId="649">
    <w:name w:val="附录四级条标题"/>
    <w:basedOn w:val="647"/>
    <w:next w:val="260"/>
    <w:autoRedefine/>
    <w:qFormat/>
    <w:uiPriority w:val="0"/>
    <w:pPr>
      <w:outlineLvl w:val="5"/>
    </w:pPr>
  </w:style>
  <w:style w:type="paragraph" w:customStyle="1" w:styleId="650">
    <w:name w:val="CM8"/>
    <w:basedOn w:val="333"/>
    <w:next w:val="333"/>
    <w:autoRedefine/>
    <w:qFormat/>
    <w:uiPriority w:val="0"/>
    <w:pPr>
      <w:spacing w:line="548" w:lineRule="atLeast"/>
    </w:pPr>
    <w:rPr>
      <w:rFonts w:ascii="宋体" w:eastAsia="宋体" w:cs="Times New Roman"/>
      <w:color w:val="auto"/>
    </w:rPr>
  </w:style>
  <w:style w:type="paragraph" w:customStyle="1" w:styleId="651">
    <w:name w:val="附录五级条标题"/>
    <w:basedOn w:val="649"/>
    <w:next w:val="260"/>
    <w:autoRedefine/>
    <w:qFormat/>
    <w:uiPriority w:val="0"/>
    <w:pPr>
      <w:outlineLvl w:val="6"/>
    </w:pPr>
  </w:style>
  <w:style w:type="paragraph" w:customStyle="1" w:styleId="652">
    <w:name w:val="列项——"/>
    <w:autoRedefine/>
    <w:qFormat/>
    <w:uiPriority w:val="0"/>
    <w:pPr>
      <w:widowControl w:val="0"/>
      <w:tabs>
        <w:tab w:val="left" w:pos="854"/>
        <w:tab w:val="left" w:pos="990"/>
      </w:tabs>
      <w:ind w:left="990" w:leftChars="200" w:hanging="420" w:hangingChars="200"/>
      <w:jc w:val="both"/>
    </w:pPr>
    <w:rPr>
      <w:rFonts w:ascii="宋体" w:hAnsi="Times New Roman" w:eastAsia="宋体" w:cs="Times New Roman"/>
      <w:sz w:val="21"/>
      <w:lang w:val="en-US" w:eastAsia="zh-CN" w:bidi="ar-SA"/>
    </w:rPr>
  </w:style>
  <w:style w:type="paragraph" w:customStyle="1" w:styleId="653">
    <w:name w:val="列项·"/>
    <w:autoRedefine/>
    <w:qFormat/>
    <w:uiPriority w:val="0"/>
    <w:pPr>
      <w:tabs>
        <w:tab w:val="left" w:pos="840"/>
      </w:tabs>
      <w:ind w:left="840" w:leftChars="200" w:hanging="420" w:hangingChars="200"/>
      <w:jc w:val="both"/>
    </w:pPr>
    <w:rPr>
      <w:rFonts w:ascii="宋体" w:hAnsi="Times New Roman" w:eastAsia="宋体" w:cs="Times New Roman"/>
      <w:sz w:val="21"/>
      <w:lang w:val="en-US" w:eastAsia="zh-CN" w:bidi="ar-SA"/>
    </w:rPr>
  </w:style>
  <w:style w:type="paragraph" w:customStyle="1" w:styleId="654">
    <w:name w:val="目次、标准名称标题"/>
    <w:basedOn w:val="413"/>
    <w:next w:val="260"/>
    <w:autoRedefine/>
    <w:qFormat/>
    <w:uiPriority w:val="0"/>
    <w:pPr>
      <w:tabs>
        <w:tab w:val="clear" w:pos="903"/>
        <w:tab w:val="clear" w:pos="1280"/>
      </w:tabs>
      <w:spacing w:line="460" w:lineRule="exact"/>
      <w:ind w:left="0" w:firstLine="0"/>
    </w:pPr>
    <w:rPr>
      <w:szCs w:val="20"/>
    </w:rPr>
  </w:style>
  <w:style w:type="paragraph" w:customStyle="1" w:styleId="655">
    <w:name w:val="CM11"/>
    <w:basedOn w:val="333"/>
    <w:next w:val="333"/>
    <w:autoRedefine/>
    <w:qFormat/>
    <w:uiPriority w:val="0"/>
    <w:pPr>
      <w:spacing w:line="548" w:lineRule="atLeast"/>
    </w:pPr>
    <w:rPr>
      <w:rFonts w:ascii="宋体" w:eastAsia="宋体" w:cs="Times New Roman"/>
      <w:color w:val="auto"/>
    </w:rPr>
  </w:style>
  <w:style w:type="paragraph" w:customStyle="1" w:styleId="656">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657">
    <w:name w:val="CM5"/>
    <w:basedOn w:val="333"/>
    <w:next w:val="333"/>
    <w:autoRedefine/>
    <w:qFormat/>
    <w:uiPriority w:val="0"/>
    <w:pPr>
      <w:spacing w:line="548" w:lineRule="atLeast"/>
    </w:pPr>
    <w:rPr>
      <w:rFonts w:ascii="宋体" w:eastAsia="宋体" w:cs="Times New Roman"/>
      <w:color w:val="auto"/>
    </w:rPr>
  </w:style>
  <w:style w:type="paragraph" w:customStyle="1" w:styleId="658">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paragraph" w:customStyle="1" w:styleId="659">
    <w:name w:val="CM14"/>
    <w:basedOn w:val="333"/>
    <w:next w:val="333"/>
    <w:autoRedefine/>
    <w:qFormat/>
    <w:uiPriority w:val="0"/>
    <w:pPr>
      <w:spacing w:line="546" w:lineRule="atLeast"/>
    </w:pPr>
    <w:rPr>
      <w:rFonts w:ascii="宋体" w:eastAsia="宋体" w:cs="Times New Roman"/>
      <w:color w:val="auto"/>
    </w:rPr>
  </w:style>
  <w:style w:type="paragraph" w:customStyle="1" w:styleId="660">
    <w:name w:val="其他发布部门"/>
    <w:basedOn w:val="401"/>
    <w:autoRedefine/>
    <w:qFormat/>
    <w:uiPriority w:val="0"/>
    <w:pPr>
      <w:framePr w:wrap="around"/>
      <w:spacing w:line="0" w:lineRule="atLeast"/>
    </w:pPr>
    <w:rPr>
      <w:rFonts w:ascii="黑体" w:eastAsia="黑体"/>
      <w:b w:val="0"/>
    </w:rPr>
  </w:style>
  <w:style w:type="paragraph" w:customStyle="1" w:styleId="661">
    <w:name w:val="三级无标题条"/>
    <w:basedOn w:val="1"/>
    <w:autoRedefine/>
    <w:qFormat/>
    <w:uiPriority w:val="0"/>
    <w:pPr>
      <w:tabs>
        <w:tab w:val="left" w:pos="2580"/>
      </w:tabs>
      <w:ind w:left="2580" w:hanging="420"/>
    </w:pPr>
    <w:rPr>
      <w:szCs w:val="20"/>
    </w:rPr>
  </w:style>
  <w:style w:type="paragraph" w:customStyle="1" w:styleId="662">
    <w:name w:val="CM27"/>
    <w:basedOn w:val="333"/>
    <w:next w:val="333"/>
    <w:autoRedefine/>
    <w:qFormat/>
    <w:uiPriority w:val="0"/>
    <w:pPr>
      <w:spacing w:line="548" w:lineRule="atLeast"/>
    </w:pPr>
    <w:rPr>
      <w:rFonts w:ascii="宋体" w:eastAsia="宋体" w:cs="Times New Roman"/>
      <w:color w:val="auto"/>
    </w:rPr>
  </w:style>
  <w:style w:type="paragraph" w:customStyle="1" w:styleId="663">
    <w:name w:val="实施日期"/>
    <w:basedOn w:val="586"/>
    <w:autoRedefine/>
    <w:qFormat/>
    <w:uiPriority w:val="0"/>
    <w:pPr>
      <w:framePr w:hSpace="0" w:wrap="around" w:xAlign="right"/>
      <w:jc w:val="right"/>
    </w:pPr>
  </w:style>
  <w:style w:type="paragraph" w:customStyle="1" w:styleId="664">
    <w:name w:val="示例"/>
    <w:next w:val="260"/>
    <w:autoRedefine/>
    <w:qFormat/>
    <w:uiPriority w:val="0"/>
    <w:pPr>
      <w:tabs>
        <w:tab w:val="left" w:pos="816"/>
      </w:tabs>
      <w:ind w:left="960" w:firstLine="419" w:firstLineChars="233"/>
      <w:jc w:val="both"/>
    </w:pPr>
    <w:rPr>
      <w:rFonts w:ascii="宋体" w:hAnsi="Times New Roman" w:eastAsia="宋体" w:cs="Times New Roman"/>
      <w:sz w:val="18"/>
      <w:lang w:val="en-US" w:eastAsia="zh-CN" w:bidi="ar-SA"/>
    </w:rPr>
  </w:style>
  <w:style w:type="paragraph" w:customStyle="1" w:styleId="665">
    <w:name w:val="数字编号列项（二级）"/>
    <w:autoRedefine/>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666">
    <w:name w:val="四级无标题条"/>
    <w:basedOn w:val="1"/>
    <w:autoRedefine/>
    <w:qFormat/>
    <w:uiPriority w:val="0"/>
    <w:pPr>
      <w:tabs>
        <w:tab w:val="left" w:pos="3000"/>
      </w:tabs>
      <w:ind w:left="3000" w:hanging="420"/>
    </w:pPr>
    <w:rPr>
      <w:szCs w:val="20"/>
    </w:rPr>
  </w:style>
  <w:style w:type="paragraph" w:customStyle="1" w:styleId="667">
    <w:name w:val="条文脚注"/>
    <w:basedOn w:val="48"/>
    <w:autoRedefine/>
    <w:qFormat/>
    <w:uiPriority w:val="0"/>
    <w:pPr>
      <w:ind w:left="780" w:leftChars="200" w:hanging="360" w:hangingChars="200"/>
      <w:jc w:val="both"/>
    </w:pPr>
  </w:style>
  <w:style w:type="paragraph" w:customStyle="1" w:styleId="668">
    <w:name w:val="图表脚注"/>
    <w:next w:val="260"/>
    <w:autoRedefine/>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669">
    <w:name w:val="文献分类号"/>
    <w:autoRedefine/>
    <w:qFormat/>
    <w:uiPriority w:val="0"/>
    <w:pPr>
      <w:framePr w:hSpace="180" w:vSpace="180" w:wrap="around" w:vAnchor="margin" w:hAnchor="margin" w:y="1" w:anchorLock="1"/>
      <w:widowControl w:val="0"/>
      <w:tabs>
        <w:tab w:val="left" w:pos="2670"/>
      </w:tabs>
      <w:ind w:left="2670" w:hanging="420"/>
      <w:textAlignment w:val="center"/>
    </w:pPr>
    <w:rPr>
      <w:rFonts w:ascii="Times New Roman" w:hAnsi="Times New Roman" w:eastAsia="黑体" w:cs="Times New Roman"/>
      <w:sz w:val="21"/>
      <w:lang w:val="en-US" w:eastAsia="zh-CN" w:bidi="ar-SA"/>
    </w:rPr>
  </w:style>
  <w:style w:type="paragraph" w:customStyle="1" w:styleId="670">
    <w:name w:val="无标题条"/>
    <w:next w:val="260"/>
    <w:autoRedefine/>
    <w:qFormat/>
    <w:uiPriority w:val="0"/>
    <w:pPr>
      <w:tabs>
        <w:tab w:val="left" w:pos="2100"/>
      </w:tabs>
      <w:ind w:left="2100" w:hanging="420"/>
      <w:jc w:val="both"/>
    </w:pPr>
    <w:rPr>
      <w:rFonts w:ascii="Times New Roman" w:hAnsi="Times New Roman" w:eastAsia="宋体" w:cs="Times New Roman"/>
      <w:sz w:val="21"/>
      <w:lang w:val="en-US" w:eastAsia="zh-CN" w:bidi="ar-SA"/>
    </w:rPr>
  </w:style>
  <w:style w:type="paragraph" w:customStyle="1" w:styleId="671">
    <w:name w:val="五级条标题"/>
    <w:basedOn w:val="433"/>
    <w:next w:val="260"/>
    <w:autoRedefine/>
    <w:qFormat/>
    <w:uiPriority w:val="0"/>
    <w:pPr>
      <w:tabs>
        <w:tab w:val="left" w:pos="2940"/>
        <w:tab w:val="clear" w:pos="3058"/>
      </w:tabs>
      <w:ind w:left="2940" w:hanging="420"/>
      <w:outlineLvl w:val="6"/>
    </w:pPr>
    <w:rPr>
      <w:szCs w:val="20"/>
    </w:rPr>
  </w:style>
  <w:style w:type="paragraph" w:customStyle="1" w:styleId="672">
    <w:name w:val="五级无标题条"/>
    <w:basedOn w:val="1"/>
    <w:autoRedefine/>
    <w:qFormat/>
    <w:uiPriority w:val="0"/>
    <w:rPr>
      <w:szCs w:val="20"/>
    </w:rPr>
  </w:style>
  <w:style w:type="paragraph" w:customStyle="1" w:styleId="673">
    <w:name w:val="一级无标题条"/>
    <w:basedOn w:val="1"/>
    <w:autoRedefine/>
    <w:qFormat/>
    <w:uiPriority w:val="0"/>
    <w:pPr>
      <w:tabs>
        <w:tab w:val="left" w:pos="3090"/>
      </w:tabs>
      <w:ind w:left="3090" w:hanging="420"/>
    </w:pPr>
    <w:rPr>
      <w:szCs w:val="20"/>
    </w:rPr>
  </w:style>
  <w:style w:type="paragraph" w:customStyle="1" w:styleId="674">
    <w:name w:val="正文图标题"/>
    <w:next w:val="260"/>
    <w:autoRedefine/>
    <w:qFormat/>
    <w:uiPriority w:val="0"/>
    <w:pPr>
      <w:tabs>
        <w:tab w:val="left" w:pos="887"/>
      </w:tabs>
      <w:ind w:left="887" w:hanging="360"/>
      <w:jc w:val="center"/>
    </w:pPr>
    <w:rPr>
      <w:rFonts w:ascii="黑体" w:hAnsi="Times New Roman" w:eastAsia="黑体" w:cs="Times New Roman"/>
      <w:sz w:val="21"/>
      <w:lang w:val="en-US" w:eastAsia="zh-CN" w:bidi="ar-SA"/>
    </w:rPr>
  </w:style>
  <w:style w:type="paragraph" w:customStyle="1" w:styleId="675">
    <w:name w:val="注："/>
    <w:next w:val="260"/>
    <w:autoRedefine/>
    <w:qFormat/>
    <w:uiPriority w:val="0"/>
    <w:pPr>
      <w:widowControl w:val="0"/>
      <w:tabs>
        <w:tab w:val="left" w:pos="720"/>
      </w:tabs>
      <w:autoSpaceDE w:val="0"/>
      <w:autoSpaceDN w:val="0"/>
      <w:ind w:left="720" w:hanging="360"/>
      <w:jc w:val="both"/>
    </w:pPr>
    <w:rPr>
      <w:rFonts w:ascii="宋体" w:hAnsi="Times New Roman" w:eastAsia="宋体" w:cs="Times New Roman"/>
      <w:sz w:val="18"/>
      <w:lang w:val="en-US" w:eastAsia="zh-CN" w:bidi="ar-SA"/>
    </w:rPr>
  </w:style>
  <w:style w:type="paragraph" w:customStyle="1" w:styleId="676">
    <w:name w:val="注×："/>
    <w:autoRedefine/>
    <w:qFormat/>
    <w:uiPriority w:val="0"/>
    <w:pPr>
      <w:widowControl w:val="0"/>
      <w:tabs>
        <w:tab w:val="left" w:pos="630"/>
        <w:tab w:val="left" w:pos="990"/>
      </w:tabs>
      <w:autoSpaceDE w:val="0"/>
      <w:autoSpaceDN w:val="0"/>
      <w:ind w:left="990" w:hanging="420"/>
      <w:jc w:val="both"/>
    </w:pPr>
    <w:rPr>
      <w:rFonts w:ascii="宋体" w:hAnsi="Times New Roman" w:eastAsia="宋体" w:cs="Times New Roman"/>
      <w:sz w:val="18"/>
      <w:lang w:val="en-US" w:eastAsia="zh-CN" w:bidi="ar-SA"/>
    </w:rPr>
  </w:style>
  <w:style w:type="paragraph" w:customStyle="1" w:styleId="677">
    <w:name w:val="字母编号列项（一级）"/>
    <w:autoRedefine/>
    <w:qFormat/>
    <w:uiPriority w:val="0"/>
    <w:pPr>
      <w:tabs>
        <w:tab w:val="left" w:pos="3510"/>
      </w:tabs>
      <w:ind w:left="840" w:leftChars="200" w:hanging="420" w:hangingChars="200"/>
      <w:jc w:val="both"/>
    </w:pPr>
    <w:rPr>
      <w:rFonts w:ascii="宋体" w:hAnsi="Times New Roman" w:eastAsia="宋体" w:cs="Times New Roman"/>
      <w:sz w:val="21"/>
      <w:lang w:val="en-US" w:eastAsia="zh-CN" w:bidi="ar-SA"/>
    </w:rPr>
  </w:style>
  <w:style w:type="paragraph" w:customStyle="1" w:styleId="678">
    <w:name w:val="CM78"/>
    <w:basedOn w:val="333"/>
    <w:next w:val="333"/>
    <w:autoRedefine/>
    <w:qFormat/>
    <w:uiPriority w:val="0"/>
    <w:pPr>
      <w:spacing w:after="318"/>
    </w:pPr>
    <w:rPr>
      <w:rFonts w:ascii="宋体" w:eastAsia="宋体" w:cs="Times New Roman"/>
      <w:color w:val="auto"/>
    </w:rPr>
  </w:style>
  <w:style w:type="paragraph" w:customStyle="1" w:styleId="679">
    <w:name w:val="CM75"/>
    <w:basedOn w:val="333"/>
    <w:next w:val="333"/>
    <w:autoRedefine/>
    <w:qFormat/>
    <w:uiPriority w:val="0"/>
    <w:pPr>
      <w:spacing w:after="475"/>
    </w:pPr>
    <w:rPr>
      <w:rFonts w:ascii="宋体" w:eastAsia="宋体" w:cs="Times New Roman"/>
      <w:color w:val="auto"/>
    </w:rPr>
  </w:style>
  <w:style w:type="paragraph" w:customStyle="1" w:styleId="680">
    <w:name w:val="CM77"/>
    <w:basedOn w:val="333"/>
    <w:next w:val="333"/>
    <w:autoRedefine/>
    <w:qFormat/>
    <w:uiPriority w:val="0"/>
    <w:pPr>
      <w:spacing w:after="583"/>
    </w:pPr>
    <w:rPr>
      <w:rFonts w:ascii="宋体" w:eastAsia="宋体" w:cs="Times New Roman"/>
      <w:color w:val="auto"/>
    </w:rPr>
  </w:style>
  <w:style w:type="paragraph" w:customStyle="1" w:styleId="681">
    <w:name w:val="CM79"/>
    <w:basedOn w:val="333"/>
    <w:next w:val="333"/>
    <w:autoRedefine/>
    <w:qFormat/>
    <w:uiPriority w:val="0"/>
    <w:pPr>
      <w:spacing w:after="145"/>
    </w:pPr>
    <w:rPr>
      <w:rFonts w:ascii="宋体" w:eastAsia="宋体" w:cs="Times New Roman"/>
      <w:color w:val="auto"/>
    </w:rPr>
  </w:style>
  <w:style w:type="paragraph" w:customStyle="1" w:styleId="682">
    <w:name w:val="CM4"/>
    <w:basedOn w:val="333"/>
    <w:next w:val="333"/>
    <w:autoRedefine/>
    <w:qFormat/>
    <w:uiPriority w:val="0"/>
    <w:pPr>
      <w:spacing w:line="546" w:lineRule="atLeast"/>
    </w:pPr>
    <w:rPr>
      <w:rFonts w:ascii="宋体" w:eastAsia="宋体" w:cs="Times New Roman"/>
      <w:color w:val="auto"/>
    </w:rPr>
  </w:style>
  <w:style w:type="paragraph" w:customStyle="1" w:styleId="683">
    <w:name w:val="CM55"/>
    <w:basedOn w:val="333"/>
    <w:next w:val="333"/>
    <w:autoRedefine/>
    <w:qFormat/>
    <w:uiPriority w:val="0"/>
    <w:pPr>
      <w:spacing w:line="546" w:lineRule="atLeast"/>
    </w:pPr>
    <w:rPr>
      <w:rFonts w:ascii="宋体" w:eastAsia="宋体" w:cs="Times New Roman"/>
      <w:color w:val="auto"/>
    </w:rPr>
  </w:style>
  <w:style w:type="paragraph" w:customStyle="1" w:styleId="684">
    <w:name w:val="CM12"/>
    <w:basedOn w:val="333"/>
    <w:next w:val="333"/>
    <w:autoRedefine/>
    <w:qFormat/>
    <w:uiPriority w:val="0"/>
    <w:pPr>
      <w:spacing w:line="548" w:lineRule="atLeast"/>
    </w:pPr>
    <w:rPr>
      <w:rFonts w:ascii="宋体" w:eastAsia="宋体" w:cs="Times New Roman"/>
      <w:color w:val="auto"/>
    </w:rPr>
  </w:style>
  <w:style w:type="paragraph" w:customStyle="1" w:styleId="685">
    <w:name w:val="CM23"/>
    <w:basedOn w:val="333"/>
    <w:next w:val="333"/>
    <w:autoRedefine/>
    <w:qFormat/>
    <w:uiPriority w:val="0"/>
    <w:pPr>
      <w:spacing w:line="551" w:lineRule="atLeast"/>
    </w:pPr>
    <w:rPr>
      <w:rFonts w:ascii="宋体" w:eastAsia="宋体" w:cs="Times New Roman"/>
      <w:color w:val="auto"/>
    </w:rPr>
  </w:style>
  <w:style w:type="paragraph" w:customStyle="1" w:styleId="686">
    <w:name w:val="条(二级)"/>
    <w:basedOn w:val="6"/>
    <w:next w:val="1"/>
    <w:autoRedefine/>
    <w:qFormat/>
    <w:uiPriority w:val="0"/>
    <w:pPr>
      <w:snapToGrid/>
      <w:spacing w:line="460" w:lineRule="exact"/>
      <w:textAlignment w:val="baseline"/>
      <w:outlineLvl w:val="9"/>
    </w:pPr>
    <w:rPr>
      <w:rFonts w:ascii="宋体" w:hAnsi="Arial" w:eastAsia="宋体"/>
      <w:bCs w:val="0"/>
      <w:snapToGrid/>
      <w:spacing w:val="3"/>
      <w:kern w:val="24"/>
      <w:sz w:val="24"/>
      <w:szCs w:val="20"/>
    </w:rPr>
  </w:style>
  <w:style w:type="paragraph" w:customStyle="1" w:styleId="687">
    <w:name w:val="条(三级)"/>
    <w:basedOn w:val="1"/>
    <w:next w:val="1"/>
    <w:autoRedefine/>
    <w:qFormat/>
    <w:uiPriority w:val="0"/>
    <w:pPr>
      <w:keepNext/>
      <w:keepLines/>
      <w:adjustRightInd w:val="0"/>
      <w:spacing w:line="460" w:lineRule="exact"/>
      <w:textAlignment w:val="baseline"/>
    </w:pPr>
    <w:rPr>
      <w:rFonts w:hAnsi="Arial"/>
      <w:spacing w:val="3"/>
      <w:kern w:val="24"/>
      <w:szCs w:val="20"/>
    </w:rPr>
  </w:style>
  <w:style w:type="paragraph" w:customStyle="1" w:styleId="688">
    <w:name w:val="样式111"/>
    <w:autoRedefine/>
    <w:qFormat/>
    <w:uiPriority w:val="0"/>
    <w:pPr>
      <w:adjustRightInd w:val="0"/>
      <w:snapToGrid w:val="0"/>
      <w:jc w:val="both"/>
    </w:pPr>
    <w:rPr>
      <w:rFonts w:hint="eastAsia" w:ascii="宋体" w:hAnsi="Times New Roman" w:eastAsia="宋体" w:cs="Times New Roman"/>
      <w:sz w:val="21"/>
      <w:lang w:val="en-US" w:eastAsia="zh-CN" w:bidi="ar-SA"/>
    </w:rPr>
  </w:style>
  <w:style w:type="paragraph" w:customStyle="1" w:styleId="689">
    <w:name w:val="Right Par 4"/>
    <w:autoRedefine/>
    <w:qFormat/>
    <w:uiPriority w:val="0"/>
    <w:pPr>
      <w:tabs>
        <w:tab w:val="left" w:pos="-720"/>
        <w:tab w:val="left" w:pos="0"/>
        <w:tab w:val="left" w:pos="720"/>
        <w:tab w:val="left" w:pos="1440"/>
        <w:tab w:val="left" w:pos="2160"/>
        <w:tab w:val="decimal" w:pos="2880"/>
      </w:tabs>
      <w:suppressAutoHyphens/>
      <w:ind w:left="2880" w:hanging="432"/>
    </w:pPr>
    <w:rPr>
      <w:rFonts w:ascii="Courier New" w:hAnsi="Courier New" w:eastAsia="宋体" w:cs="Times New Roman"/>
      <w:sz w:val="24"/>
      <w:lang w:val="en-US" w:eastAsia="en-US" w:bidi="ar-SA"/>
    </w:rPr>
  </w:style>
  <w:style w:type="paragraph" w:customStyle="1" w:styleId="690">
    <w:name w:val="Right Par 5"/>
    <w:autoRedefine/>
    <w:qFormat/>
    <w:uiPriority w:val="0"/>
    <w:pPr>
      <w:tabs>
        <w:tab w:val="left" w:pos="-720"/>
        <w:tab w:val="left" w:pos="0"/>
        <w:tab w:val="left" w:pos="720"/>
        <w:tab w:val="left" w:pos="1440"/>
        <w:tab w:val="left" w:pos="2160"/>
        <w:tab w:val="left" w:pos="2880"/>
        <w:tab w:val="decimal" w:pos="3600"/>
      </w:tabs>
      <w:suppressAutoHyphens/>
      <w:ind w:left="3600" w:hanging="576"/>
    </w:pPr>
    <w:rPr>
      <w:rFonts w:ascii="Courier New" w:hAnsi="Courier New" w:eastAsia="宋体" w:cs="Times New Roman"/>
      <w:sz w:val="24"/>
      <w:lang w:val="en-US" w:eastAsia="en-US" w:bidi="ar-SA"/>
    </w:rPr>
  </w:style>
  <w:style w:type="paragraph" w:customStyle="1" w:styleId="691">
    <w:name w:val="Right Par 6"/>
    <w:autoRedefine/>
    <w:qFormat/>
    <w:uiPriority w:val="0"/>
    <w:pPr>
      <w:tabs>
        <w:tab w:val="left" w:pos="-720"/>
        <w:tab w:val="left" w:pos="0"/>
        <w:tab w:val="left" w:pos="720"/>
        <w:tab w:val="left" w:pos="1440"/>
        <w:tab w:val="left" w:pos="2160"/>
        <w:tab w:val="left" w:pos="2880"/>
        <w:tab w:val="left" w:pos="3600"/>
        <w:tab w:val="decimal" w:pos="4320"/>
      </w:tabs>
      <w:suppressAutoHyphens/>
      <w:ind w:left="4320" w:hanging="576"/>
    </w:pPr>
    <w:rPr>
      <w:rFonts w:ascii="Courier New" w:hAnsi="Courier New" w:eastAsia="宋体" w:cs="Times New Roman"/>
      <w:sz w:val="24"/>
      <w:lang w:val="en-US" w:eastAsia="en-US" w:bidi="ar-SA"/>
    </w:rPr>
  </w:style>
  <w:style w:type="paragraph" w:customStyle="1" w:styleId="692">
    <w:name w:val="Right Par 7"/>
    <w:autoRedefine/>
    <w:qFormat/>
    <w:uiPriority w:val="0"/>
    <w:pPr>
      <w:tabs>
        <w:tab w:val="left" w:pos="-720"/>
        <w:tab w:val="left" w:pos="0"/>
        <w:tab w:val="left" w:pos="720"/>
        <w:tab w:val="left" w:pos="1440"/>
        <w:tab w:val="left" w:pos="2160"/>
        <w:tab w:val="left" w:pos="2880"/>
        <w:tab w:val="left" w:pos="3600"/>
        <w:tab w:val="left" w:pos="4320"/>
        <w:tab w:val="decimal" w:pos="5040"/>
      </w:tabs>
      <w:suppressAutoHyphens/>
      <w:ind w:left="5040" w:hanging="432"/>
    </w:pPr>
    <w:rPr>
      <w:rFonts w:ascii="Courier New" w:hAnsi="Courier New" w:eastAsia="宋体" w:cs="Times New Roman"/>
      <w:sz w:val="24"/>
      <w:lang w:val="en-US" w:eastAsia="en-US" w:bidi="ar-SA"/>
    </w:rPr>
  </w:style>
  <w:style w:type="paragraph" w:customStyle="1" w:styleId="693">
    <w:name w:val="Right Par 8"/>
    <w:autoRedefine/>
    <w:qFormat/>
    <w:uiPriority w:val="0"/>
    <w:pPr>
      <w:tabs>
        <w:tab w:val="left" w:pos="-720"/>
        <w:tab w:val="left" w:pos="0"/>
        <w:tab w:val="left" w:pos="720"/>
        <w:tab w:val="left" w:pos="1440"/>
        <w:tab w:val="left" w:pos="2160"/>
        <w:tab w:val="left" w:pos="2880"/>
        <w:tab w:val="left" w:pos="3600"/>
        <w:tab w:val="left" w:pos="4320"/>
        <w:tab w:val="left" w:pos="5040"/>
        <w:tab w:val="decimal" w:pos="5760"/>
      </w:tabs>
      <w:suppressAutoHyphens/>
      <w:ind w:left="5760" w:hanging="432"/>
    </w:pPr>
    <w:rPr>
      <w:rFonts w:ascii="Courier New" w:hAnsi="Courier New" w:eastAsia="宋体" w:cs="Times New Roman"/>
      <w:sz w:val="24"/>
      <w:lang w:val="en-US" w:eastAsia="en-US" w:bidi="ar-SA"/>
    </w:rPr>
  </w:style>
  <w:style w:type="paragraph" w:customStyle="1" w:styleId="694">
    <w:name w:val="Document 1"/>
    <w:autoRedefine/>
    <w:qFormat/>
    <w:uiPriority w:val="0"/>
    <w:pPr>
      <w:keepNext/>
      <w:keepLines/>
      <w:tabs>
        <w:tab w:val="left" w:pos="-720"/>
      </w:tabs>
      <w:suppressAutoHyphens/>
    </w:pPr>
    <w:rPr>
      <w:rFonts w:ascii="Courier New" w:hAnsi="Courier New" w:eastAsia="宋体" w:cs="Times New Roman"/>
      <w:sz w:val="24"/>
      <w:lang w:val="en-US" w:eastAsia="en-US" w:bidi="ar-SA"/>
    </w:rPr>
  </w:style>
  <w:style w:type="paragraph" w:customStyle="1" w:styleId="695">
    <w:name w:val="Technical 5"/>
    <w:autoRedefine/>
    <w:qFormat/>
    <w:uiPriority w:val="0"/>
    <w:pPr>
      <w:tabs>
        <w:tab w:val="left" w:pos="-720"/>
      </w:tabs>
      <w:suppressAutoHyphens/>
      <w:ind w:firstLine="720"/>
    </w:pPr>
    <w:rPr>
      <w:rFonts w:ascii="Courier New" w:hAnsi="Courier New" w:eastAsia="宋体" w:cs="Times New Roman"/>
      <w:b/>
      <w:sz w:val="24"/>
      <w:lang w:val="en-US" w:eastAsia="en-US" w:bidi="ar-SA"/>
    </w:rPr>
  </w:style>
  <w:style w:type="paragraph" w:customStyle="1" w:styleId="696">
    <w:name w:val="Technical 6"/>
    <w:autoRedefine/>
    <w:qFormat/>
    <w:uiPriority w:val="0"/>
    <w:pPr>
      <w:tabs>
        <w:tab w:val="left" w:pos="-720"/>
      </w:tabs>
      <w:suppressAutoHyphens/>
      <w:ind w:firstLine="720"/>
    </w:pPr>
    <w:rPr>
      <w:rFonts w:ascii="Courier New" w:hAnsi="Courier New" w:eastAsia="宋体" w:cs="Times New Roman"/>
      <w:b/>
      <w:sz w:val="24"/>
      <w:lang w:val="en-US" w:eastAsia="en-US" w:bidi="ar-SA"/>
    </w:rPr>
  </w:style>
  <w:style w:type="paragraph" w:customStyle="1" w:styleId="697">
    <w:name w:val="Technical 4"/>
    <w:autoRedefine/>
    <w:qFormat/>
    <w:uiPriority w:val="0"/>
    <w:pPr>
      <w:tabs>
        <w:tab w:val="left" w:pos="-720"/>
      </w:tabs>
      <w:suppressAutoHyphens/>
    </w:pPr>
    <w:rPr>
      <w:rFonts w:ascii="Courier New" w:hAnsi="Courier New" w:eastAsia="宋体" w:cs="Times New Roman"/>
      <w:b/>
      <w:sz w:val="24"/>
      <w:lang w:val="en-US" w:eastAsia="en-US" w:bidi="ar-SA"/>
    </w:rPr>
  </w:style>
  <w:style w:type="paragraph" w:customStyle="1" w:styleId="698">
    <w:name w:val="Technical 7"/>
    <w:autoRedefine/>
    <w:qFormat/>
    <w:uiPriority w:val="0"/>
    <w:pPr>
      <w:tabs>
        <w:tab w:val="left" w:pos="-720"/>
      </w:tabs>
      <w:suppressAutoHyphens/>
      <w:ind w:firstLine="720"/>
    </w:pPr>
    <w:rPr>
      <w:rFonts w:ascii="Courier New" w:hAnsi="Courier New" w:eastAsia="宋体" w:cs="Times New Roman"/>
      <w:b/>
      <w:sz w:val="24"/>
      <w:lang w:val="en-US" w:eastAsia="en-US" w:bidi="ar-SA"/>
    </w:rPr>
  </w:style>
  <w:style w:type="paragraph" w:customStyle="1" w:styleId="699">
    <w:name w:val="Technical 8"/>
    <w:autoRedefine/>
    <w:qFormat/>
    <w:uiPriority w:val="0"/>
    <w:pPr>
      <w:tabs>
        <w:tab w:val="left" w:pos="-720"/>
      </w:tabs>
      <w:suppressAutoHyphens/>
      <w:ind w:firstLine="720"/>
    </w:pPr>
    <w:rPr>
      <w:rFonts w:ascii="Courier New" w:hAnsi="Courier New" w:eastAsia="宋体" w:cs="Times New Roman"/>
      <w:b/>
      <w:sz w:val="24"/>
      <w:lang w:val="en-US" w:eastAsia="en-US" w:bidi="ar-SA"/>
    </w:rPr>
  </w:style>
  <w:style w:type="paragraph" w:customStyle="1" w:styleId="700">
    <w:name w:val="Pleading"/>
    <w:autoRedefine/>
    <w:qFormat/>
    <w:uiPriority w:val="0"/>
    <w:pPr>
      <w:tabs>
        <w:tab w:val="left" w:pos="-720"/>
      </w:tabs>
      <w:suppressAutoHyphens/>
      <w:spacing w:line="240" w:lineRule="exact"/>
    </w:pPr>
    <w:rPr>
      <w:rFonts w:ascii="Courier New" w:hAnsi="Courier New" w:eastAsia="宋体" w:cs="Times New Roman"/>
      <w:sz w:val="24"/>
      <w:lang w:val="en-US" w:eastAsia="en-US" w:bidi="ar-SA"/>
    </w:rPr>
  </w:style>
  <w:style w:type="paragraph" w:customStyle="1" w:styleId="701">
    <w:name w:val="conditions"/>
    <w:basedOn w:val="1"/>
    <w:autoRedefine/>
    <w:qFormat/>
    <w:uiPriority w:val="0"/>
    <w:pPr>
      <w:tabs>
        <w:tab w:val="left" w:pos="4200"/>
        <w:tab w:val="right" w:pos="8460"/>
      </w:tabs>
      <w:suppressAutoHyphens/>
      <w:spacing w:before="240" w:after="60" w:line="300" w:lineRule="auto"/>
      <w:ind w:left="630" w:right="-61"/>
    </w:pPr>
    <w:rPr>
      <w:rFonts w:ascii="Arial" w:hAnsi="Arial"/>
      <w:szCs w:val="20"/>
    </w:rPr>
  </w:style>
  <w:style w:type="paragraph" w:customStyle="1" w:styleId="702">
    <w:name w:val="bigbold"/>
    <w:basedOn w:val="1"/>
    <w:autoRedefine/>
    <w:qFormat/>
    <w:uiPriority w:val="0"/>
    <w:pPr>
      <w:spacing w:before="100" w:beforeAutospacing="1" w:after="100" w:afterAutospacing="1"/>
    </w:pPr>
  </w:style>
  <w:style w:type="paragraph" w:customStyle="1" w:styleId="703">
    <w:name w:val="日期1"/>
    <w:basedOn w:val="1"/>
    <w:next w:val="1"/>
    <w:autoRedefine/>
    <w:qFormat/>
    <w:uiPriority w:val="0"/>
    <w:pPr>
      <w:adjustRightInd w:val="0"/>
      <w:textAlignment w:val="baseline"/>
    </w:pPr>
    <w:rPr>
      <w:szCs w:val="20"/>
    </w:rPr>
  </w:style>
  <w:style w:type="paragraph" w:customStyle="1" w:styleId="704">
    <w:name w:val="CM25"/>
    <w:basedOn w:val="333"/>
    <w:next w:val="333"/>
    <w:autoRedefine/>
    <w:qFormat/>
    <w:uiPriority w:val="0"/>
    <w:pPr>
      <w:spacing w:line="358" w:lineRule="atLeast"/>
    </w:pPr>
    <w:rPr>
      <w:rFonts w:ascii="Times New Roman" w:eastAsia="宋体" w:cs="Times New Roman"/>
      <w:color w:val="auto"/>
    </w:rPr>
  </w:style>
  <w:style w:type="paragraph" w:customStyle="1" w:styleId="705">
    <w:name w:val="标题5"/>
    <w:basedOn w:val="1"/>
    <w:autoRedefine/>
    <w:qFormat/>
    <w:uiPriority w:val="0"/>
    <w:pPr>
      <w:spacing w:line="360" w:lineRule="auto"/>
      <w:outlineLvl w:val="2"/>
    </w:pPr>
    <w:rPr>
      <w:rFonts w:ascii="黑体" w:eastAsia="黑体"/>
      <w:b/>
    </w:rPr>
  </w:style>
  <w:style w:type="paragraph" w:customStyle="1" w:styleId="706">
    <w:name w:val="a9"/>
    <w:basedOn w:val="1"/>
    <w:autoRedefine/>
    <w:qFormat/>
    <w:uiPriority w:val="0"/>
    <w:pPr>
      <w:spacing w:before="100" w:beforeAutospacing="1" w:after="100" w:afterAutospacing="1"/>
    </w:pPr>
  </w:style>
  <w:style w:type="paragraph" w:customStyle="1" w:styleId="707">
    <w:name w:val="表格文本"/>
    <w:basedOn w:val="1"/>
    <w:next w:val="1"/>
    <w:autoRedefine/>
    <w:qFormat/>
    <w:uiPriority w:val="0"/>
    <w:pPr>
      <w:spacing w:line="240" w:lineRule="exact"/>
    </w:pPr>
    <w:rPr>
      <w:szCs w:val="20"/>
    </w:rPr>
  </w:style>
  <w:style w:type="paragraph" w:customStyle="1" w:styleId="708">
    <w:name w:val="表内字一"/>
    <w:basedOn w:val="1"/>
    <w:autoRedefine/>
    <w:qFormat/>
    <w:uiPriority w:val="0"/>
    <w:pPr>
      <w:ind w:right="113"/>
      <w:jc w:val="center"/>
    </w:pPr>
    <w:rPr>
      <w:szCs w:val="21"/>
    </w:rPr>
  </w:style>
  <w:style w:type="paragraph" w:customStyle="1" w:styleId="709">
    <w:name w:val="样式 标题 1 + 段前: 2 行 段后: 2 行"/>
    <w:basedOn w:val="5"/>
    <w:autoRedefine/>
    <w:qFormat/>
    <w:uiPriority w:val="0"/>
    <w:pPr>
      <w:tabs>
        <w:tab w:val="left" w:pos="420"/>
      </w:tabs>
      <w:spacing w:before="100" w:after="100"/>
      <w:ind w:left="420" w:hanging="420"/>
      <w:jc w:val="both"/>
    </w:pPr>
    <w:rPr>
      <w:rFonts w:ascii="Times New Roman" w:eastAsia="方正粗圆简体"/>
      <w:sz w:val="36"/>
      <w:szCs w:val="20"/>
    </w:rPr>
  </w:style>
  <w:style w:type="paragraph" w:customStyle="1" w:styleId="710">
    <w:name w:val="文-5"/>
    <w:basedOn w:val="1"/>
    <w:autoRedefine/>
    <w:qFormat/>
    <w:uiPriority w:val="0"/>
    <w:pPr>
      <w:adjustRightInd w:val="0"/>
      <w:snapToGrid w:val="0"/>
      <w:spacing w:line="360" w:lineRule="exact"/>
      <w:jc w:val="center"/>
    </w:pPr>
    <w:rPr>
      <w:rFonts w:ascii="黑体" w:eastAsia="黑体"/>
      <w:snapToGrid w:val="0"/>
      <w:szCs w:val="21"/>
    </w:rPr>
  </w:style>
  <w:style w:type="paragraph" w:customStyle="1" w:styleId="711">
    <w:name w:val="BG1"/>
    <w:basedOn w:val="1"/>
    <w:autoRedefine/>
    <w:qFormat/>
    <w:uiPriority w:val="0"/>
    <w:pPr>
      <w:autoSpaceDE w:val="0"/>
      <w:autoSpaceDN w:val="0"/>
      <w:spacing w:line="336" w:lineRule="auto"/>
      <w:jc w:val="center"/>
    </w:pPr>
  </w:style>
  <w:style w:type="paragraph" w:customStyle="1" w:styleId="712">
    <w:name w:val="xl60"/>
    <w:basedOn w:val="1"/>
    <w:autoRedefine/>
    <w:qFormat/>
    <w:uiPriority w:val="0"/>
    <w:pPr>
      <w:pBdr>
        <w:left w:val="single" w:color="auto" w:sz="8" w:space="0"/>
        <w:right w:val="single" w:color="auto" w:sz="4" w:space="0"/>
      </w:pBdr>
      <w:spacing w:before="100" w:after="100"/>
      <w:jc w:val="center"/>
      <w:textAlignment w:val="top"/>
    </w:pPr>
  </w:style>
  <w:style w:type="paragraph" w:customStyle="1" w:styleId="713">
    <w:name w:val="Char Char Char Char Char Char"/>
    <w:basedOn w:val="1"/>
    <w:autoRedefine/>
    <w:qFormat/>
    <w:uiPriority w:val="0"/>
  </w:style>
  <w:style w:type="paragraph" w:customStyle="1" w:styleId="714">
    <w:name w:val="正文-使用"/>
    <w:basedOn w:val="1"/>
    <w:autoRedefine/>
    <w:qFormat/>
    <w:uiPriority w:val="0"/>
    <w:pPr>
      <w:adjustRightInd w:val="0"/>
      <w:snapToGrid w:val="0"/>
      <w:spacing w:line="360" w:lineRule="auto"/>
      <w:ind w:firstLine="482"/>
    </w:pPr>
    <w:rPr>
      <w:szCs w:val="20"/>
    </w:rPr>
  </w:style>
  <w:style w:type="paragraph" w:customStyle="1" w:styleId="715">
    <w:name w:val="Tblhead"/>
    <w:basedOn w:val="1"/>
    <w:next w:val="1"/>
    <w:autoRedefine/>
    <w:qFormat/>
    <w:uiPriority w:val="0"/>
    <w:pPr>
      <w:pageBreakBefore/>
      <w:suppressAutoHyphens/>
      <w:autoSpaceDE w:val="0"/>
      <w:autoSpaceDN w:val="0"/>
      <w:adjustRightInd w:val="0"/>
      <w:jc w:val="center"/>
      <w:textAlignment w:val="baseline"/>
    </w:pPr>
    <w:rPr>
      <w:spacing w:val="-3"/>
      <w:szCs w:val="20"/>
    </w:rPr>
  </w:style>
  <w:style w:type="paragraph" w:customStyle="1" w:styleId="716">
    <w:name w:val="正文样式3"/>
    <w:basedOn w:val="1"/>
    <w:autoRedefine/>
    <w:qFormat/>
    <w:uiPriority w:val="0"/>
    <w:pPr>
      <w:adjustRightInd w:val="0"/>
      <w:spacing w:line="20" w:lineRule="atLeast"/>
      <w:jc w:val="center"/>
      <w:textAlignment w:val="baseline"/>
    </w:pPr>
    <w:rPr>
      <w:szCs w:val="20"/>
    </w:rPr>
  </w:style>
  <w:style w:type="paragraph" w:customStyle="1" w:styleId="717">
    <w:name w:val="宋体"/>
    <w:basedOn w:val="1"/>
    <w:next w:val="6"/>
    <w:autoRedefine/>
    <w:semiHidden/>
    <w:qFormat/>
    <w:uiPriority w:val="0"/>
    <w:pPr>
      <w:tabs>
        <w:tab w:val="left" w:pos="540"/>
      </w:tabs>
      <w:spacing w:line="360" w:lineRule="auto"/>
      <w:ind w:firstLine="200" w:firstLineChars="200"/>
    </w:pPr>
    <w:rPr>
      <w:b/>
      <w:sz w:val="28"/>
      <w:szCs w:val="28"/>
    </w:rPr>
  </w:style>
  <w:style w:type="paragraph" w:customStyle="1" w:styleId="718">
    <w:name w:val="表内5"/>
    <w:basedOn w:val="1"/>
    <w:autoRedefine/>
    <w:qFormat/>
    <w:uiPriority w:val="0"/>
    <w:pPr>
      <w:adjustRightInd w:val="0"/>
      <w:snapToGrid w:val="0"/>
    </w:pPr>
    <w:rPr>
      <w:szCs w:val="20"/>
    </w:rPr>
  </w:style>
  <w:style w:type="paragraph" w:customStyle="1" w:styleId="719">
    <w:name w:val="样式 样式 宋体 四号 行距: 1.5 倍行距 + 首行缩进:  2 字符"/>
    <w:basedOn w:val="1"/>
    <w:autoRedefine/>
    <w:qFormat/>
    <w:uiPriority w:val="0"/>
    <w:pPr>
      <w:spacing w:line="480" w:lineRule="auto"/>
    </w:pPr>
    <w:rPr>
      <w:sz w:val="28"/>
      <w:szCs w:val="20"/>
    </w:rPr>
  </w:style>
  <w:style w:type="paragraph" w:customStyle="1" w:styleId="720">
    <w:name w:val="Char Char Char2 Char Char Char Char Char Char Char Char Char Char1"/>
    <w:basedOn w:val="1"/>
    <w:autoRedefine/>
    <w:qFormat/>
    <w:uiPriority w:val="0"/>
    <w:pPr>
      <w:spacing w:line="360" w:lineRule="auto"/>
      <w:ind w:firstLine="200" w:firstLineChars="200"/>
    </w:pPr>
  </w:style>
  <w:style w:type="paragraph" w:customStyle="1" w:styleId="721">
    <w:name w:val="样式 标题 3 Char + 首行缩进:  2 字符 段前: 7.8 磅 段后: 7.8 磅"/>
    <w:basedOn w:val="7"/>
    <w:autoRedefine/>
    <w:qFormat/>
    <w:uiPriority w:val="0"/>
    <w:pPr>
      <w:spacing w:before="156" w:after="156"/>
      <w:ind w:firstLine="200" w:firstLineChars="200"/>
    </w:pPr>
    <w:rPr>
      <w:rFonts w:ascii="Times New Roman" w:hAnsi="Times New Roman" w:eastAsia="宋体"/>
      <w:snapToGrid/>
      <w:kern w:val="2"/>
      <w:szCs w:val="20"/>
    </w:rPr>
  </w:style>
  <w:style w:type="paragraph" w:customStyle="1" w:styleId="722">
    <w:name w:val="样式 样式3 + 首行缩进:  2 字符"/>
    <w:basedOn w:val="537"/>
    <w:autoRedefine/>
    <w:qFormat/>
    <w:uiPriority w:val="0"/>
    <w:pPr>
      <w:spacing w:before="100" w:beforeAutospacing="1" w:after="100" w:afterAutospacing="1" w:line="520" w:lineRule="exact"/>
      <w:ind w:firstLine="664" w:firstLineChars="200"/>
      <w:jc w:val="center"/>
    </w:pPr>
    <w:rPr>
      <w:rFonts w:ascii="黑体" w:hAnsi="宋体" w:eastAsia="楷体_GB2312"/>
      <w:bCs w:val="0"/>
      <w:spacing w:val="6"/>
      <w:kern w:val="2"/>
      <w:sz w:val="32"/>
    </w:rPr>
  </w:style>
  <w:style w:type="paragraph" w:customStyle="1" w:styleId="723">
    <w:name w:val="样式-2"/>
    <w:basedOn w:val="722"/>
    <w:autoRedefine/>
    <w:qFormat/>
    <w:uiPriority w:val="0"/>
    <w:pPr>
      <w:spacing w:before="0" w:beforeAutospacing="0" w:after="0" w:afterAutospacing="0" w:line="360" w:lineRule="auto"/>
      <w:ind w:firstLine="0" w:firstLineChars="0"/>
      <w:jc w:val="both"/>
      <w:outlineLvl w:val="0"/>
    </w:pPr>
    <w:rPr>
      <w:rFonts w:ascii="宋体" w:eastAsia="宋体"/>
      <w:b/>
      <w:color w:val="0000FF"/>
      <w:sz w:val="28"/>
      <w:szCs w:val="28"/>
    </w:rPr>
  </w:style>
  <w:style w:type="paragraph" w:customStyle="1" w:styleId="724">
    <w:name w:val="样式 样式-2 + 首行缩进:  2 字符"/>
    <w:basedOn w:val="723"/>
    <w:autoRedefine/>
    <w:qFormat/>
    <w:uiPriority w:val="0"/>
  </w:style>
  <w:style w:type="paragraph" w:customStyle="1" w:styleId="725">
    <w:name w:val="二级标题 Char Char Char"/>
    <w:basedOn w:val="1"/>
    <w:next w:val="1"/>
    <w:autoRedefine/>
    <w:qFormat/>
    <w:uiPriority w:val="0"/>
    <w:pPr>
      <w:ind w:firstLine="200" w:firstLineChars="200"/>
    </w:pPr>
  </w:style>
  <w:style w:type="paragraph" w:customStyle="1" w:styleId="726">
    <w:name w:val="小表格"/>
    <w:basedOn w:val="1"/>
    <w:autoRedefine/>
    <w:qFormat/>
    <w:uiPriority w:val="0"/>
    <w:pPr>
      <w:autoSpaceDE w:val="0"/>
      <w:autoSpaceDN w:val="0"/>
      <w:adjustRightInd w:val="0"/>
      <w:snapToGrid w:val="0"/>
      <w:jc w:val="center"/>
    </w:pPr>
    <w:rPr>
      <w:rFonts w:hint="eastAsia" w:ascii="仿宋_GB2312"/>
      <w:szCs w:val="20"/>
    </w:rPr>
  </w:style>
  <w:style w:type="paragraph" w:customStyle="1" w:styleId="727">
    <w:name w:val="表1"/>
    <w:basedOn w:val="1"/>
    <w:autoRedefine/>
    <w:qFormat/>
    <w:uiPriority w:val="0"/>
    <w:pPr>
      <w:jc w:val="center"/>
    </w:pPr>
  </w:style>
  <w:style w:type="paragraph" w:customStyle="1" w:styleId="728">
    <w:name w:val="样式14"/>
    <w:basedOn w:val="1"/>
    <w:autoRedefine/>
    <w:qFormat/>
    <w:uiPriority w:val="0"/>
    <w:pPr>
      <w:overflowPunct w:val="0"/>
      <w:spacing w:line="360" w:lineRule="auto"/>
      <w:ind w:firstLine="560" w:firstLineChars="200"/>
    </w:pPr>
    <w:rPr>
      <w:sz w:val="28"/>
      <w:szCs w:val="20"/>
    </w:rPr>
  </w:style>
  <w:style w:type="paragraph" w:customStyle="1" w:styleId="729">
    <w:name w:val="td3"/>
    <w:basedOn w:val="1"/>
    <w:autoRedefine/>
    <w:qFormat/>
    <w:uiPriority w:val="0"/>
    <w:pPr>
      <w:spacing w:before="100" w:beforeAutospacing="1" w:after="100" w:afterAutospacing="1"/>
    </w:pPr>
    <w:rPr>
      <w:color w:val="5D5D5D"/>
      <w:sz w:val="18"/>
      <w:szCs w:val="18"/>
    </w:rPr>
  </w:style>
  <w:style w:type="table" w:customStyle="1" w:styleId="730">
    <w:name w:val="三线表"/>
    <w:basedOn w:val="61"/>
    <w:autoRedefine/>
    <w:qFormat/>
    <w:uiPriority w:val="0"/>
    <w:pPr>
      <w:widowControl w:val="0"/>
    </w:pPr>
    <w:rPr>
      <w:sz w:val="21"/>
      <w:szCs w:val="21"/>
    </w:rPr>
    <w:tblPr>
      <w:tblBorders>
        <w:top w:val="single" w:color="auto" w:sz="12" w:space="0"/>
        <w:bottom w:val="single" w:color="auto" w:sz="12" w:space="0"/>
        <w:insideH w:val="single" w:color="auto" w:sz="2" w:space="0"/>
        <w:insideV w:val="single" w:color="auto" w:sz="2" w:space="0"/>
      </w:tblBorders>
      <w:tblCellMar>
        <w:top w:w="0" w:type="dxa"/>
        <w:left w:w="108" w:type="dxa"/>
        <w:bottom w:w="0" w:type="dxa"/>
        <w:right w:w="108" w:type="dxa"/>
      </w:tblCellMar>
    </w:tblPr>
    <w:tcPr>
      <w:shd w:val="clear" w:color="auto" w:fill="auto"/>
      <w:vAlign w:val="center"/>
    </w:tcPr>
    <w:tblStylePr w:type="firstRow">
      <w:rPr>
        <w:b/>
        <w:bCs/>
      </w:rPr>
      <w:tcPr>
        <w:tcBorders>
          <w:top w:val="nil"/>
          <w:left w:val="nil"/>
          <w:bottom w:val="single" w:color="000000" w:sz="12" w:space="0"/>
          <w:right w:val="nil"/>
          <w:insideH w:val="nil"/>
          <w:insideV w:val="nil"/>
          <w:tl2br w:val="nil"/>
          <w:tr2bl w:val="nil"/>
        </w:tcBorders>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paragraph" w:customStyle="1" w:styleId="731">
    <w:name w:val="正文1111"/>
    <w:basedOn w:val="1"/>
    <w:autoRedefine/>
    <w:qFormat/>
    <w:uiPriority w:val="0"/>
    <w:pPr>
      <w:spacing w:line="360" w:lineRule="auto"/>
      <w:ind w:firstLine="200" w:firstLineChars="200"/>
    </w:pPr>
    <w:rPr>
      <w:sz w:val="28"/>
    </w:rPr>
  </w:style>
  <w:style w:type="paragraph" w:customStyle="1" w:styleId="732">
    <w:name w:val="正文2"/>
    <w:basedOn w:val="1"/>
    <w:autoRedefine/>
    <w:qFormat/>
    <w:uiPriority w:val="0"/>
    <w:rPr>
      <w:rFonts w:ascii="Calibri" w:hAnsi="Calibri"/>
    </w:rPr>
  </w:style>
  <w:style w:type="paragraph" w:customStyle="1" w:styleId="733">
    <w:name w:val="正文3"/>
    <w:basedOn w:val="1"/>
    <w:autoRedefine/>
    <w:qFormat/>
    <w:uiPriority w:val="0"/>
    <w:rPr>
      <w:szCs w:val="20"/>
    </w:rPr>
  </w:style>
  <w:style w:type="paragraph" w:customStyle="1" w:styleId="734">
    <w:name w:val="图片文字"/>
    <w:basedOn w:val="1"/>
    <w:link w:val="735"/>
    <w:autoRedefine/>
    <w:qFormat/>
    <w:uiPriority w:val="0"/>
    <w:rPr>
      <w:sz w:val="21"/>
      <w:szCs w:val="21"/>
    </w:rPr>
  </w:style>
  <w:style w:type="character" w:customStyle="1" w:styleId="735">
    <w:name w:val="图片文字 Char"/>
    <w:link w:val="734"/>
    <w:autoRedefine/>
    <w:qFormat/>
    <w:uiPriority w:val="0"/>
    <w:rPr>
      <w:rFonts w:ascii="宋体" w:hAnsi="宋体" w:cs="宋体"/>
      <w:sz w:val="21"/>
      <w:szCs w:val="21"/>
    </w:rPr>
  </w:style>
  <w:style w:type="paragraph" w:customStyle="1" w:styleId="736">
    <w:name w:val="正文21"/>
    <w:basedOn w:val="1"/>
    <w:link w:val="737"/>
    <w:autoRedefine/>
    <w:qFormat/>
    <w:uiPriority w:val="0"/>
    <w:pPr>
      <w:spacing w:line="500" w:lineRule="exact"/>
      <w:ind w:firstLine="560" w:firstLineChars="200"/>
    </w:pPr>
    <w:rPr>
      <w:color w:val="000000"/>
      <w:sz w:val="28"/>
    </w:rPr>
  </w:style>
  <w:style w:type="character" w:customStyle="1" w:styleId="737">
    <w:name w:val="正文 Char"/>
    <w:link w:val="736"/>
    <w:autoRedefine/>
    <w:qFormat/>
    <w:uiPriority w:val="0"/>
    <w:rPr>
      <w:color w:val="000000"/>
      <w:kern w:val="2"/>
      <w:sz w:val="28"/>
      <w:szCs w:val="24"/>
    </w:rPr>
  </w:style>
  <w:style w:type="paragraph" w:customStyle="1" w:styleId="738">
    <w:name w:val="图表1.1.1"/>
    <w:basedOn w:val="1"/>
    <w:link w:val="739"/>
    <w:autoRedefine/>
    <w:qFormat/>
    <w:uiPriority w:val="0"/>
    <w:pPr>
      <w:adjustRightInd w:val="0"/>
      <w:snapToGrid w:val="0"/>
      <w:spacing w:line="560" w:lineRule="exact"/>
      <w:ind w:firstLine="200" w:firstLineChars="200"/>
      <w:jc w:val="center"/>
    </w:pPr>
    <w:rPr>
      <w:sz w:val="28"/>
      <w:szCs w:val="28"/>
    </w:rPr>
  </w:style>
  <w:style w:type="character" w:customStyle="1" w:styleId="739">
    <w:name w:val="图表1.1.1 Char"/>
    <w:link w:val="738"/>
    <w:autoRedefine/>
    <w:qFormat/>
    <w:uiPriority w:val="0"/>
    <w:rPr>
      <w:kern w:val="2"/>
      <w:sz w:val="28"/>
      <w:szCs w:val="28"/>
    </w:rPr>
  </w:style>
  <w:style w:type="paragraph" w:customStyle="1" w:styleId="740">
    <w:name w:val="表格-居中"/>
    <w:basedOn w:val="1"/>
    <w:link w:val="741"/>
    <w:autoRedefine/>
    <w:qFormat/>
    <w:uiPriority w:val="0"/>
    <w:pPr>
      <w:ind w:firstLine="2" w:firstLineChars="1"/>
      <w:jc w:val="center"/>
    </w:pPr>
    <w:rPr>
      <w:color w:val="000000"/>
      <w:szCs w:val="21"/>
    </w:rPr>
  </w:style>
  <w:style w:type="character" w:customStyle="1" w:styleId="741">
    <w:name w:val="表格-居中 Char"/>
    <w:link w:val="740"/>
    <w:autoRedefine/>
    <w:qFormat/>
    <w:uiPriority w:val="0"/>
    <w:rPr>
      <w:color w:val="000000"/>
      <w:kern w:val="2"/>
      <w:sz w:val="21"/>
      <w:szCs w:val="21"/>
    </w:rPr>
  </w:style>
  <w:style w:type="paragraph" w:customStyle="1" w:styleId="742">
    <w:name w:val="表格msds"/>
    <w:basedOn w:val="1"/>
    <w:link w:val="743"/>
    <w:autoRedefine/>
    <w:qFormat/>
    <w:uiPriority w:val="0"/>
    <w:pPr>
      <w:tabs>
        <w:tab w:val="right" w:leader="dot" w:pos="9061"/>
      </w:tabs>
      <w:snapToGrid w:val="0"/>
      <w:jc w:val="center"/>
    </w:pPr>
    <w:rPr>
      <w:bCs/>
      <w:szCs w:val="10"/>
    </w:rPr>
  </w:style>
  <w:style w:type="character" w:customStyle="1" w:styleId="743">
    <w:name w:val="表格msds Char"/>
    <w:link w:val="742"/>
    <w:autoRedefine/>
    <w:qFormat/>
    <w:uiPriority w:val="0"/>
    <w:rPr>
      <w:bCs/>
      <w:sz w:val="21"/>
      <w:szCs w:val="10"/>
    </w:rPr>
  </w:style>
  <w:style w:type="paragraph" w:styleId="744">
    <w:name w:val="List Paragraph"/>
    <w:basedOn w:val="1"/>
    <w:autoRedefine/>
    <w:qFormat/>
    <w:uiPriority w:val="99"/>
    <w:pPr>
      <w:ind w:firstLine="420" w:firstLineChars="200"/>
    </w:pPr>
  </w:style>
  <w:style w:type="character" w:customStyle="1" w:styleId="745">
    <w:name w:val="批注文字 Char"/>
    <w:autoRedefine/>
    <w:qFormat/>
    <w:uiPriority w:val="0"/>
    <w:rPr>
      <w:rFonts w:ascii="宋体" w:hAnsi="宋体"/>
      <w:snapToGrid/>
      <w:sz w:val="24"/>
    </w:rPr>
  </w:style>
  <w:style w:type="character" w:customStyle="1" w:styleId="746">
    <w:name w:val="正文文本缩进 Char"/>
    <w:autoRedefine/>
    <w:qFormat/>
    <w:uiPriority w:val="0"/>
    <w:rPr>
      <w:rFonts w:ascii="宋体" w:hAnsi="宋体"/>
      <w:snapToGrid w:val="0"/>
      <w:sz w:val="24"/>
    </w:rPr>
  </w:style>
  <w:style w:type="paragraph" w:customStyle="1" w:styleId="747">
    <w:name w:val="第1.1.1节"/>
    <w:basedOn w:val="1"/>
    <w:link w:val="748"/>
    <w:autoRedefine/>
    <w:qFormat/>
    <w:uiPriority w:val="0"/>
    <w:pPr>
      <w:widowControl w:val="0"/>
      <w:spacing w:beforeLines="50" w:afterLines="50" w:line="560" w:lineRule="exact"/>
      <w:outlineLvl w:val="2"/>
    </w:pPr>
    <w:rPr>
      <w:rFonts w:ascii="Times New Roman" w:hAnsi="Times New Roman" w:cs="Times New Roman"/>
      <w:b/>
      <w:kern w:val="2"/>
      <w:sz w:val="28"/>
      <w:szCs w:val="28"/>
    </w:rPr>
  </w:style>
  <w:style w:type="character" w:customStyle="1" w:styleId="748">
    <w:name w:val="第1.1.1节 Char"/>
    <w:link w:val="747"/>
    <w:autoRedefine/>
    <w:qFormat/>
    <w:uiPriority w:val="0"/>
    <w:rPr>
      <w:b/>
      <w:kern w:val="2"/>
      <w:sz w:val="28"/>
      <w:szCs w:val="28"/>
    </w:rPr>
  </w:style>
  <w:style w:type="character" w:customStyle="1" w:styleId="749">
    <w:name w:val="show-img-bd"/>
    <w:basedOn w:val="63"/>
    <w:autoRedefine/>
    <w:qFormat/>
    <w:uiPriority w:val="0"/>
  </w:style>
  <w:style w:type="character" w:customStyle="1" w:styleId="750">
    <w:name w:val="正文文本 + SimSun"/>
    <w:autoRedefine/>
    <w:qFormat/>
    <w:uiPriority w:val="0"/>
    <w:rPr>
      <w:rFonts w:hint="eastAsia" w:ascii="宋体" w:hAnsi="宋体" w:eastAsia="宋体" w:cs="宋体"/>
      <w:color w:val="000000"/>
      <w:spacing w:val="0"/>
      <w:w w:val="100"/>
      <w:position w:val="0"/>
      <w:sz w:val="11"/>
      <w:szCs w:val="11"/>
      <w:shd w:val="clear" w:color="auto" w:fill="FFFFFF"/>
      <w:lang w:val="zh-CN"/>
    </w:rPr>
  </w:style>
  <w:style w:type="character" w:customStyle="1" w:styleId="751">
    <w:name w:val="正文文本_"/>
    <w:autoRedefine/>
    <w:qFormat/>
    <w:locked/>
    <w:uiPriority w:val="0"/>
    <w:rPr>
      <w:rFonts w:eastAsia="Times New Roman"/>
      <w:shd w:val="clear" w:color="auto" w:fill="FFFFFF"/>
    </w:rPr>
  </w:style>
  <w:style w:type="character" w:customStyle="1" w:styleId="752">
    <w:name w:val="正文文本 + 5.5 pt"/>
    <w:autoRedefine/>
    <w:qFormat/>
    <w:uiPriority w:val="0"/>
    <w:rPr>
      <w:rFonts w:eastAsia="Times New Roman"/>
      <w:color w:val="000000"/>
      <w:spacing w:val="0"/>
      <w:w w:val="100"/>
      <w:position w:val="0"/>
      <w:sz w:val="11"/>
      <w:szCs w:val="11"/>
      <w:shd w:val="clear" w:color="auto" w:fill="FFFFFF"/>
      <w:lang w:val="zh-CN"/>
    </w:rPr>
  </w:style>
  <w:style w:type="character" w:customStyle="1" w:styleId="753">
    <w:name w:val="正文文本缩进 字符1"/>
    <w:autoRedefine/>
    <w:qFormat/>
    <w:uiPriority w:val="0"/>
    <w:rPr>
      <w:rFonts w:ascii="宋体" w:hAnsi="宋体"/>
      <w:snapToGrid w:val="0"/>
      <w:sz w:val="24"/>
    </w:rPr>
  </w:style>
  <w:style w:type="character" w:customStyle="1" w:styleId="754">
    <w:name w:val="font01"/>
    <w:autoRedefine/>
    <w:qFormat/>
    <w:uiPriority w:val="0"/>
    <w:rPr>
      <w:rFonts w:hint="eastAsia" w:ascii="宋体" w:hAnsi="宋体" w:eastAsia="宋体" w:cs="宋体"/>
      <w:color w:val="000000"/>
      <w:sz w:val="22"/>
      <w:szCs w:val="22"/>
      <w:u w:val="none"/>
    </w:rPr>
  </w:style>
  <w:style w:type="character" w:customStyle="1" w:styleId="755">
    <w:name w:val="font61"/>
    <w:autoRedefine/>
    <w:qFormat/>
    <w:uiPriority w:val="0"/>
    <w:rPr>
      <w:rFonts w:hint="eastAsia" w:ascii="宋体" w:hAnsi="宋体" w:eastAsia="宋体" w:cs="宋体"/>
      <w:color w:val="000000"/>
      <w:sz w:val="22"/>
      <w:szCs w:val="22"/>
      <w:u w:val="none"/>
    </w:rPr>
  </w:style>
  <w:style w:type="character" w:customStyle="1" w:styleId="756">
    <w:name w:val="正文文本 + 4 pt"/>
    <w:autoRedefine/>
    <w:qFormat/>
    <w:uiPriority w:val="0"/>
    <w:rPr>
      <w:rFonts w:eastAsia="Times New Roman"/>
      <w:b/>
      <w:bCs/>
      <w:color w:val="000000"/>
      <w:spacing w:val="0"/>
      <w:w w:val="100"/>
      <w:position w:val="0"/>
      <w:sz w:val="8"/>
      <w:szCs w:val="8"/>
      <w:shd w:val="clear" w:color="auto" w:fill="FFFFFF"/>
      <w:lang w:val="zh-CN"/>
    </w:rPr>
  </w:style>
  <w:style w:type="character" w:customStyle="1" w:styleId="757">
    <w:name w:val="font71"/>
    <w:autoRedefine/>
    <w:qFormat/>
    <w:uiPriority w:val="0"/>
    <w:rPr>
      <w:rFonts w:hint="eastAsia" w:ascii="宋体" w:hAnsi="宋体" w:eastAsia="宋体" w:cs="宋体"/>
      <w:color w:val="000000"/>
      <w:sz w:val="22"/>
      <w:szCs w:val="22"/>
      <w:u w:val="none"/>
    </w:rPr>
  </w:style>
  <w:style w:type="paragraph" w:customStyle="1" w:styleId="758">
    <w:name w:val="xl80"/>
    <w:basedOn w:val="1"/>
    <w:autoRedefine/>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b/>
      <w:bCs/>
      <w:sz w:val="20"/>
    </w:rPr>
  </w:style>
  <w:style w:type="paragraph" w:customStyle="1" w:styleId="759">
    <w:name w:val="xl81"/>
    <w:basedOn w:val="1"/>
    <w:autoRedefine/>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b/>
      <w:bCs/>
      <w:sz w:val="20"/>
    </w:rPr>
  </w:style>
  <w:style w:type="paragraph" w:customStyle="1" w:styleId="760">
    <w:name w:val="xl7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761">
    <w:name w:val="xl79"/>
    <w:basedOn w:val="1"/>
    <w:autoRedefine/>
    <w:qFormat/>
    <w:uiPriority w:val="0"/>
    <w:pPr>
      <w:spacing w:before="100" w:beforeAutospacing="1" w:after="100" w:afterAutospacing="1"/>
    </w:pPr>
    <w:rPr>
      <w:sz w:val="20"/>
    </w:rPr>
  </w:style>
  <w:style w:type="paragraph" w:customStyle="1" w:styleId="762">
    <w:name w:val="表格 Char Char Char Char Char Char Char"/>
    <w:basedOn w:val="1"/>
    <w:autoRedefine/>
    <w:qFormat/>
    <w:uiPriority w:val="0"/>
    <w:rPr>
      <w:rFonts w:ascii="Times New Roman" w:hAnsi="Times New Roman"/>
      <w:sz w:val="21"/>
    </w:rPr>
  </w:style>
  <w:style w:type="paragraph" w:customStyle="1" w:styleId="763">
    <w:name w:val="xl75"/>
    <w:basedOn w:val="1"/>
    <w:autoRedefine/>
    <w:qFormat/>
    <w:uiPriority w:val="0"/>
    <w:pPr>
      <w:shd w:val="clear" w:color="000000" w:fill="FFFFFF"/>
      <w:spacing w:before="100" w:beforeAutospacing="1" w:after="100" w:afterAutospacing="1"/>
    </w:pPr>
    <w:rPr>
      <w:sz w:val="20"/>
    </w:rPr>
  </w:style>
  <w:style w:type="paragraph" w:customStyle="1" w:styleId="764">
    <w:name w:val="标题4"/>
    <w:basedOn w:val="1"/>
    <w:next w:val="1"/>
    <w:autoRedefine/>
    <w:qFormat/>
    <w:uiPriority w:val="0"/>
    <w:pPr>
      <w:outlineLvl w:val="3"/>
    </w:pPr>
    <w:rPr>
      <w:rFonts w:ascii="黑体" w:eastAsia="黑体"/>
      <w:b/>
      <w:spacing w:val="-6"/>
    </w:rPr>
  </w:style>
  <w:style w:type="paragraph" w:customStyle="1" w:styleId="765">
    <w:name w:val="xl8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766">
    <w:name w:val="xl78"/>
    <w:basedOn w:val="1"/>
    <w:autoRedefine/>
    <w:qFormat/>
    <w:uiPriority w:val="0"/>
    <w:pPr>
      <w:spacing w:before="100" w:beforeAutospacing="1" w:after="100" w:afterAutospacing="1"/>
      <w:jc w:val="center"/>
    </w:pPr>
    <w:rPr>
      <w:sz w:val="20"/>
    </w:rPr>
  </w:style>
  <w:style w:type="paragraph" w:customStyle="1" w:styleId="767">
    <w:name w:val="xl76"/>
    <w:basedOn w:val="1"/>
    <w:autoRedefine/>
    <w:qFormat/>
    <w:uiPriority w:val="0"/>
    <w:pPr>
      <w:spacing w:before="100" w:beforeAutospacing="1" w:after="100" w:afterAutospacing="1"/>
      <w:jc w:val="center"/>
    </w:pPr>
    <w:rPr>
      <w:sz w:val="20"/>
    </w:rPr>
  </w:style>
  <w:style w:type="paragraph" w:customStyle="1" w:styleId="768">
    <w:name w:val="0"/>
    <w:basedOn w:val="1"/>
    <w:autoRedefine/>
    <w:qFormat/>
    <w:uiPriority w:val="0"/>
    <w:pPr>
      <w:spacing w:before="100" w:beforeAutospacing="1" w:after="100" w:afterAutospacing="1"/>
    </w:pPr>
  </w:style>
  <w:style w:type="paragraph" w:customStyle="1" w:styleId="769">
    <w:name w:val="xl7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770">
    <w:name w:val="xl8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sz w:val="20"/>
    </w:rPr>
  </w:style>
  <w:style w:type="paragraph" w:customStyle="1" w:styleId="771">
    <w:name w:val="xl74"/>
    <w:basedOn w:val="1"/>
    <w:autoRedefine/>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sz w:val="20"/>
    </w:rPr>
  </w:style>
  <w:style w:type="paragraph" w:customStyle="1" w:styleId="772">
    <w:name w:val="xl6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style>
  <w:style w:type="paragraph" w:customStyle="1" w:styleId="773">
    <w:name w:val="xl73"/>
    <w:basedOn w:val="1"/>
    <w:autoRedefine/>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sz w:val="20"/>
    </w:rPr>
  </w:style>
  <w:style w:type="paragraph" w:customStyle="1" w:styleId="774">
    <w:name w:val="标题2"/>
    <w:basedOn w:val="1"/>
    <w:next w:val="1"/>
    <w:autoRedefine/>
    <w:qFormat/>
    <w:uiPriority w:val="0"/>
    <w:rPr>
      <w:rFonts w:ascii="黑体" w:hAnsi="Times New Roman" w:eastAsia="黑体"/>
      <w:b/>
      <w:kern w:val="2"/>
    </w:rPr>
  </w:style>
  <w:style w:type="paragraph" w:customStyle="1" w:styleId="775">
    <w:name w:val="图表文字"/>
    <w:basedOn w:val="1"/>
    <w:next w:val="1"/>
    <w:link w:val="776"/>
    <w:autoRedefine/>
    <w:qFormat/>
    <w:uiPriority w:val="0"/>
    <w:pPr>
      <w:kinsoku w:val="0"/>
      <w:wordWrap w:val="0"/>
      <w:overflowPunct w:val="0"/>
      <w:autoSpaceDE w:val="0"/>
      <w:autoSpaceDN w:val="0"/>
      <w:spacing w:line="240" w:lineRule="atLeast"/>
      <w:jc w:val="center"/>
    </w:pPr>
    <w:rPr>
      <w:rFonts w:ascii="Times New Roman" w:hAnsi="Times New Roman" w:cs="Times New Roman"/>
      <w:kern w:val="2"/>
      <w:sz w:val="21"/>
      <w:szCs w:val="20"/>
    </w:rPr>
  </w:style>
  <w:style w:type="character" w:customStyle="1" w:styleId="776">
    <w:name w:val="图表文字 字符"/>
    <w:link w:val="775"/>
    <w:autoRedefine/>
    <w:qFormat/>
    <w:uiPriority w:val="0"/>
    <w:rPr>
      <w:kern w:val="2"/>
      <w:sz w:val="21"/>
    </w:rPr>
  </w:style>
  <w:style w:type="paragraph" w:customStyle="1" w:styleId="777">
    <w:name w:val="xl6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778">
    <w:name w:val="xl82"/>
    <w:basedOn w:val="1"/>
    <w:autoRedefine/>
    <w:qFormat/>
    <w:uiPriority w:val="0"/>
    <w:pPr>
      <w:pBdr>
        <w:top w:val="single" w:color="auto" w:sz="4" w:space="0"/>
        <w:left w:val="single" w:color="auto" w:sz="4" w:space="0"/>
        <w:right w:val="single" w:color="auto" w:sz="4" w:space="0"/>
      </w:pBdr>
      <w:shd w:val="clear" w:color="000000" w:fill="D8E4BC"/>
      <w:spacing w:before="100" w:beforeAutospacing="1" w:after="100" w:afterAutospacing="1"/>
      <w:jc w:val="center"/>
      <w:textAlignment w:val="center"/>
    </w:pPr>
    <w:rPr>
      <w:b/>
      <w:bCs/>
      <w:sz w:val="20"/>
    </w:rPr>
  </w:style>
  <w:style w:type="paragraph" w:customStyle="1" w:styleId="779">
    <w:name w:val="xl8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780">
    <w:name w:val="xl77"/>
    <w:basedOn w:val="1"/>
    <w:autoRedefine/>
    <w:qFormat/>
    <w:uiPriority w:val="0"/>
    <w:pPr>
      <w:shd w:val="clear" w:color="000000" w:fill="D8E4BC"/>
      <w:spacing w:before="100" w:beforeAutospacing="1" w:after="100" w:afterAutospacing="1"/>
      <w:jc w:val="center"/>
    </w:pPr>
    <w:rPr>
      <w:sz w:val="20"/>
    </w:rPr>
  </w:style>
  <w:style w:type="paragraph" w:customStyle="1" w:styleId="781">
    <w:name w:val="xl7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782">
    <w:name w:val="样式报告正文"/>
    <w:basedOn w:val="1"/>
    <w:autoRedefine/>
    <w:qFormat/>
    <w:uiPriority w:val="0"/>
    <w:pPr>
      <w:adjustRightInd w:val="0"/>
      <w:snapToGrid w:val="0"/>
      <w:spacing w:after="200" w:line="360" w:lineRule="auto"/>
      <w:ind w:firstLine="200" w:firstLineChars="200"/>
    </w:pPr>
    <w:rPr>
      <w:rFonts w:ascii="Times New Roman" w:hAnsi="Times New Roman" w:eastAsia="微软雅黑" w:cs="黑体"/>
      <w:sz w:val="28"/>
      <w:szCs w:val="22"/>
    </w:rPr>
  </w:style>
  <w:style w:type="paragraph" w:customStyle="1" w:styleId="783">
    <w:name w:val="样式6"/>
    <w:basedOn w:val="230"/>
    <w:autoRedefine/>
    <w:qFormat/>
    <w:uiPriority w:val="0"/>
    <w:pPr>
      <w:keepNext/>
      <w:keepLines/>
      <w:widowControl w:val="0"/>
      <w:adjustRightInd w:val="0"/>
      <w:snapToGrid w:val="0"/>
      <w:spacing w:line="360" w:lineRule="auto"/>
      <w:jc w:val="center"/>
      <w:outlineLvl w:val="4"/>
    </w:pPr>
    <w:rPr>
      <w:rFonts w:ascii="黑体" w:hAnsi="Tahoma" w:eastAsia="黑体" w:cs="黑体"/>
      <w:snapToGrid/>
      <w:kern w:val="2"/>
      <w:szCs w:val="24"/>
    </w:rPr>
  </w:style>
  <w:style w:type="character" w:customStyle="1" w:styleId="784">
    <w:name w:val="ask-title"/>
    <w:basedOn w:val="63"/>
    <w:autoRedefine/>
    <w:qFormat/>
    <w:uiPriority w:val="0"/>
  </w:style>
  <w:style w:type="table" w:customStyle="1" w:styleId="785">
    <w:name w:val="网格型浅色1"/>
    <w:basedOn w:val="61"/>
    <w:autoRedefine/>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style>
  <w:style w:type="table" w:customStyle="1" w:styleId="786">
    <w:name w:val="无格式表格 21"/>
    <w:basedOn w:val="61"/>
    <w:autoRedefine/>
    <w:qFormat/>
    <w:uiPriority w:val="42"/>
    <w:tblPr>
      <w:tblBorders>
        <w:top w:val="single" w:color="7E7E7E" w:themeColor="text1" w:themeTint="80" w:sz="4" w:space="0"/>
        <w:bottom w:val="single" w:color="7E7E7E" w:themeColor="text1" w:themeTint="80" w:sz="4" w:space="0"/>
      </w:tblBorders>
      <w:tblCellMar>
        <w:top w:w="0" w:type="dxa"/>
        <w:left w:w="108" w:type="dxa"/>
        <w:bottom w:w="0" w:type="dxa"/>
        <w:right w:w="108" w:type="dxa"/>
      </w:tblCellMar>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787">
    <w:name w:val="浅色列表1"/>
    <w:basedOn w:val="61"/>
    <w:autoRedefine/>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cPr>
        <w:shd w:val="clear" w:color="auto" w:fill="000000" w:themeFill="text1"/>
      </w:tcPr>
    </w:tblStylePr>
    <w:tblStylePr w:type="lastRow">
      <w:pPr>
        <w:spacing w:before="0" w:after="0" w:line="240" w:lineRule="auto"/>
      </w:pPr>
      <w:rPr>
        <w:b/>
        <w:bCs/>
      </w:r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character" w:customStyle="1" w:styleId="788">
    <w:name w:val="未处理的提及1"/>
    <w:basedOn w:val="63"/>
    <w:autoRedefine/>
    <w:semiHidden/>
    <w:unhideWhenUsed/>
    <w:qFormat/>
    <w:uiPriority w:val="99"/>
    <w:rPr>
      <w:color w:val="605E5C"/>
      <w:shd w:val="clear" w:color="auto" w:fill="E1DFDD"/>
    </w:rPr>
  </w:style>
  <w:style w:type="character" w:customStyle="1" w:styleId="789">
    <w:name w:val="HTML 预设格式 Char"/>
    <w:basedOn w:val="63"/>
    <w:link w:val="57"/>
    <w:autoRedefine/>
    <w:qFormat/>
    <w:uiPriority w:val="99"/>
    <w:rPr>
      <w:rFonts w:ascii="宋体" w:hAnsi="宋体" w:cs="宋体"/>
      <w:sz w:val="24"/>
      <w:szCs w:val="24"/>
    </w:rPr>
  </w:style>
  <w:style w:type="paragraph" w:customStyle="1" w:styleId="790">
    <w:name w:val="表14－1"/>
    <w:basedOn w:val="1"/>
    <w:autoRedefine/>
    <w:qFormat/>
    <w:uiPriority w:val="0"/>
    <w:pPr>
      <w:widowControl w:val="0"/>
      <w:tabs>
        <w:tab w:val="left" w:pos="561"/>
        <w:tab w:val="left" w:pos="1490"/>
        <w:tab w:val="left" w:pos="1620"/>
      </w:tabs>
      <w:adjustRightInd w:val="0"/>
      <w:spacing w:beforeLines="50" w:line="360" w:lineRule="auto"/>
      <w:jc w:val="center"/>
      <w:textAlignment w:val="baseline"/>
    </w:pPr>
    <w:rPr>
      <w:rFonts w:ascii="等线" w:hAnsi="等线" w:eastAsia="等线" w:cs="等线"/>
      <w:kern w:val="2"/>
      <w:szCs w:val="20"/>
    </w:rPr>
  </w:style>
  <w:style w:type="character" w:customStyle="1" w:styleId="791">
    <w:name w:val="title41"/>
    <w:autoRedefine/>
    <w:qFormat/>
    <w:uiPriority w:val="0"/>
    <w:rPr>
      <w:rFonts w:hint="eastAsia" w:ascii="宋体" w:hAnsi="宋体" w:eastAsia="宋体"/>
      <w:color w:val="194F95"/>
      <w:sz w:val="23"/>
      <w:szCs w:val="23"/>
    </w:rPr>
  </w:style>
  <w:style w:type="paragraph" w:customStyle="1" w:styleId="792">
    <w:name w:val="Table Paragraph"/>
    <w:basedOn w:val="1"/>
    <w:autoRedefine/>
    <w:qFormat/>
    <w:uiPriority w:val="1"/>
    <w:pPr>
      <w:jc w:val="left"/>
    </w:pPr>
    <w:rPr>
      <w:rFonts w:ascii="Calibri" w:hAnsi="Calibri"/>
      <w:kern w:val="0"/>
      <w:sz w:val="22"/>
      <w:szCs w:val="22"/>
      <w:lang w:eastAsia="en-US"/>
    </w:rPr>
  </w:style>
  <w:style w:type="paragraph" w:customStyle="1" w:styleId="793">
    <w:name w:val="Table Text"/>
    <w:basedOn w:val="1"/>
    <w:autoRedefine/>
    <w:semiHidden/>
    <w:qFormat/>
    <w:uiPriority w:val="0"/>
    <w:rPr>
      <w:rFonts w:ascii="宋体" w:hAnsi="宋体" w:eastAsia="宋体" w:cs="宋体"/>
      <w:sz w:val="21"/>
      <w:szCs w:val="21"/>
      <w:lang w:val="en-US" w:eastAsia="en-US" w:bidi="ar-SA"/>
    </w:rPr>
  </w:style>
  <w:style w:type="table" w:customStyle="1" w:styleId="794">
    <w:name w:val="Table Normal"/>
    <w:autoRedefine/>
    <w:semiHidden/>
    <w:unhideWhenUsed/>
    <w:qFormat/>
    <w:uiPriority w:val="0"/>
    <w:tblPr>
      <w:tblCellMar>
        <w:top w:w="0" w:type="dxa"/>
        <w:left w:w="0" w:type="dxa"/>
        <w:bottom w:w="0" w:type="dxa"/>
        <w:right w:w="0" w:type="dxa"/>
      </w:tblCellMar>
    </w:tblPr>
  </w:style>
  <w:style w:type="paragraph" w:customStyle="1" w:styleId="795">
    <w:name w:val="表格格式"/>
    <w:basedOn w:val="1"/>
    <w:autoRedefine/>
    <w:qFormat/>
    <w:uiPriority w:val="0"/>
    <w:pPr>
      <w:jc w:val="left"/>
    </w:pPr>
    <w:rPr>
      <w:rFonts w:ascii="Times New Roman" w:hAnsi="Times New Roman" w:cs="Times New Roman"/>
      <w:bCs/>
      <w:szCs w:val="21"/>
    </w:rPr>
  </w:style>
  <w:style w:type="character" w:customStyle="1" w:styleId="796">
    <w:name w:val="font21"/>
    <w:basedOn w:val="63"/>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6.png"/><Relationship Id="rId32" Type="http://schemas.openxmlformats.org/officeDocument/2006/relationships/image" Target="media/image5.png"/><Relationship Id="rId31" Type="http://schemas.openxmlformats.org/officeDocument/2006/relationships/image" Target="media/image4.png"/><Relationship Id="rId30" Type="http://schemas.openxmlformats.org/officeDocument/2006/relationships/image" Target="media/image3.png"/><Relationship Id="rId3" Type="http://schemas.openxmlformats.org/officeDocument/2006/relationships/header" Target="header1.xml"/><Relationship Id="rId29" Type="http://schemas.openxmlformats.org/officeDocument/2006/relationships/image" Target="media/image2.png"/><Relationship Id="rId28" Type="http://schemas.openxmlformats.org/officeDocument/2006/relationships/image" Target="media/image1.wmf"/><Relationship Id="rId27" Type="http://schemas.openxmlformats.org/officeDocument/2006/relationships/oleObject" Target="embeddings/oleObject1.bin"/><Relationship Id="rId26" Type="http://schemas.openxmlformats.org/officeDocument/2006/relationships/theme" Target="theme/theme1.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107"/>
    <customShpInfo spid="_x0000_s1108"/>
    <customShpInfo spid="_x0000_s1109"/>
    <customShpInfo spid="_x0000_s1110"/>
    <customShpInfo spid="_x0000_s1111"/>
    <customShpInfo spid="_x0000_s1113"/>
    <customShpInfo spid="_x0000_s1114"/>
    <customShpInfo spid="_x0000_s1115"/>
    <customShpInfo spid="_x0000_s1116"/>
    <customShpInfo spid="_x0000_s1117"/>
    <customShpInfo spid="_x0000_s1118"/>
    <customShpInfo spid="_x0000_s1119"/>
    <customShpInfo spid="_x0000_s1120"/>
    <customShpInfo spid="_x0000_s1112"/>
    <customShpInfo spid="_x0000_s1106"/>
    <customShpInfo spid="_x0000_s1171"/>
    <customShpInfo spid="_x0000_s1172"/>
    <customShpInfo spid="_x0000_s1105"/>
    <customShpInfo spid="_x0000_s1147"/>
    <customShpInfo spid="_x0000_s1145"/>
    <customShpInfo spid="_x0000_s1166"/>
    <customShpInfo spid="_x0000_s1165"/>
    <customShpInfo spid="_x0000_s1144"/>
    <customShpInfo spid="_x0000_s1146"/>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2"/>
    <customShpInfo spid="_x0000_s1163"/>
    <customShpInfo spid="_x0000_s1164"/>
    <customShpInfo spid="_x0000_s1161"/>
    <customShpInfo spid="_x0000_s1170"/>
    <customShpInfo spid="_x0000_s1168"/>
    <customShpInfo spid="_x0000_s116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92</Pages>
  <Words>52191</Words>
  <Characters>61818</Characters>
  <Lines>327</Lines>
  <Paragraphs>92</Paragraphs>
  <TotalTime>0</TotalTime>
  <ScaleCrop>false</ScaleCrop>
  <LinksUpToDate>false</LinksUpToDate>
  <CharactersWithSpaces>62243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2020-12-10T04:45:00Z</dcterms:created>
  <dc:creator>微软用户</dc:creator>
  <cp:lastModifiedBy>南方</cp:lastModifiedBy>
  <cp:lastPrinted>2024-03-05T08:04:00Z</cp:lastPrinted>
  <dcterms:modified xsi:type="dcterms:W3CDTF">2024-10-12T07:41:14Z</dcterms:modified>
  <cp:revision>157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981375E5F0A4F24CED8A0A65CA6E02EE_42</vt:lpwstr>
  </property>
</Properties>
</file>