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DB1AA1">
      <w:pPr>
        <w:pStyle w:val="54"/>
        <w:adjustRightInd w:val="0"/>
        <w:snapToGrid w:val="0"/>
        <w:spacing w:line="360" w:lineRule="auto"/>
        <w:jc w:val="center"/>
        <w:rPr>
          <w:rFonts w:ascii="Times New Roman" w:hAnsi="Times New Roman" w:cs="Times New Roman"/>
          <w:b/>
          <w:color w:val="auto"/>
          <w:sz w:val="44"/>
          <w:szCs w:val="44"/>
          <w:highlight w:val="none"/>
        </w:rPr>
      </w:pPr>
    </w:p>
    <w:p w14:paraId="4599D93C">
      <w:pPr>
        <w:pStyle w:val="54"/>
        <w:adjustRightInd w:val="0"/>
        <w:snapToGrid w:val="0"/>
        <w:spacing w:line="360" w:lineRule="auto"/>
        <w:jc w:val="center"/>
        <w:rPr>
          <w:rFonts w:ascii="Times New Roman" w:hAnsi="Times New Roman" w:cs="Times New Roman"/>
          <w:b/>
          <w:color w:val="auto"/>
          <w:sz w:val="44"/>
          <w:szCs w:val="44"/>
          <w:highlight w:val="none"/>
        </w:rPr>
      </w:pPr>
      <w:r>
        <w:rPr>
          <w:rFonts w:hint="eastAsia" w:ascii="Times New Roman" w:hAnsi="Times New Roman" w:cs="Times New Roman"/>
          <w:b/>
          <w:color w:val="auto"/>
          <w:sz w:val="44"/>
          <w:szCs w:val="44"/>
          <w:highlight w:val="none"/>
        </w:rPr>
        <w:t>浙江伟星实业发展股份有限公司</w:t>
      </w:r>
    </w:p>
    <w:p w14:paraId="5B52FF63">
      <w:pPr>
        <w:pStyle w:val="54"/>
        <w:adjustRightInd w:val="0"/>
        <w:snapToGrid w:val="0"/>
        <w:spacing w:line="360" w:lineRule="auto"/>
        <w:jc w:val="center"/>
        <w:rPr>
          <w:rFonts w:ascii="Times New Roman" w:hAnsi="Times New Roman" w:cs="Times New Roman"/>
          <w:b/>
          <w:color w:val="auto"/>
          <w:sz w:val="44"/>
          <w:szCs w:val="44"/>
          <w:highlight w:val="none"/>
        </w:rPr>
      </w:pPr>
      <w:r>
        <w:rPr>
          <w:rFonts w:hint="eastAsia" w:ascii="Times New Roman" w:hAnsi="Times New Roman" w:cs="Times New Roman"/>
          <w:b/>
          <w:color w:val="auto"/>
          <w:sz w:val="44"/>
          <w:szCs w:val="44"/>
          <w:highlight w:val="none"/>
        </w:rPr>
        <w:t>临海钮扣分公司</w:t>
      </w:r>
    </w:p>
    <w:p w14:paraId="7F8C2D3E">
      <w:pPr>
        <w:pStyle w:val="54"/>
        <w:adjustRightInd w:val="0"/>
        <w:snapToGrid w:val="0"/>
        <w:spacing w:line="360" w:lineRule="auto"/>
        <w:jc w:val="center"/>
        <w:rPr>
          <w:rFonts w:ascii="Times New Roman" w:hAnsi="Times New Roman" w:cs="Times New Roman"/>
          <w:b/>
          <w:color w:val="auto"/>
          <w:sz w:val="44"/>
          <w:szCs w:val="44"/>
          <w:highlight w:val="none"/>
        </w:rPr>
      </w:pPr>
      <w:r>
        <w:rPr>
          <w:rFonts w:hint="eastAsia" w:ascii="Times New Roman" w:hAnsi="Times New Roman" w:cs="Times New Roman"/>
          <w:b/>
          <w:color w:val="auto"/>
          <w:sz w:val="44"/>
          <w:szCs w:val="44"/>
          <w:highlight w:val="none"/>
        </w:rPr>
        <w:t>危化品仓库</w:t>
      </w:r>
    </w:p>
    <w:p w14:paraId="6E3E1476">
      <w:pPr>
        <w:pStyle w:val="54"/>
        <w:adjustRightInd w:val="0"/>
        <w:snapToGrid w:val="0"/>
        <w:spacing w:line="360" w:lineRule="auto"/>
        <w:jc w:val="center"/>
        <w:rPr>
          <w:rFonts w:ascii="Times New Roman" w:hAnsi="Times New Roman" w:eastAsia="黑体" w:cs="Times New Roman"/>
          <w:b/>
          <w:bCs/>
          <w:color w:val="auto"/>
          <w:spacing w:val="40"/>
          <w:sz w:val="52"/>
          <w:szCs w:val="52"/>
          <w:highlight w:val="none"/>
        </w:rPr>
      </w:pPr>
      <w:r>
        <w:rPr>
          <w:rFonts w:hint="eastAsia" w:ascii="Times New Roman" w:hAnsi="Times New Roman" w:eastAsia="黑体" w:cs="Times New Roman"/>
          <w:b/>
          <w:bCs/>
          <w:color w:val="auto"/>
          <w:spacing w:val="40"/>
          <w:sz w:val="52"/>
          <w:szCs w:val="52"/>
          <w:highlight w:val="none"/>
        </w:rPr>
        <w:t>专项安全现状评价报告</w:t>
      </w:r>
    </w:p>
    <w:p w14:paraId="0280D3C3">
      <w:pPr>
        <w:pStyle w:val="83"/>
        <w:spacing w:line="360" w:lineRule="auto"/>
        <w:rPr>
          <w:rFonts w:ascii="Times New Roman"/>
          <w:b/>
          <w:color w:val="auto"/>
          <w:sz w:val="44"/>
          <w:highlight w:val="none"/>
        </w:rPr>
      </w:pPr>
    </w:p>
    <w:p w14:paraId="6709D7C4">
      <w:pPr>
        <w:pStyle w:val="83"/>
        <w:adjustRightInd w:val="0"/>
        <w:snapToGrid w:val="0"/>
        <w:spacing w:line="360" w:lineRule="auto"/>
        <w:jc w:val="both"/>
        <w:rPr>
          <w:rFonts w:ascii="Times New Roman"/>
          <w:b/>
          <w:color w:val="auto"/>
          <w:sz w:val="52"/>
          <w:highlight w:val="none"/>
        </w:rPr>
      </w:pPr>
    </w:p>
    <w:p w14:paraId="1D679864">
      <w:pPr>
        <w:adjustRightInd w:val="0"/>
        <w:snapToGrid w:val="0"/>
        <w:jc w:val="center"/>
        <w:rPr>
          <w:rFonts w:ascii="Times New Roman" w:hAnsi="Times New Roman" w:cs="Times New Roman"/>
          <w:color w:val="auto"/>
          <w:highlight w:val="none"/>
        </w:rPr>
      </w:pPr>
    </w:p>
    <w:p w14:paraId="301560F0">
      <w:pPr>
        <w:pStyle w:val="83"/>
        <w:adjustRightInd w:val="0"/>
        <w:snapToGrid w:val="0"/>
        <w:spacing w:line="240" w:lineRule="auto"/>
        <w:rPr>
          <w:rFonts w:ascii="Times New Roman"/>
          <w:color w:val="auto"/>
          <w:highlight w:val="none"/>
        </w:rPr>
      </w:pPr>
    </w:p>
    <w:p w14:paraId="5CB02766">
      <w:pPr>
        <w:adjustRightInd w:val="0"/>
        <w:snapToGrid w:val="0"/>
        <w:jc w:val="center"/>
        <w:rPr>
          <w:rFonts w:ascii="Times New Roman" w:hAnsi="Times New Roman" w:cs="Times New Roman"/>
          <w:color w:val="auto"/>
          <w:highlight w:val="none"/>
        </w:rPr>
      </w:pPr>
    </w:p>
    <w:p w14:paraId="485EA313">
      <w:pPr>
        <w:adjustRightInd w:val="0"/>
        <w:snapToGrid w:val="0"/>
        <w:jc w:val="center"/>
        <w:rPr>
          <w:rFonts w:ascii="Times New Roman" w:hAnsi="Times New Roman" w:cs="Times New Roman"/>
          <w:color w:val="auto"/>
          <w:highlight w:val="none"/>
        </w:rPr>
      </w:pPr>
    </w:p>
    <w:p w14:paraId="1C44EE3D">
      <w:pPr>
        <w:adjustRightInd w:val="0"/>
        <w:snapToGrid w:val="0"/>
        <w:jc w:val="center"/>
        <w:rPr>
          <w:rFonts w:ascii="Times New Roman" w:hAnsi="Times New Roman" w:cs="Times New Roman"/>
          <w:color w:val="auto"/>
          <w:highlight w:val="none"/>
        </w:rPr>
      </w:pPr>
    </w:p>
    <w:p w14:paraId="4D0893C4">
      <w:pPr>
        <w:adjustRightInd w:val="0"/>
        <w:snapToGrid w:val="0"/>
        <w:jc w:val="center"/>
        <w:rPr>
          <w:rFonts w:ascii="Times New Roman" w:hAnsi="Times New Roman" w:cs="Times New Roman"/>
          <w:color w:val="auto"/>
          <w:highlight w:val="none"/>
        </w:rPr>
      </w:pPr>
    </w:p>
    <w:p w14:paraId="6A507A74">
      <w:pPr>
        <w:adjustRightInd w:val="0"/>
        <w:snapToGrid w:val="0"/>
        <w:jc w:val="center"/>
        <w:rPr>
          <w:rFonts w:ascii="Times New Roman" w:hAnsi="Times New Roman" w:cs="Times New Roman"/>
          <w:color w:val="auto"/>
          <w:highlight w:val="none"/>
        </w:rPr>
      </w:pPr>
    </w:p>
    <w:p w14:paraId="68D2BD24">
      <w:pPr>
        <w:adjustRightInd w:val="0"/>
        <w:snapToGrid w:val="0"/>
        <w:jc w:val="center"/>
        <w:rPr>
          <w:rFonts w:ascii="Times New Roman" w:hAnsi="Times New Roman" w:cs="Times New Roman"/>
          <w:color w:val="auto"/>
          <w:highlight w:val="none"/>
        </w:rPr>
      </w:pPr>
    </w:p>
    <w:p w14:paraId="6407E11F">
      <w:pPr>
        <w:adjustRightInd w:val="0"/>
        <w:snapToGrid w:val="0"/>
        <w:jc w:val="center"/>
        <w:rPr>
          <w:rFonts w:ascii="Times New Roman" w:hAnsi="Times New Roman" w:cs="Times New Roman"/>
          <w:color w:val="auto"/>
          <w:highlight w:val="none"/>
        </w:rPr>
      </w:pPr>
    </w:p>
    <w:p w14:paraId="2FF32B96">
      <w:pPr>
        <w:adjustRightInd w:val="0"/>
        <w:snapToGrid w:val="0"/>
        <w:jc w:val="center"/>
        <w:rPr>
          <w:rFonts w:ascii="Times New Roman" w:hAnsi="Times New Roman" w:cs="Times New Roman"/>
          <w:color w:val="auto"/>
          <w:highlight w:val="none"/>
        </w:rPr>
      </w:pPr>
    </w:p>
    <w:p w14:paraId="4B995B0D">
      <w:pPr>
        <w:adjustRightInd w:val="0"/>
        <w:snapToGrid w:val="0"/>
        <w:jc w:val="center"/>
        <w:rPr>
          <w:rFonts w:ascii="Times New Roman" w:hAnsi="Times New Roman" w:cs="Times New Roman"/>
          <w:color w:val="auto"/>
          <w:highlight w:val="none"/>
        </w:rPr>
      </w:pPr>
    </w:p>
    <w:p w14:paraId="786E83A7">
      <w:pPr>
        <w:adjustRightInd w:val="0"/>
        <w:snapToGrid w:val="0"/>
        <w:jc w:val="center"/>
        <w:rPr>
          <w:rFonts w:ascii="Times New Roman" w:hAnsi="Times New Roman" w:cs="Times New Roman"/>
          <w:color w:val="auto"/>
          <w:highlight w:val="none"/>
        </w:rPr>
      </w:pPr>
    </w:p>
    <w:p w14:paraId="0ACECC5B">
      <w:pPr>
        <w:adjustRightInd w:val="0"/>
        <w:snapToGrid w:val="0"/>
        <w:jc w:val="center"/>
        <w:rPr>
          <w:rFonts w:ascii="Times New Roman" w:hAnsi="Times New Roman" w:cs="Times New Roman"/>
          <w:color w:val="auto"/>
          <w:highlight w:val="none"/>
        </w:rPr>
      </w:pPr>
    </w:p>
    <w:p w14:paraId="01589FA4">
      <w:pPr>
        <w:adjustRightInd w:val="0"/>
        <w:snapToGrid w:val="0"/>
        <w:jc w:val="center"/>
        <w:rPr>
          <w:rFonts w:ascii="Times New Roman" w:hAnsi="Times New Roman" w:cs="Times New Roman"/>
          <w:color w:val="auto"/>
          <w:highlight w:val="none"/>
        </w:rPr>
      </w:pPr>
    </w:p>
    <w:p w14:paraId="0DEE1568">
      <w:pPr>
        <w:adjustRightInd w:val="0"/>
        <w:snapToGrid w:val="0"/>
        <w:jc w:val="center"/>
        <w:rPr>
          <w:rFonts w:ascii="Times New Roman" w:hAnsi="Times New Roman" w:cs="Times New Roman"/>
          <w:color w:val="auto"/>
          <w:highlight w:val="none"/>
        </w:rPr>
      </w:pPr>
    </w:p>
    <w:p w14:paraId="582CC851">
      <w:pPr>
        <w:adjustRightInd w:val="0"/>
        <w:snapToGrid w:val="0"/>
        <w:jc w:val="center"/>
        <w:rPr>
          <w:rFonts w:ascii="Times New Roman" w:hAnsi="Times New Roman" w:cs="Times New Roman"/>
          <w:color w:val="auto"/>
          <w:highlight w:val="none"/>
        </w:rPr>
      </w:pPr>
    </w:p>
    <w:p w14:paraId="23E9A5D0">
      <w:pPr>
        <w:adjustRightInd w:val="0"/>
        <w:snapToGrid w:val="0"/>
        <w:jc w:val="center"/>
        <w:rPr>
          <w:rFonts w:ascii="Times New Roman" w:hAnsi="Times New Roman" w:cs="Times New Roman"/>
          <w:color w:val="auto"/>
          <w:highlight w:val="none"/>
        </w:rPr>
      </w:pPr>
    </w:p>
    <w:p w14:paraId="4D69A401">
      <w:pPr>
        <w:adjustRightInd w:val="0"/>
        <w:snapToGrid w:val="0"/>
        <w:jc w:val="center"/>
        <w:rPr>
          <w:rFonts w:ascii="Times New Roman" w:hAnsi="Times New Roman" w:cs="Times New Roman"/>
          <w:color w:val="auto"/>
          <w:highlight w:val="none"/>
        </w:rPr>
      </w:pPr>
    </w:p>
    <w:p w14:paraId="10E880BA">
      <w:pPr>
        <w:adjustRightInd w:val="0"/>
        <w:snapToGrid w:val="0"/>
        <w:jc w:val="center"/>
        <w:rPr>
          <w:rFonts w:ascii="Times New Roman" w:hAnsi="Times New Roman" w:cs="Times New Roman"/>
          <w:color w:val="auto"/>
          <w:highlight w:val="none"/>
        </w:rPr>
      </w:pPr>
    </w:p>
    <w:p w14:paraId="084AD9E3">
      <w:pPr>
        <w:adjustRightInd w:val="0"/>
        <w:snapToGrid w:val="0"/>
        <w:jc w:val="center"/>
        <w:rPr>
          <w:rFonts w:ascii="Times New Roman" w:hAnsi="Times New Roman" w:cs="Times New Roman"/>
          <w:color w:val="auto"/>
          <w:highlight w:val="none"/>
        </w:rPr>
      </w:pPr>
    </w:p>
    <w:p w14:paraId="50D65C10">
      <w:pPr>
        <w:adjustRightInd w:val="0"/>
        <w:snapToGrid w:val="0"/>
        <w:jc w:val="center"/>
        <w:rPr>
          <w:rFonts w:hint="eastAsia" w:ascii="Times New Roman" w:hAnsi="Times New Roman" w:eastAsia="宋体" w:cs="Times New Roman"/>
          <w:b/>
          <w:color w:val="auto"/>
          <w:sz w:val="44"/>
          <w:szCs w:val="44"/>
          <w:highlight w:val="none"/>
          <w:lang w:eastAsia="zh-CN"/>
        </w:rPr>
      </w:pPr>
      <w:r>
        <w:rPr>
          <w:rFonts w:hint="eastAsia" w:ascii="Times New Roman" w:hAnsi="Times New Roman" w:cs="Times New Roman"/>
          <w:b/>
          <w:color w:val="auto"/>
          <w:sz w:val="44"/>
          <w:szCs w:val="44"/>
          <w:highlight w:val="none"/>
          <w:lang w:eastAsia="zh-CN"/>
        </w:rPr>
        <w:t>山东实华安全技术有限公司</w:t>
      </w:r>
    </w:p>
    <w:p w14:paraId="1017C1E1">
      <w:pPr>
        <w:adjustRightInd w:val="0"/>
        <w:snapToGrid w:val="0"/>
        <w:jc w:val="center"/>
        <w:rPr>
          <w:rFonts w:ascii="Times New Roman" w:hAnsi="Times New Roman" w:cs="Times New Roman"/>
          <w:color w:val="auto"/>
          <w:highlight w:val="none"/>
        </w:rPr>
      </w:pPr>
    </w:p>
    <w:p w14:paraId="46EDB273">
      <w:pPr>
        <w:adjustRightInd w:val="0"/>
        <w:snapToGrid w:val="0"/>
        <w:spacing w:line="360" w:lineRule="auto"/>
        <w:jc w:val="center"/>
        <w:rPr>
          <w:rFonts w:hint="eastAsia" w:ascii="Times New Roman" w:hAnsi="Times New Roman" w:eastAsia="宋体" w:cs="Times New Roman"/>
          <w:b/>
          <w:color w:val="auto"/>
          <w:sz w:val="32"/>
          <w:highlight w:val="none"/>
          <w:lang w:eastAsia="zh-CN"/>
        </w:rPr>
      </w:pPr>
      <w:r>
        <w:rPr>
          <w:rFonts w:hint="eastAsia" w:ascii="Times New Roman" w:hAnsi="Times New Roman" w:cs="Times New Roman"/>
          <w:b/>
          <w:color w:val="auto"/>
          <w:sz w:val="32"/>
          <w:highlight w:val="none"/>
        </w:rPr>
        <w:t>资质证书编号：</w:t>
      </w:r>
      <w:r>
        <w:rPr>
          <w:rFonts w:hint="eastAsia" w:ascii="Times New Roman" w:hAnsi="Times New Roman" w:cs="Times New Roman"/>
          <w:b/>
          <w:color w:val="auto"/>
          <w:sz w:val="32"/>
          <w:highlight w:val="none"/>
          <w:lang w:eastAsia="zh-CN"/>
        </w:rPr>
        <w:t>APJ-（鲁）-013</w:t>
      </w:r>
    </w:p>
    <w:p w14:paraId="4401DBE3">
      <w:pPr>
        <w:adjustRightInd w:val="0"/>
        <w:snapToGrid w:val="0"/>
        <w:spacing w:line="360" w:lineRule="auto"/>
        <w:jc w:val="center"/>
        <w:rPr>
          <w:rFonts w:hint="default" w:ascii="Times New Roman" w:hAnsi="Times New Roman" w:cs="Times New Roman"/>
          <w:b/>
          <w:color w:val="auto"/>
          <w:sz w:val="32"/>
          <w:highlight w:val="none"/>
        </w:rPr>
      </w:pPr>
      <w:r>
        <w:rPr>
          <w:rFonts w:ascii="Times New Roman" w:hAnsi="Times New Roman" w:cs="Times New Roman"/>
          <w:b/>
          <w:color w:val="auto"/>
          <w:sz w:val="32"/>
          <w:highlight w:val="none"/>
        </w:rPr>
        <w:t>202</w:t>
      </w:r>
      <w:r>
        <w:rPr>
          <w:rFonts w:hint="eastAsia" w:ascii="Times New Roman" w:hAnsi="Times New Roman" w:cs="Times New Roman"/>
          <w:b/>
          <w:color w:val="auto"/>
          <w:sz w:val="32"/>
          <w:highlight w:val="none"/>
          <w:lang w:val="en-US" w:eastAsia="zh-CN"/>
        </w:rPr>
        <w:t>4</w:t>
      </w:r>
      <w:r>
        <w:rPr>
          <w:rFonts w:hint="eastAsia" w:ascii="Times New Roman" w:hAnsi="Times New Roman" w:cs="Times New Roman"/>
          <w:b/>
          <w:color w:val="auto"/>
          <w:sz w:val="32"/>
          <w:highlight w:val="none"/>
        </w:rPr>
        <w:t>年</w:t>
      </w:r>
      <w:r>
        <w:rPr>
          <w:rFonts w:hint="eastAsia" w:ascii="Times New Roman" w:hAnsi="Times New Roman" w:cs="Times New Roman"/>
          <w:b/>
          <w:color w:val="auto"/>
          <w:sz w:val="32"/>
          <w:highlight w:val="none"/>
          <w:lang w:val="en-US" w:eastAsia="zh-CN"/>
        </w:rPr>
        <w:t>06</w:t>
      </w:r>
      <w:r>
        <w:rPr>
          <w:rFonts w:hint="eastAsia" w:ascii="Times New Roman" w:hAnsi="Times New Roman" w:cs="Times New Roman"/>
          <w:b/>
          <w:color w:val="auto"/>
          <w:sz w:val="32"/>
          <w:highlight w:val="none"/>
        </w:rPr>
        <w:t>月</w:t>
      </w:r>
      <w:r>
        <w:rPr>
          <w:rFonts w:hint="eastAsia" w:ascii="Times New Roman" w:hAnsi="Times New Roman" w:cs="Times New Roman"/>
          <w:b/>
          <w:color w:val="auto"/>
          <w:sz w:val="32"/>
          <w:highlight w:val="none"/>
          <w:lang w:val="en-US" w:eastAsia="zh-CN"/>
        </w:rPr>
        <w:t>11日</w:t>
      </w:r>
    </w:p>
    <w:p w14:paraId="216DDBB1">
      <w:pPr>
        <w:adjustRightInd w:val="0"/>
        <w:snapToGrid w:val="0"/>
        <w:rPr>
          <w:color w:val="auto"/>
          <w:highlight w:val="none"/>
        </w:rPr>
      </w:pPr>
    </w:p>
    <w:p w14:paraId="0E1669F8">
      <w:pPr>
        <w:adjustRightInd w:val="0"/>
        <w:snapToGrid w:val="0"/>
        <w:rPr>
          <w:color w:val="auto"/>
          <w:highlight w:val="none"/>
        </w:rPr>
      </w:pPr>
    </w:p>
    <w:p w14:paraId="6CB09834">
      <w:pPr>
        <w:adjustRightInd w:val="0"/>
        <w:snapToGrid w:val="0"/>
        <w:rPr>
          <w:color w:val="auto"/>
          <w:highlight w:val="none"/>
        </w:rPr>
      </w:pPr>
    </w:p>
    <w:p w14:paraId="566EA0C9">
      <w:pPr>
        <w:adjustRightInd w:val="0"/>
        <w:snapToGrid w:val="0"/>
        <w:rPr>
          <w:color w:val="auto"/>
          <w:highlight w:val="none"/>
        </w:rPr>
      </w:pPr>
    </w:p>
    <w:p w14:paraId="4DAE60AB">
      <w:pPr>
        <w:adjustRightInd w:val="0"/>
        <w:snapToGrid w:val="0"/>
        <w:rPr>
          <w:color w:val="auto"/>
          <w:highlight w:val="none"/>
        </w:rPr>
      </w:pPr>
    </w:p>
    <w:p w14:paraId="5775BEBC">
      <w:pPr>
        <w:adjustRightInd w:val="0"/>
        <w:snapToGrid w:val="0"/>
        <w:rPr>
          <w:color w:val="auto"/>
          <w:highlight w:val="none"/>
        </w:rPr>
      </w:pPr>
    </w:p>
    <w:p w14:paraId="447C0A2E">
      <w:pPr>
        <w:adjustRightInd w:val="0"/>
        <w:snapToGrid w:val="0"/>
        <w:rPr>
          <w:color w:val="auto"/>
          <w:highlight w:val="none"/>
        </w:rPr>
      </w:pPr>
    </w:p>
    <w:p w14:paraId="2BF616A2">
      <w:pPr>
        <w:adjustRightInd w:val="0"/>
        <w:snapToGrid w:val="0"/>
        <w:rPr>
          <w:color w:val="auto"/>
          <w:highlight w:val="none"/>
        </w:rPr>
      </w:pPr>
    </w:p>
    <w:p w14:paraId="0C29BB15">
      <w:pPr>
        <w:adjustRightInd w:val="0"/>
        <w:snapToGrid w:val="0"/>
        <w:rPr>
          <w:color w:val="auto"/>
          <w:highlight w:val="none"/>
        </w:rPr>
      </w:pPr>
    </w:p>
    <w:p w14:paraId="03A29E8D">
      <w:pPr>
        <w:adjustRightInd w:val="0"/>
        <w:snapToGrid w:val="0"/>
        <w:rPr>
          <w:color w:val="auto"/>
          <w:highlight w:val="none"/>
        </w:rPr>
      </w:pPr>
    </w:p>
    <w:p w14:paraId="61F137C9">
      <w:pPr>
        <w:adjustRightInd w:val="0"/>
        <w:snapToGrid w:val="0"/>
        <w:rPr>
          <w:color w:val="auto"/>
          <w:highlight w:val="none"/>
        </w:rPr>
      </w:pPr>
    </w:p>
    <w:p w14:paraId="3CC80366">
      <w:pPr>
        <w:adjustRightInd w:val="0"/>
        <w:snapToGrid w:val="0"/>
        <w:rPr>
          <w:color w:val="auto"/>
          <w:highlight w:val="none"/>
        </w:rPr>
      </w:pPr>
    </w:p>
    <w:p w14:paraId="68FDE228">
      <w:pPr>
        <w:adjustRightInd w:val="0"/>
        <w:snapToGrid w:val="0"/>
        <w:rPr>
          <w:color w:val="auto"/>
          <w:highlight w:val="none"/>
        </w:rPr>
      </w:pPr>
    </w:p>
    <w:p w14:paraId="4314A88D">
      <w:pPr>
        <w:adjustRightInd w:val="0"/>
        <w:snapToGrid w:val="0"/>
        <w:rPr>
          <w:color w:val="auto"/>
          <w:highlight w:val="none"/>
        </w:rPr>
      </w:pPr>
    </w:p>
    <w:p w14:paraId="4AB98340">
      <w:pPr>
        <w:adjustRightInd w:val="0"/>
        <w:snapToGrid w:val="0"/>
        <w:rPr>
          <w:color w:val="auto"/>
          <w:highlight w:val="none"/>
        </w:rPr>
      </w:pPr>
    </w:p>
    <w:p w14:paraId="7C18FD72">
      <w:pPr>
        <w:adjustRightInd w:val="0"/>
        <w:snapToGrid w:val="0"/>
        <w:rPr>
          <w:color w:val="auto"/>
          <w:highlight w:val="none"/>
        </w:rPr>
      </w:pPr>
    </w:p>
    <w:p w14:paraId="2549309F">
      <w:pPr>
        <w:adjustRightInd w:val="0"/>
        <w:snapToGrid w:val="0"/>
        <w:rPr>
          <w:color w:val="auto"/>
          <w:highlight w:val="none"/>
        </w:rPr>
      </w:pPr>
    </w:p>
    <w:p w14:paraId="1B1AB8C2">
      <w:pPr>
        <w:adjustRightInd w:val="0"/>
        <w:snapToGrid w:val="0"/>
        <w:rPr>
          <w:color w:val="auto"/>
          <w:highlight w:val="none"/>
        </w:rPr>
      </w:pPr>
    </w:p>
    <w:p w14:paraId="749BF7C0">
      <w:pPr>
        <w:adjustRightInd w:val="0"/>
        <w:snapToGrid w:val="0"/>
        <w:rPr>
          <w:color w:val="auto"/>
          <w:highlight w:val="none"/>
        </w:rPr>
      </w:pPr>
    </w:p>
    <w:p w14:paraId="349CA83B">
      <w:pPr>
        <w:adjustRightInd w:val="0"/>
        <w:snapToGrid w:val="0"/>
        <w:rPr>
          <w:color w:val="auto"/>
          <w:highlight w:val="none"/>
        </w:rPr>
      </w:pPr>
    </w:p>
    <w:p w14:paraId="469758E5">
      <w:pPr>
        <w:adjustRightInd w:val="0"/>
        <w:snapToGrid w:val="0"/>
        <w:rPr>
          <w:color w:val="auto"/>
          <w:highlight w:val="none"/>
        </w:rPr>
      </w:pPr>
    </w:p>
    <w:p w14:paraId="776AF2DA">
      <w:pPr>
        <w:adjustRightInd w:val="0"/>
        <w:snapToGrid w:val="0"/>
        <w:rPr>
          <w:color w:val="auto"/>
          <w:highlight w:val="none"/>
        </w:rPr>
      </w:pPr>
    </w:p>
    <w:p w14:paraId="09AEAC48">
      <w:pPr>
        <w:adjustRightInd w:val="0"/>
        <w:snapToGrid w:val="0"/>
        <w:rPr>
          <w:color w:val="auto"/>
          <w:highlight w:val="none"/>
        </w:rPr>
      </w:pPr>
    </w:p>
    <w:p w14:paraId="4C9203A5">
      <w:pPr>
        <w:adjustRightInd w:val="0"/>
        <w:snapToGrid w:val="0"/>
        <w:rPr>
          <w:color w:val="auto"/>
          <w:highlight w:val="none"/>
        </w:rPr>
      </w:pPr>
    </w:p>
    <w:p w14:paraId="490A8ED1">
      <w:pPr>
        <w:adjustRightInd w:val="0"/>
        <w:snapToGrid w:val="0"/>
        <w:rPr>
          <w:color w:val="auto"/>
          <w:highlight w:val="none"/>
        </w:rPr>
      </w:pPr>
    </w:p>
    <w:p w14:paraId="035EB427">
      <w:pPr>
        <w:adjustRightInd w:val="0"/>
        <w:snapToGrid w:val="0"/>
        <w:rPr>
          <w:color w:val="auto"/>
          <w:highlight w:val="none"/>
        </w:rPr>
      </w:pPr>
    </w:p>
    <w:p w14:paraId="6CDF8E92">
      <w:pPr>
        <w:adjustRightInd w:val="0"/>
        <w:snapToGrid w:val="0"/>
        <w:rPr>
          <w:color w:val="auto"/>
          <w:highlight w:val="none"/>
        </w:rPr>
      </w:pPr>
    </w:p>
    <w:p w14:paraId="7166ED3B">
      <w:pPr>
        <w:adjustRightInd w:val="0"/>
        <w:snapToGrid w:val="0"/>
        <w:rPr>
          <w:color w:val="auto"/>
          <w:highlight w:val="none"/>
        </w:rPr>
      </w:pPr>
    </w:p>
    <w:p w14:paraId="42EE4406">
      <w:pPr>
        <w:adjustRightInd w:val="0"/>
        <w:snapToGrid w:val="0"/>
        <w:rPr>
          <w:color w:val="auto"/>
          <w:highlight w:val="none"/>
        </w:rPr>
      </w:pPr>
    </w:p>
    <w:p w14:paraId="657CC30B">
      <w:pPr>
        <w:adjustRightInd w:val="0"/>
        <w:snapToGrid w:val="0"/>
        <w:rPr>
          <w:color w:val="auto"/>
          <w:highlight w:val="none"/>
        </w:rPr>
      </w:pPr>
    </w:p>
    <w:p w14:paraId="0D8682E6">
      <w:pPr>
        <w:adjustRightInd w:val="0"/>
        <w:snapToGrid w:val="0"/>
        <w:rPr>
          <w:color w:val="auto"/>
          <w:highlight w:val="none"/>
        </w:rPr>
      </w:pPr>
    </w:p>
    <w:p w14:paraId="0A2657DF">
      <w:pPr>
        <w:adjustRightInd w:val="0"/>
        <w:snapToGrid w:val="0"/>
        <w:rPr>
          <w:color w:val="auto"/>
          <w:highlight w:val="none"/>
        </w:rPr>
      </w:pPr>
    </w:p>
    <w:p w14:paraId="371C25B3">
      <w:pPr>
        <w:adjustRightInd w:val="0"/>
        <w:snapToGrid w:val="0"/>
        <w:rPr>
          <w:color w:val="auto"/>
          <w:highlight w:val="none"/>
        </w:rPr>
      </w:pPr>
    </w:p>
    <w:p w14:paraId="15931470">
      <w:pPr>
        <w:adjustRightInd w:val="0"/>
        <w:snapToGrid w:val="0"/>
        <w:rPr>
          <w:color w:val="auto"/>
          <w:highlight w:val="none"/>
        </w:rPr>
      </w:pPr>
    </w:p>
    <w:p w14:paraId="17F45DC9">
      <w:pPr>
        <w:adjustRightInd w:val="0"/>
        <w:snapToGrid w:val="0"/>
        <w:rPr>
          <w:color w:val="auto"/>
          <w:highlight w:val="none"/>
        </w:rPr>
      </w:pPr>
    </w:p>
    <w:p w14:paraId="17EB45E6">
      <w:pPr>
        <w:adjustRightInd w:val="0"/>
        <w:snapToGrid w:val="0"/>
        <w:rPr>
          <w:color w:val="auto"/>
          <w:highlight w:val="none"/>
        </w:rPr>
      </w:pPr>
    </w:p>
    <w:p w14:paraId="255E0A27">
      <w:pPr>
        <w:adjustRightInd w:val="0"/>
        <w:snapToGrid w:val="0"/>
        <w:rPr>
          <w:color w:val="auto"/>
          <w:highlight w:val="none"/>
        </w:rPr>
      </w:pPr>
    </w:p>
    <w:p w14:paraId="670FE9EF">
      <w:pPr>
        <w:adjustRightInd w:val="0"/>
        <w:snapToGrid w:val="0"/>
        <w:rPr>
          <w:color w:val="auto"/>
          <w:highlight w:val="none"/>
        </w:rPr>
      </w:pPr>
    </w:p>
    <w:p w14:paraId="15B7EA46">
      <w:pPr>
        <w:adjustRightInd w:val="0"/>
        <w:snapToGrid w:val="0"/>
        <w:rPr>
          <w:color w:val="auto"/>
          <w:highlight w:val="none"/>
        </w:rPr>
      </w:pPr>
    </w:p>
    <w:p w14:paraId="1504B526">
      <w:pPr>
        <w:adjustRightInd w:val="0"/>
        <w:snapToGrid w:val="0"/>
        <w:rPr>
          <w:color w:val="auto"/>
          <w:highlight w:val="none"/>
        </w:rPr>
      </w:pPr>
    </w:p>
    <w:p w14:paraId="3E5BA934">
      <w:pPr>
        <w:adjustRightInd w:val="0"/>
        <w:snapToGrid w:val="0"/>
        <w:rPr>
          <w:color w:val="auto"/>
          <w:highlight w:val="none"/>
        </w:rPr>
      </w:pPr>
    </w:p>
    <w:p w14:paraId="47442237">
      <w:pPr>
        <w:adjustRightInd w:val="0"/>
        <w:snapToGrid w:val="0"/>
        <w:rPr>
          <w:color w:val="auto"/>
          <w:highlight w:val="none"/>
        </w:rPr>
      </w:pPr>
    </w:p>
    <w:p w14:paraId="5F705D1E">
      <w:pPr>
        <w:adjustRightInd w:val="0"/>
        <w:snapToGrid w:val="0"/>
        <w:rPr>
          <w:color w:val="auto"/>
          <w:highlight w:val="none"/>
        </w:rPr>
      </w:pPr>
    </w:p>
    <w:p w14:paraId="5FE73EA4">
      <w:pPr>
        <w:adjustRightInd w:val="0"/>
        <w:snapToGrid w:val="0"/>
        <w:rPr>
          <w:color w:val="auto"/>
          <w:highlight w:val="none"/>
        </w:rPr>
      </w:pPr>
    </w:p>
    <w:p w14:paraId="7C43386E">
      <w:pPr>
        <w:adjustRightInd w:val="0"/>
        <w:snapToGrid w:val="0"/>
        <w:rPr>
          <w:color w:val="auto"/>
          <w:highlight w:val="none"/>
        </w:rPr>
      </w:pPr>
    </w:p>
    <w:p w14:paraId="2BCFE801">
      <w:pPr>
        <w:adjustRightInd w:val="0"/>
        <w:snapToGrid w:val="0"/>
        <w:rPr>
          <w:color w:val="auto"/>
          <w:highlight w:val="none"/>
        </w:rPr>
      </w:pPr>
    </w:p>
    <w:p w14:paraId="442AEB0F">
      <w:pPr>
        <w:pStyle w:val="83"/>
        <w:adjustRightInd w:val="0"/>
        <w:snapToGrid w:val="0"/>
        <w:spacing w:line="480" w:lineRule="auto"/>
        <w:jc w:val="both"/>
        <w:rPr>
          <w:rFonts w:hint="eastAsia" w:ascii="Times New Roman"/>
          <w:color w:val="auto"/>
          <w:sz w:val="28"/>
          <w:highlight w:val="none"/>
        </w:rPr>
        <w:sectPr>
          <w:headerReference r:id="rId3" w:type="default"/>
          <w:pgSz w:w="11906" w:h="16838"/>
          <w:pgMar w:top="1418" w:right="1134" w:bottom="1134" w:left="1588" w:header="851" w:footer="992" w:gutter="0"/>
          <w:pgBorders>
            <w:top w:val="none" w:sz="0" w:space="0"/>
            <w:left w:val="none" w:sz="0" w:space="0"/>
            <w:bottom w:val="none" w:sz="0" w:space="0"/>
            <w:right w:val="none" w:sz="0" w:space="0"/>
          </w:pgBorders>
          <w:cols w:space="425" w:num="1"/>
          <w:docGrid w:type="lines" w:linePitch="312" w:charSpace="0"/>
        </w:sectPr>
      </w:pPr>
    </w:p>
    <w:p w14:paraId="65865877">
      <w:pPr>
        <w:pStyle w:val="83"/>
        <w:adjustRightInd w:val="0"/>
        <w:snapToGrid w:val="0"/>
        <w:spacing w:line="480" w:lineRule="auto"/>
        <w:jc w:val="both"/>
        <w:rPr>
          <w:rFonts w:ascii="Times New Roman"/>
          <w:color w:val="auto"/>
          <w:sz w:val="28"/>
          <w:highlight w:val="none"/>
        </w:rPr>
      </w:pPr>
      <w:r>
        <w:rPr>
          <w:rFonts w:hint="eastAsia" w:ascii="Times New Roman"/>
          <w:color w:val="auto"/>
          <w:sz w:val="28"/>
          <w:highlight w:val="none"/>
        </w:rPr>
        <w:t>编号：SHNB-2023-WH-XZPJ-1102</w:t>
      </w:r>
    </w:p>
    <w:p w14:paraId="10CBA7E1">
      <w:pPr>
        <w:adjustRightInd w:val="0"/>
        <w:snapToGrid w:val="0"/>
        <w:jc w:val="center"/>
        <w:rPr>
          <w:rFonts w:ascii="Times New Roman" w:hAnsi="Times New Roman" w:cs="Times New Roman"/>
          <w:color w:val="auto"/>
          <w:highlight w:val="none"/>
        </w:rPr>
      </w:pPr>
    </w:p>
    <w:p w14:paraId="796B6662">
      <w:pPr>
        <w:adjustRightInd w:val="0"/>
        <w:snapToGrid w:val="0"/>
        <w:jc w:val="center"/>
        <w:rPr>
          <w:rFonts w:ascii="Times New Roman" w:hAnsi="Times New Roman" w:cs="Times New Roman"/>
          <w:color w:val="auto"/>
          <w:highlight w:val="none"/>
        </w:rPr>
      </w:pPr>
    </w:p>
    <w:p w14:paraId="6FD38E75">
      <w:pPr>
        <w:adjustRightInd w:val="0"/>
        <w:snapToGrid w:val="0"/>
        <w:jc w:val="center"/>
        <w:rPr>
          <w:rFonts w:ascii="Times New Roman" w:hAnsi="Times New Roman" w:cs="Times New Roman"/>
          <w:color w:val="auto"/>
          <w:highlight w:val="none"/>
        </w:rPr>
      </w:pPr>
    </w:p>
    <w:p w14:paraId="68B0732F">
      <w:pPr>
        <w:adjustRightInd w:val="0"/>
        <w:snapToGrid w:val="0"/>
        <w:jc w:val="center"/>
        <w:rPr>
          <w:rFonts w:ascii="Times New Roman" w:hAnsi="Times New Roman" w:cs="Times New Roman"/>
          <w:b/>
          <w:color w:val="auto"/>
          <w:sz w:val="32"/>
          <w:szCs w:val="32"/>
          <w:highlight w:val="none"/>
        </w:rPr>
      </w:pPr>
      <w:r>
        <w:rPr>
          <w:rFonts w:hint="eastAsia" w:ascii="Times New Roman" w:hAnsi="Times New Roman" w:cs="Times New Roman"/>
          <w:b/>
          <w:color w:val="auto"/>
          <w:sz w:val="32"/>
          <w:szCs w:val="32"/>
          <w:highlight w:val="none"/>
        </w:rPr>
        <w:t>浙江伟星实业发展股份有限公司</w:t>
      </w:r>
    </w:p>
    <w:p w14:paraId="4BD3009D">
      <w:pPr>
        <w:adjustRightInd w:val="0"/>
        <w:snapToGrid w:val="0"/>
        <w:jc w:val="center"/>
        <w:rPr>
          <w:rFonts w:ascii="Times New Roman" w:hAnsi="Times New Roman" w:cs="Times New Roman"/>
          <w:b/>
          <w:color w:val="auto"/>
          <w:sz w:val="32"/>
          <w:szCs w:val="32"/>
          <w:highlight w:val="none"/>
        </w:rPr>
      </w:pPr>
      <w:r>
        <w:rPr>
          <w:rFonts w:hint="eastAsia" w:ascii="Times New Roman" w:hAnsi="Times New Roman" w:cs="Times New Roman"/>
          <w:b/>
          <w:color w:val="auto"/>
          <w:sz w:val="32"/>
          <w:szCs w:val="32"/>
          <w:highlight w:val="none"/>
        </w:rPr>
        <w:t>临海钮扣分公司</w:t>
      </w:r>
    </w:p>
    <w:p w14:paraId="5538B3F0">
      <w:pPr>
        <w:adjustRightInd w:val="0"/>
        <w:snapToGrid w:val="0"/>
        <w:jc w:val="center"/>
        <w:rPr>
          <w:rFonts w:ascii="Times New Roman" w:hAnsi="Times New Roman" w:cs="Times New Roman"/>
          <w:b/>
          <w:color w:val="auto"/>
          <w:sz w:val="32"/>
          <w:szCs w:val="32"/>
          <w:highlight w:val="none"/>
        </w:rPr>
      </w:pPr>
      <w:r>
        <w:rPr>
          <w:rFonts w:hint="eastAsia" w:ascii="Times New Roman" w:hAnsi="Times New Roman" w:cs="Times New Roman"/>
          <w:b/>
          <w:color w:val="auto"/>
          <w:sz w:val="32"/>
          <w:szCs w:val="32"/>
          <w:highlight w:val="none"/>
        </w:rPr>
        <w:t>危化品仓库</w:t>
      </w:r>
    </w:p>
    <w:p w14:paraId="7076DA54">
      <w:pPr>
        <w:adjustRightInd w:val="0"/>
        <w:snapToGrid w:val="0"/>
        <w:jc w:val="center"/>
        <w:rPr>
          <w:rFonts w:ascii="Times New Roman" w:hAnsi="Times New Roman" w:cs="Times New Roman"/>
          <w:b/>
          <w:color w:val="auto"/>
          <w:sz w:val="36"/>
          <w:szCs w:val="36"/>
          <w:highlight w:val="none"/>
        </w:rPr>
      </w:pPr>
    </w:p>
    <w:p w14:paraId="5B7231C6">
      <w:pPr>
        <w:adjustRightInd w:val="0"/>
        <w:snapToGrid w:val="0"/>
        <w:spacing w:beforeLines="50" w:line="480" w:lineRule="auto"/>
        <w:jc w:val="center"/>
        <w:rPr>
          <w:rFonts w:ascii="Times New Roman" w:hAnsi="Times New Roman" w:cs="Times New Roman"/>
          <w:b/>
          <w:color w:val="auto"/>
          <w:sz w:val="44"/>
          <w:highlight w:val="none"/>
        </w:rPr>
      </w:pPr>
      <w:r>
        <w:rPr>
          <w:rFonts w:hint="eastAsia" w:ascii="Times New Roman" w:hAnsi="Times New Roman" w:cs="Times New Roman"/>
          <w:b/>
          <w:color w:val="auto"/>
          <w:sz w:val="44"/>
          <w:highlight w:val="none"/>
        </w:rPr>
        <w:t>专项安全现状评价报告</w:t>
      </w:r>
    </w:p>
    <w:p w14:paraId="7D81BDF6">
      <w:pPr>
        <w:adjustRightInd w:val="0"/>
        <w:snapToGrid w:val="0"/>
        <w:spacing w:line="720" w:lineRule="auto"/>
        <w:jc w:val="center"/>
        <w:rPr>
          <w:rFonts w:ascii="Times New Roman" w:hAnsi="Times New Roman" w:cs="Times New Roman"/>
          <w:b/>
          <w:color w:val="auto"/>
          <w:sz w:val="32"/>
          <w:highlight w:val="none"/>
        </w:rPr>
      </w:pPr>
    </w:p>
    <w:p w14:paraId="03D83D06">
      <w:pPr>
        <w:adjustRightInd w:val="0"/>
        <w:snapToGrid w:val="0"/>
        <w:spacing w:line="720" w:lineRule="auto"/>
        <w:jc w:val="center"/>
        <w:rPr>
          <w:rFonts w:ascii="Times New Roman" w:hAnsi="Times New Roman" w:cs="Times New Roman"/>
          <w:b/>
          <w:color w:val="auto"/>
          <w:sz w:val="32"/>
          <w:highlight w:val="none"/>
        </w:rPr>
      </w:pPr>
    </w:p>
    <w:p w14:paraId="633886CB">
      <w:pPr>
        <w:adjustRightInd w:val="0"/>
        <w:snapToGrid w:val="0"/>
        <w:spacing w:line="720" w:lineRule="auto"/>
        <w:jc w:val="center"/>
        <w:rPr>
          <w:rFonts w:ascii="Times New Roman" w:hAnsi="Times New Roman" w:cs="Times New Roman"/>
          <w:b/>
          <w:color w:val="auto"/>
          <w:sz w:val="32"/>
          <w:highlight w:val="none"/>
        </w:rPr>
      </w:pPr>
    </w:p>
    <w:p w14:paraId="09836F4A">
      <w:pPr>
        <w:adjustRightInd w:val="0"/>
        <w:snapToGrid w:val="0"/>
        <w:spacing w:line="360" w:lineRule="auto"/>
        <w:ind w:firstLine="3080" w:firstLineChars="110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rPr>
        <w:t>法定代表人：</w:t>
      </w:r>
      <w:r>
        <w:rPr>
          <w:rFonts w:hint="eastAsia" w:ascii="Times New Roman" w:hAnsi="Times New Roman" w:eastAsia="宋体" w:cs="Times New Roman"/>
          <w:color w:val="auto"/>
          <w:kern w:val="2"/>
          <w:sz w:val="28"/>
          <w:szCs w:val="28"/>
          <w:highlight w:val="none"/>
          <w:lang w:val="zh-CN"/>
        </w:rPr>
        <w:t>任红艳</w:t>
      </w:r>
    </w:p>
    <w:p w14:paraId="1088732F">
      <w:pPr>
        <w:adjustRightInd w:val="0"/>
        <w:snapToGrid w:val="0"/>
        <w:spacing w:line="360" w:lineRule="auto"/>
        <w:ind w:firstLine="3080" w:firstLineChars="1100"/>
        <w:rPr>
          <w:rFonts w:ascii="Times New Roman" w:hAnsi="Times New Roman" w:cs="Times New Roman"/>
          <w:color w:val="auto"/>
          <w:highlight w:val="none"/>
        </w:rPr>
      </w:pPr>
      <w:r>
        <w:rPr>
          <w:rFonts w:hint="eastAsia" w:ascii="Times New Roman" w:hAnsi="Times New Roman" w:cs="Times New Roman"/>
          <w:color w:val="auto"/>
          <w:sz w:val="28"/>
          <w:szCs w:val="28"/>
          <w:highlight w:val="none"/>
        </w:rPr>
        <w:t>技术负责人：</w:t>
      </w:r>
      <w:r>
        <w:rPr>
          <w:rFonts w:hint="eastAsia" w:ascii="Times New Roman" w:hAnsi="Times New Roman" w:eastAsia="宋体" w:cs="Times New Roman"/>
          <w:color w:val="auto"/>
          <w:kern w:val="2"/>
          <w:sz w:val="28"/>
          <w:szCs w:val="28"/>
          <w:highlight w:val="none"/>
          <w:lang w:val="zh-CN" w:eastAsia="zh-CN"/>
        </w:rPr>
        <w:t>吴佳东</w:t>
      </w:r>
    </w:p>
    <w:p w14:paraId="4C2EF19F">
      <w:pPr>
        <w:adjustRightInd w:val="0"/>
        <w:snapToGrid w:val="0"/>
        <w:spacing w:line="360" w:lineRule="auto"/>
        <w:ind w:firstLine="3080" w:firstLineChars="110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rPr>
        <w:t>项目负责人：</w:t>
      </w:r>
      <w:r>
        <w:rPr>
          <w:rFonts w:hint="eastAsia" w:ascii="Times New Roman" w:hAnsi="Times New Roman" w:cs="Times New Roman"/>
          <w:color w:val="auto"/>
          <w:sz w:val="28"/>
          <w:szCs w:val="28"/>
          <w:highlight w:val="none"/>
          <w:lang w:eastAsia="zh-CN"/>
        </w:rPr>
        <w:t>朱行郎</w:t>
      </w:r>
    </w:p>
    <w:p w14:paraId="02082172">
      <w:pPr>
        <w:adjustRightInd w:val="0"/>
        <w:snapToGrid w:val="0"/>
        <w:spacing w:line="360" w:lineRule="auto"/>
        <w:jc w:val="center"/>
        <w:rPr>
          <w:rFonts w:ascii="Times New Roman" w:hAnsi="Times New Roman" w:cs="Times New Roman"/>
          <w:color w:val="auto"/>
          <w:sz w:val="32"/>
          <w:highlight w:val="none"/>
        </w:rPr>
      </w:pPr>
    </w:p>
    <w:p w14:paraId="01196A03">
      <w:pPr>
        <w:adjustRightInd w:val="0"/>
        <w:snapToGrid w:val="0"/>
        <w:spacing w:line="360" w:lineRule="auto"/>
        <w:jc w:val="center"/>
        <w:rPr>
          <w:rFonts w:ascii="Times New Roman" w:hAnsi="Times New Roman" w:cs="Times New Roman"/>
          <w:color w:val="auto"/>
          <w:sz w:val="32"/>
          <w:highlight w:val="none"/>
        </w:rPr>
      </w:pPr>
    </w:p>
    <w:p w14:paraId="389258B7">
      <w:pPr>
        <w:adjustRightInd w:val="0"/>
        <w:snapToGrid w:val="0"/>
        <w:spacing w:line="360" w:lineRule="auto"/>
        <w:jc w:val="center"/>
        <w:rPr>
          <w:rFonts w:ascii="Times New Roman" w:hAnsi="Times New Roman" w:cs="Times New Roman"/>
          <w:color w:val="auto"/>
          <w:sz w:val="32"/>
          <w:highlight w:val="none"/>
        </w:rPr>
      </w:pPr>
    </w:p>
    <w:p w14:paraId="0B46186F">
      <w:pPr>
        <w:adjustRightInd w:val="0"/>
        <w:snapToGrid w:val="0"/>
        <w:spacing w:line="360" w:lineRule="auto"/>
        <w:jc w:val="center"/>
        <w:rPr>
          <w:rFonts w:ascii="Times New Roman" w:hAnsi="Times New Roman" w:cs="Times New Roman"/>
          <w:color w:val="auto"/>
          <w:sz w:val="32"/>
          <w:highlight w:val="none"/>
        </w:rPr>
      </w:pPr>
    </w:p>
    <w:p w14:paraId="64D3117E">
      <w:pPr>
        <w:adjustRightInd w:val="0"/>
        <w:snapToGrid w:val="0"/>
        <w:spacing w:line="360" w:lineRule="auto"/>
        <w:jc w:val="center"/>
        <w:rPr>
          <w:rFonts w:ascii="Times New Roman" w:hAnsi="Times New Roman" w:cs="Times New Roman"/>
          <w:color w:val="auto"/>
          <w:sz w:val="32"/>
          <w:highlight w:val="none"/>
        </w:rPr>
      </w:pPr>
    </w:p>
    <w:p w14:paraId="702DB050">
      <w:pPr>
        <w:adjustRightInd w:val="0"/>
        <w:snapToGrid w:val="0"/>
        <w:spacing w:line="360" w:lineRule="auto"/>
        <w:jc w:val="center"/>
        <w:rPr>
          <w:rFonts w:ascii="Times New Roman" w:hAnsi="Times New Roman" w:cs="Times New Roman"/>
          <w:color w:val="auto"/>
          <w:sz w:val="32"/>
          <w:highlight w:val="none"/>
        </w:rPr>
      </w:pPr>
    </w:p>
    <w:p w14:paraId="42993A7E">
      <w:pPr>
        <w:adjustRightInd w:val="0"/>
        <w:snapToGrid w:val="0"/>
        <w:spacing w:line="360" w:lineRule="auto"/>
        <w:jc w:val="center"/>
        <w:rPr>
          <w:rFonts w:hint="default" w:ascii="Times New Roman" w:hAnsi="Times New Roman" w:eastAsia="宋体" w:cs="Times New Roman"/>
          <w:b/>
          <w:color w:val="auto"/>
          <w:sz w:val="24"/>
          <w:highlight w:val="none"/>
          <w:lang w:val="en-US" w:eastAsia="zh-CN"/>
        </w:rPr>
        <w:sectPr>
          <w:pgSz w:w="11906" w:h="16838"/>
          <w:pgMar w:top="1418" w:right="1134" w:bottom="1134" w:left="1588"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b/>
          <w:color w:val="auto"/>
          <w:sz w:val="24"/>
          <w:highlight w:val="none"/>
        </w:rPr>
        <w:t>202</w:t>
      </w:r>
      <w:r>
        <w:rPr>
          <w:rFonts w:hint="eastAsia" w:ascii="Times New Roman" w:hAnsi="Times New Roman" w:cs="Times New Roman"/>
          <w:b/>
          <w:color w:val="auto"/>
          <w:sz w:val="24"/>
          <w:highlight w:val="none"/>
          <w:lang w:val="en-US" w:eastAsia="zh-CN"/>
        </w:rPr>
        <w:t>4</w:t>
      </w:r>
      <w:r>
        <w:rPr>
          <w:rFonts w:hint="eastAsia" w:ascii="Times New Roman" w:hAnsi="Times New Roman" w:cs="Times New Roman"/>
          <w:b/>
          <w:color w:val="auto"/>
          <w:sz w:val="24"/>
          <w:highlight w:val="none"/>
        </w:rPr>
        <w:t>年</w:t>
      </w:r>
      <w:r>
        <w:rPr>
          <w:rFonts w:hint="eastAsia" w:ascii="Times New Roman" w:hAnsi="Times New Roman" w:cs="Times New Roman"/>
          <w:b/>
          <w:color w:val="auto"/>
          <w:sz w:val="24"/>
          <w:highlight w:val="none"/>
          <w:lang w:val="en-US" w:eastAsia="zh-CN"/>
        </w:rPr>
        <w:t>06</w:t>
      </w:r>
      <w:r>
        <w:rPr>
          <w:rFonts w:hint="eastAsia" w:ascii="Times New Roman" w:hAnsi="Times New Roman" w:cs="Times New Roman"/>
          <w:b/>
          <w:color w:val="auto"/>
          <w:sz w:val="24"/>
          <w:highlight w:val="none"/>
        </w:rPr>
        <w:t>月</w:t>
      </w:r>
      <w:r>
        <w:rPr>
          <w:rFonts w:hint="eastAsia" w:ascii="Times New Roman" w:hAnsi="Times New Roman" w:cs="Times New Roman"/>
          <w:b/>
          <w:color w:val="auto"/>
          <w:sz w:val="24"/>
          <w:highlight w:val="none"/>
          <w:lang w:val="en-US" w:eastAsia="zh-CN"/>
        </w:rPr>
        <w:t>11日</w:t>
      </w:r>
    </w:p>
    <w:p w14:paraId="58B01920">
      <w:pPr>
        <w:adjustRightInd w:val="0"/>
        <w:snapToGrid w:val="0"/>
        <w:rPr>
          <w:color w:val="auto"/>
          <w:highlight w:val="none"/>
        </w:rPr>
      </w:pPr>
    </w:p>
    <w:p w14:paraId="7FF276BF">
      <w:pPr>
        <w:adjustRightInd w:val="0"/>
        <w:snapToGrid w:val="0"/>
        <w:rPr>
          <w:color w:val="auto"/>
          <w:highlight w:val="none"/>
        </w:rPr>
      </w:pPr>
    </w:p>
    <w:p w14:paraId="172B523E">
      <w:pPr>
        <w:adjustRightInd w:val="0"/>
        <w:snapToGrid w:val="0"/>
        <w:rPr>
          <w:color w:val="auto"/>
          <w:highlight w:val="none"/>
        </w:rPr>
      </w:pPr>
    </w:p>
    <w:p w14:paraId="7D71C505">
      <w:pPr>
        <w:adjustRightInd w:val="0"/>
        <w:snapToGrid w:val="0"/>
        <w:rPr>
          <w:color w:val="auto"/>
          <w:highlight w:val="none"/>
        </w:rPr>
      </w:pPr>
    </w:p>
    <w:p w14:paraId="3BD9BA4F">
      <w:pPr>
        <w:adjustRightInd w:val="0"/>
        <w:snapToGrid w:val="0"/>
        <w:rPr>
          <w:color w:val="auto"/>
          <w:highlight w:val="none"/>
        </w:rPr>
      </w:pPr>
    </w:p>
    <w:p w14:paraId="0B4335E9">
      <w:pPr>
        <w:adjustRightInd w:val="0"/>
        <w:snapToGrid w:val="0"/>
        <w:rPr>
          <w:color w:val="auto"/>
          <w:highlight w:val="none"/>
        </w:rPr>
      </w:pPr>
    </w:p>
    <w:p w14:paraId="00CAC869">
      <w:pPr>
        <w:adjustRightInd w:val="0"/>
        <w:snapToGrid w:val="0"/>
        <w:rPr>
          <w:color w:val="auto"/>
          <w:highlight w:val="none"/>
        </w:rPr>
      </w:pPr>
    </w:p>
    <w:p w14:paraId="7BBA374F">
      <w:pPr>
        <w:adjustRightInd w:val="0"/>
        <w:snapToGrid w:val="0"/>
        <w:rPr>
          <w:color w:val="auto"/>
          <w:highlight w:val="none"/>
        </w:rPr>
      </w:pPr>
    </w:p>
    <w:p w14:paraId="1A567615">
      <w:pPr>
        <w:adjustRightInd w:val="0"/>
        <w:snapToGrid w:val="0"/>
        <w:rPr>
          <w:color w:val="auto"/>
          <w:highlight w:val="none"/>
        </w:rPr>
      </w:pPr>
    </w:p>
    <w:p w14:paraId="36FE18B0">
      <w:pPr>
        <w:adjustRightInd w:val="0"/>
        <w:snapToGrid w:val="0"/>
        <w:rPr>
          <w:color w:val="auto"/>
          <w:highlight w:val="none"/>
        </w:rPr>
      </w:pPr>
    </w:p>
    <w:p w14:paraId="5CBA5CC0">
      <w:pPr>
        <w:adjustRightInd w:val="0"/>
        <w:snapToGrid w:val="0"/>
        <w:rPr>
          <w:color w:val="auto"/>
          <w:highlight w:val="none"/>
        </w:rPr>
      </w:pPr>
    </w:p>
    <w:p w14:paraId="6C1A7A5D">
      <w:pPr>
        <w:adjustRightInd w:val="0"/>
        <w:snapToGrid w:val="0"/>
        <w:rPr>
          <w:color w:val="auto"/>
          <w:highlight w:val="none"/>
        </w:rPr>
      </w:pPr>
    </w:p>
    <w:p w14:paraId="15BFC6C2">
      <w:pPr>
        <w:adjustRightInd w:val="0"/>
        <w:snapToGrid w:val="0"/>
        <w:rPr>
          <w:color w:val="auto"/>
          <w:highlight w:val="none"/>
        </w:rPr>
      </w:pPr>
    </w:p>
    <w:p w14:paraId="11E8CE5F">
      <w:pPr>
        <w:adjustRightInd w:val="0"/>
        <w:snapToGrid w:val="0"/>
        <w:rPr>
          <w:color w:val="auto"/>
          <w:highlight w:val="none"/>
        </w:rPr>
      </w:pPr>
    </w:p>
    <w:p w14:paraId="6506A941">
      <w:pPr>
        <w:adjustRightInd w:val="0"/>
        <w:snapToGrid w:val="0"/>
        <w:rPr>
          <w:color w:val="auto"/>
          <w:highlight w:val="none"/>
        </w:rPr>
      </w:pPr>
    </w:p>
    <w:p w14:paraId="0D48650C">
      <w:pPr>
        <w:adjustRightInd w:val="0"/>
        <w:snapToGrid w:val="0"/>
        <w:rPr>
          <w:color w:val="auto"/>
          <w:highlight w:val="none"/>
        </w:rPr>
      </w:pPr>
    </w:p>
    <w:p w14:paraId="3D21CFCA">
      <w:pPr>
        <w:adjustRightInd w:val="0"/>
        <w:snapToGrid w:val="0"/>
        <w:rPr>
          <w:color w:val="auto"/>
          <w:highlight w:val="none"/>
        </w:rPr>
      </w:pPr>
    </w:p>
    <w:p w14:paraId="4C1EC575">
      <w:pPr>
        <w:adjustRightInd w:val="0"/>
        <w:snapToGrid w:val="0"/>
        <w:rPr>
          <w:color w:val="auto"/>
          <w:highlight w:val="none"/>
        </w:rPr>
      </w:pPr>
    </w:p>
    <w:p w14:paraId="60BF9A92">
      <w:pPr>
        <w:adjustRightInd w:val="0"/>
        <w:snapToGrid w:val="0"/>
        <w:rPr>
          <w:color w:val="auto"/>
          <w:highlight w:val="none"/>
        </w:rPr>
      </w:pPr>
    </w:p>
    <w:p w14:paraId="1EC94437">
      <w:pPr>
        <w:adjustRightInd w:val="0"/>
        <w:snapToGrid w:val="0"/>
        <w:rPr>
          <w:color w:val="auto"/>
          <w:highlight w:val="none"/>
        </w:rPr>
      </w:pPr>
    </w:p>
    <w:p w14:paraId="58747A7A">
      <w:pPr>
        <w:adjustRightInd w:val="0"/>
        <w:snapToGrid w:val="0"/>
        <w:rPr>
          <w:color w:val="auto"/>
          <w:highlight w:val="none"/>
        </w:rPr>
      </w:pPr>
    </w:p>
    <w:p w14:paraId="44AE5158">
      <w:pPr>
        <w:adjustRightInd w:val="0"/>
        <w:snapToGrid w:val="0"/>
        <w:rPr>
          <w:color w:val="auto"/>
          <w:highlight w:val="none"/>
        </w:rPr>
      </w:pPr>
    </w:p>
    <w:p w14:paraId="5F9FC804">
      <w:pPr>
        <w:adjustRightInd w:val="0"/>
        <w:snapToGrid w:val="0"/>
        <w:rPr>
          <w:color w:val="auto"/>
          <w:highlight w:val="none"/>
        </w:rPr>
      </w:pPr>
    </w:p>
    <w:p w14:paraId="00D252F8">
      <w:pPr>
        <w:adjustRightInd w:val="0"/>
        <w:snapToGrid w:val="0"/>
        <w:rPr>
          <w:color w:val="auto"/>
          <w:highlight w:val="none"/>
        </w:rPr>
      </w:pPr>
    </w:p>
    <w:p w14:paraId="406D3E8F">
      <w:pPr>
        <w:adjustRightInd w:val="0"/>
        <w:snapToGrid w:val="0"/>
        <w:rPr>
          <w:color w:val="auto"/>
          <w:highlight w:val="none"/>
        </w:rPr>
      </w:pPr>
    </w:p>
    <w:p w14:paraId="72180EBE">
      <w:pPr>
        <w:adjustRightInd w:val="0"/>
        <w:snapToGrid w:val="0"/>
        <w:rPr>
          <w:color w:val="auto"/>
          <w:highlight w:val="none"/>
        </w:rPr>
      </w:pPr>
    </w:p>
    <w:p w14:paraId="65CACA81">
      <w:pPr>
        <w:adjustRightInd w:val="0"/>
        <w:snapToGrid w:val="0"/>
        <w:rPr>
          <w:color w:val="auto"/>
          <w:highlight w:val="none"/>
        </w:rPr>
      </w:pPr>
    </w:p>
    <w:p w14:paraId="7E0F64FB">
      <w:pPr>
        <w:adjustRightInd w:val="0"/>
        <w:snapToGrid w:val="0"/>
        <w:rPr>
          <w:color w:val="auto"/>
          <w:highlight w:val="none"/>
        </w:rPr>
      </w:pPr>
    </w:p>
    <w:p w14:paraId="139515C7">
      <w:pPr>
        <w:adjustRightInd w:val="0"/>
        <w:snapToGrid w:val="0"/>
        <w:rPr>
          <w:color w:val="auto"/>
          <w:highlight w:val="none"/>
        </w:rPr>
      </w:pPr>
    </w:p>
    <w:p w14:paraId="3B0F5DC1">
      <w:pPr>
        <w:adjustRightInd w:val="0"/>
        <w:snapToGrid w:val="0"/>
        <w:rPr>
          <w:color w:val="auto"/>
          <w:highlight w:val="none"/>
        </w:rPr>
      </w:pPr>
    </w:p>
    <w:p w14:paraId="6BCEFFBC">
      <w:pPr>
        <w:adjustRightInd w:val="0"/>
        <w:snapToGrid w:val="0"/>
        <w:rPr>
          <w:color w:val="auto"/>
          <w:highlight w:val="none"/>
        </w:rPr>
      </w:pPr>
    </w:p>
    <w:p w14:paraId="07307F45">
      <w:pPr>
        <w:adjustRightInd w:val="0"/>
        <w:snapToGrid w:val="0"/>
        <w:rPr>
          <w:color w:val="auto"/>
          <w:highlight w:val="none"/>
        </w:rPr>
      </w:pPr>
    </w:p>
    <w:p w14:paraId="5EAB7C45">
      <w:pPr>
        <w:adjustRightInd w:val="0"/>
        <w:snapToGrid w:val="0"/>
        <w:rPr>
          <w:color w:val="auto"/>
          <w:highlight w:val="none"/>
        </w:rPr>
      </w:pPr>
    </w:p>
    <w:p w14:paraId="767F0CC2">
      <w:pPr>
        <w:adjustRightInd w:val="0"/>
        <w:snapToGrid w:val="0"/>
        <w:rPr>
          <w:color w:val="auto"/>
          <w:highlight w:val="none"/>
        </w:rPr>
      </w:pPr>
    </w:p>
    <w:p w14:paraId="40215F9E">
      <w:pPr>
        <w:adjustRightInd w:val="0"/>
        <w:snapToGrid w:val="0"/>
        <w:rPr>
          <w:color w:val="auto"/>
          <w:highlight w:val="none"/>
        </w:rPr>
      </w:pPr>
    </w:p>
    <w:p w14:paraId="3509A65C">
      <w:pPr>
        <w:adjustRightInd w:val="0"/>
        <w:snapToGrid w:val="0"/>
        <w:rPr>
          <w:color w:val="auto"/>
          <w:highlight w:val="none"/>
        </w:rPr>
      </w:pPr>
    </w:p>
    <w:p w14:paraId="4B8EC67B">
      <w:pPr>
        <w:adjustRightInd w:val="0"/>
        <w:snapToGrid w:val="0"/>
        <w:rPr>
          <w:color w:val="auto"/>
          <w:highlight w:val="none"/>
        </w:rPr>
      </w:pPr>
    </w:p>
    <w:p w14:paraId="49B76C00">
      <w:pPr>
        <w:adjustRightInd w:val="0"/>
        <w:snapToGrid w:val="0"/>
        <w:rPr>
          <w:color w:val="auto"/>
          <w:highlight w:val="none"/>
        </w:rPr>
      </w:pPr>
    </w:p>
    <w:p w14:paraId="45E28FC8">
      <w:pPr>
        <w:adjustRightInd w:val="0"/>
        <w:snapToGrid w:val="0"/>
        <w:rPr>
          <w:color w:val="auto"/>
          <w:highlight w:val="none"/>
        </w:rPr>
      </w:pPr>
    </w:p>
    <w:p w14:paraId="70FEA60B">
      <w:pPr>
        <w:adjustRightInd w:val="0"/>
        <w:snapToGrid w:val="0"/>
        <w:rPr>
          <w:color w:val="auto"/>
          <w:highlight w:val="none"/>
        </w:rPr>
      </w:pPr>
    </w:p>
    <w:p w14:paraId="09FAE982">
      <w:pPr>
        <w:adjustRightInd w:val="0"/>
        <w:snapToGrid w:val="0"/>
        <w:rPr>
          <w:color w:val="auto"/>
          <w:highlight w:val="none"/>
        </w:rPr>
      </w:pPr>
    </w:p>
    <w:p w14:paraId="4B027904">
      <w:pPr>
        <w:adjustRightInd w:val="0"/>
        <w:snapToGrid w:val="0"/>
        <w:rPr>
          <w:color w:val="auto"/>
          <w:highlight w:val="none"/>
        </w:rPr>
      </w:pPr>
    </w:p>
    <w:p w14:paraId="2D1DE9F2">
      <w:pPr>
        <w:adjustRightInd w:val="0"/>
        <w:snapToGrid w:val="0"/>
        <w:rPr>
          <w:color w:val="auto"/>
          <w:highlight w:val="none"/>
        </w:rPr>
      </w:pPr>
    </w:p>
    <w:p w14:paraId="5AE4F892">
      <w:pPr>
        <w:adjustRightInd w:val="0"/>
        <w:snapToGrid w:val="0"/>
        <w:rPr>
          <w:color w:val="auto"/>
          <w:highlight w:val="none"/>
        </w:rPr>
      </w:pPr>
    </w:p>
    <w:p w14:paraId="642B0C66">
      <w:pPr>
        <w:adjustRightInd w:val="0"/>
        <w:snapToGrid w:val="0"/>
        <w:rPr>
          <w:color w:val="auto"/>
          <w:highlight w:val="none"/>
        </w:rPr>
      </w:pPr>
    </w:p>
    <w:p w14:paraId="1B1D0262">
      <w:pPr>
        <w:adjustRightInd w:val="0"/>
        <w:snapToGrid w:val="0"/>
        <w:spacing w:line="360" w:lineRule="auto"/>
        <w:jc w:val="center"/>
        <w:rPr>
          <w:rFonts w:hint="eastAsia" w:ascii="宋体" w:hAnsi="宋体"/>
          <w:b/>
          <w:color w:val="auto"/>
          <w:sz w:val="32"/>
          <w:highlight w:val="none"/>
        </w:rPr>
        <w:sectPr>
          <w:footerReference r:id="rId4" w:type="even"/>
          <w:pgSz w:w="11906" w:h="16838"/>
          <w:pgMar w:top="1418" w:right="1134" w:bottom="1134" w:left="1588" w:header="851" w:footer="992" w:gutter="0"/>
          <w:pgBorders>
            <w:top w:val="none" w:sz="0" w:space="0"/>
            <w:left w:val="none" w:sz="0" w:space="0"/>
            <w:bottom w:val="none" w:sz="0" w:space="0"/>
            <w:right w:val="none" w:sz="0" w:space="0"/>
          </w:pgBorders>
          <w:cols w:space="425" w:num="1"/>
          <w:docGrid w:type="lines" w:linePitch="312" w:charSpace="0"/>
        </w:sectPr>
      </w:pPr>
    </w:p>
    <w:p w14:paraId="13C08A41">
      <w:pPr>
        <w:adjustRightInd w:val="0"/>
        <w:snapToGrid w:val="0"/>
        <w:spacing w:line="360" w:lineRule="auto"/>
        <w:jc w:val="center"/>
        <w:rPr>
          <w:rFonts w:ascii="宋体" w:hAnsi="宋体"/>
          <w:b/>
          <w:color w:val="auto"/>
          <w:sz w:val="32"/>
          <w:highlight w:val="none"/>
        </w:rPr>
      </w:pPr>
      <w:r>
        <w:rPr>
          <w:rFonts w:hint="eastAsia" w:ascii="宋体" w:hAnsi="宋体"/>
          <w:b/>
          <w:color w:val="auto"/>
          <w:sz w:val="32"/>
          <w:highlight w:val="none"/>
        </w:rPr>
        <w:t>评价人员</w:t>
      </w:r>
    </w:p>
    <w:tbl>
      <w:tblPr>
        <w:tblStyle w:val="61"/>
        <w:tblW w:w="9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213"/>
        <w:gridCol w:w="1768"/>
        <w:gridCol w:w="2932"/>
        <w:gridCol w:w="1112"/>
        <w:gridCol w:w="1214"/>
      </w:tblGrid>
      <w:tr w14:paraId="13CCD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154B9CC7">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项目组</w:t>
            </w:r>
          </w:p>
        </w:tc>
        <w:tc>
          <w:tcPr>
            <w:tcW w:w="1213" w:type="dxa"/>
            <w:vAlign w:val="center"/>
          </w:tcPr>
          <w:p w14:paraId="1522EA6D">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姓  名</w:t>
            </w:r>
          </w:p>
        </w:tc>
        <w:tc>
          <w:tcPr>
            <w:tcW w:w="1768" w:type="dxa"/>
            <w:vAlign w:val="center"/>
          </w:tcPr>
          <w:p w14:paraId="236B5EF9">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专业</w:t>
            </w:r>
          </w:p>
        </w:tc>
        <w:tc>
          <w:tcPr>
            <w:tcW w:w="2932" w:type="dxa"/>
            <w:vAlign w:val="center"/>
          </w:tcPr>
          <w:p w14:paraId="161B70A8">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资格证书号</w:t>
            </w:r>
          </w:p>
        </w:tc>
        <w:tc>
          <w:tcPr>
            <w:tcW w:w="1112" w:type="dxa"/>
            <w:vAlign w:val="center"/>
          </w:tcPr>
          <w:p w14:paraId="2030D789">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从业证书编号</w:t>
            </w:r>
          </w:p>
        </w:tc>
        <w:tc>
          <w:tcPr>
            <w:tcW w:w="1214" w:type="dxa"/>
            <w:vAlign w:val="center"/>
          </w:tcPr>
          <w:p w14:paraId="605207F0">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签字</w:t>
            </w:r>
          </w:p>
        </w:tc>
      </w:tr>
      <w:tr w14:paraId="35126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68F8EB5D">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项目负责人</w:t>
            </w:r>
          </w:p>
        </w:tc>
        <w:tc>
          <w:tcPr>
            <w:tcW w:w="1213" w:type="dxa"/>
            <w:vAlign w:val="center"/>
          </w:tcPr>
          <w:p w14:paraId="1B4B80CC">
            <w:pPr>
              <w:overflowPunct w:val="0"/>
              <w:adjustRightInd w:val="0"/>
              <w:snapToGrid w:val="0"/>
              <w:spacing w:line="240" w:lineRule="auto"/>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sz w:val="24"/>
                <w:highlight w:val="none"/>
              </w:rPr>
              <w:t>朱行郎</w:t>
            </w:r>
          </w:p>
        </w:tc>
        <w:tc>
          <w:tcPr>
            <w:tcW w:w="1768" w:type="dxa"/>
            <w:vAlign w:val="center"/>
          </w:tcPr>
          <w:p w14:paraId="75F62C4C">
            <w:pPr>
              <w:overflowPunct w:val="0"/>
              <w:adjustRightInd w:val="0"/>
              <w:snapToGrid w:val="0"/>
              <w:spacing w:line="240" w:lineRule="auto"/>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sz w:val="24"/>
                <w:highlight w:val="none"/>
                <w:lang w:eastAsia="zh-CN"/>
              </w:rPr>
              <w:t>化工机械</w:t>
            </w:r>
          </w:p>
        </w:tc>
        <w:tc>
          <w:tcPr>
            <w:tcW w:w="2932" w:type="dxa"/>
            <w:vAlign w:val="center"/>
          </w:tcPr>
          <w:p w14:paraId="647989EE">
            <w:pPr>
              <w:overflowPunct w:val="0"/>
              <w:adjustRightInd w:val="0"/>
              <w:snapToGrid w:val="0"/>
              <w:spacing w:line="240" w:lineRule="auto"/>
              <w:jc w:val="center"/>
              <w:rPr>
                <w:rFonts w:hint="eastAsia" w:ascii="宋体" w:hAnsi="宋体" w:eastAsia="宋体" w:cs="宋体"/>
                <w:color w:val="auto"/>
                <w:kern w:val="0"/>
                <w:sz w:val="24"/>
                <w:szCs w:val="24"/>
                <w:highlight w:val="none"/>
              </w:rPr>
            </w:pPr>
            <w:r>
              <w:rPr>
                <w:rFonts w:hint="eastAsia" w:ascii="宋体" w:hAnsi="宋体" w:cs="宋体"/>
                <w:color w:val="auto"/>
                <w:sz w:val="24"/>
                <w:highlight w:val="none"/>
              </w:rPr>
              <w:t>0800000000101508</w:t>
            </w:r>
          </w:p>
        </w:tc>
        <w:tc>
          <w:tcPr>
            <w:tcW w:w="1112" w:type="dxa"/>
            <w:vAlign w:val="center"/>
          </w:tcPr>
          <w:p w14:paraId="1E421BA9">
            <w:pPr>
              <w:overflowPunct w:val="0"/>
              <w:adjustRightInd w:val="0"/>
              <w:snapToGrid w:val="0"/>
              <w:spacing w:line="240" w:lineRule="auto"/>
              <w:jc w:val="center"/>
              <w:rPr>
                <w:rFonts w:hint="eastAsia" w:ascii="宋体" w:hAnsi="宋体" w:eastAsia="宋体" w:cs="宋体"/>
                <w:color w:val="auto"/>
                <w:kern w:val="0"/>
                <w:sz w:val="24"/>
                <w:szCs w:val="24"/>
                <w:highlight w:val="none"/>
              </w:rPr>
            </w:pPr>
            <w:r>
              <w:rPr>
                <w:rFonts w:hint="eastAsia" w:ascii="宋体" w:hAnsi="宋体" w:cs="宋体"/>
                <w:color w:val="auto"/>
                <w:sz w:val="24"/>
                <w:highlight w:val="none"/>
              </w:rPr>
              <w:t>002206</w:t>
            </w:r>
          </w:p>
        </w:tc>
        <w:tc>
          <w:tcPr>
            <w:tcW w:w="1214" w:type="dxa"/>
            <w:vAlign w:val="center"/>
          </w:tcPr>
          <w:p w14:paraId="43808C9F">
            <w:pPr>
              <w:overflowPunct w:val="0"/>
              <w:adjustRightInd w:val="0"/>
              <w:snapToGrid w:val="0"/>
              <w:jc w:val="center"/>
              <w:rPr>
                <w:rFonts w:hint="eastAsia" w:ascii="宋体" w:hAnsi="宋体" w:eastAsia="宋体" w:cs="宋体"/>
                <w:color w:val="auto"/>
                <w:kern w:val="0"/>
                <w:sz w:val="24"/>
                <w:szCs w:val="24"/>
                <w:highlight w:val="none"/>
              </w:rPr>
            </w:pPr>
          </w:p>
        </w:tc>
      </w:tr>
      <w:tr w14:paraId="1E963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Merge w:val="restart"/>
            <w:vAlign w:val="center"/>
          </w:tcPr>
          <w:p w14:paraId="5B2BA35B">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项目组成员</w:t>
            </w:r>
          </w:p>
        </w:tc>
        <w:tc>
          <w:tcPr>
            <w:tcW w:w="1213" w:type="dxa"/>
            <w:vAlign w:val="center"/>
          </w:tcPr>
          <w:p w14:paraId="05C00FC2">
            <w:pPr>
              <w:adjustRightInd w:val="0"/>
              <w:snapToGrid w:val="0"/>
              <w:spacing w:line="240" w:lineRule="auto"/>
              <w:jc w:val="center"/>
              <w:textAlignment w:val="baseline"/>
              <w:rPr>
                <w:rFonts w:hint="eastAsia" w:ascii="宋体" w:hAnsi="宋体" w:eastAsia="宋体" w:cs="宋体"/>
                <w:color w:val="auto"/>
                <w:kern w:val="0"/>
                <w:sz w:val="24"/>
                <w:szCs w:val="24"/>
                <w:highlight w:val="none"/>
                <w:lang w:val="en-US" w:eastAsia="zh-CN"/>
              </w:rPr>
            </w:pPr>
            <w:r>
              <w:rPr>
                <w:rFonts w:ascii="宋体" w:hAnsi="宋体"/>
                <w:color w:val="auto"/>
                <w:sz w:val="24"/>
                <w:highlight w:val="none"/>
                <w:lang w:val="zh-CN"/>
              </w:rPr>
              <w:t>唐晗箫</w:t>
            </w:r>
          </w:p>
        </w:tc>
        <w:tc>
          <w:tcPr>
            <w:tcW w:w="1768" w:type="dxa"/>
            <w:vAlign w:val="center"/>
          </w:tcPr>
          <w:p w14:paraId="493BEB9C">
            <w:pPr>
              <w:adjustRightInd w:val="0"/>
              <w:snapToGrid w:val="0"/>
              <w:spacing w:line="240" w:lineRule="auto"/>
              <w:jc w:val="center"/>
              <w:textAlignment w:val="baseline"/>
              <w:rPr>
                <w:rFonts w:hint="eastAsia" w:ascii="宋体" w:hAnsi="宋体" w:eastAsia="宋体" w:cs="宋体"/>
                <w:color w:val="auto"/>
                <w:kern w:val="0"/>
                <w:sz w:val="24"/>
                <w:szCs w:val="24"/>
                <w:highlight w:val="none"/>
                <w:lang w:val="en-US" w:eastAsia="zh-CN"/>
              </w:rPr>
            </w:pPr>
            <w:r>
              <w:rPr>
                <w:rFonts w:hint="eastAsia" w:ascii="宋体" w:hAnsi="宋体"/>
                <w:color w:val="auto"/>
                <w:sz w:val="24"/>
                <w:highlight w:val="none"/>
                <w:lang w:val="zh-CN"/>
              </w:rPr>
              <w:t>化工工艺</w:t>
            </w:r>
          </w:p>
        </w:tc>
        <w:tc>
          <w:tcPr>
            <w:tcW w:w="2932" w:type="dxa"/>
            <w:vAlign w:val="center"/>
          </w:tcPr>
          <w:p w14:paraId="3BBF5512">
            <w:pPr>
              <w:adjustRightInd w:val="0"/>
              <w:snapToGrid w:val="0"/>
              <w:spacing w:line="240" w:lineRule="auto"/>
              <w:jc w:val="center"/>
              <w:textAlignment w:val="baseline"/>
              <w:rPr>
                <w:rFonts w:hint="eastAsia" w:ascii="宋体" w:hAnsi="宋体" w:eastAsia="宋体" w:cs="宋体"/>
                <w:color w:val="auto"/>
                <w:kern w:val="0"/>
                <w:sz w:val="24"/>
                <w:szCs w:val="24"/>
                <w:highlight w:val="none"/>
              </w:rPr>
            </w:pPr>
            <w:r>
              <w:rPr>
                <w:rFonts w:hint="eastAsia" w:ascii="宋体" w:hAnsi="宋体"/>
                <w:color w:val="auto"/>
                <w:sz w:val="24"/>
                <w:highlight w:val="none"/>
                <w:lang w:val="zh-CN"/>
              </w:rPr>
              <w:t>CAWS350000230200201</w:t>
            </w:r>
          </w:p>
        </w:tc>
        <w:tc>
          <w:tcPr>
            <w:tcW w:w="1112" w:type="dxa"/>
            <w:vAlign w:val="center"/>
          </w:tcPr>
          <w:p w14:paraId="1277BA33">
            <w:pPr>
              <w:adjustRightInd w:val="0"/>
              <w:snapToGrid w:val="0"/>
              <w:spacing w:line="240" w:lineRule="auto"/>
              <w:jc w:val="center"/>
              <w:textAlignment w:val="baseline"/>
              <w:rPr>
                <w:rFonts w:hint="eastAsia" w:ascii="宋体" w:hAnsi="宋体" w:eastAsia="宋体" w:cs="宋体"/>
                <w:color w:val="auto"/>
                <w:kern w:val="0"/>
                <w:sz w:val="24"/>
                <w:szCs w:val="24"/>
                <w:highlight w:val="none"/>
              </w:rPr>
            </w:pPr>
            <w:r>
              <w:rPr>
                <w:rFonts w:hint="eastAsia" w:ascii="宋体" w:hAnsi="宋体"/>
                <w:color w:val="auto"/>
                <w:sz w:val="24"/>
                <w:highlight w:val="none"/>
                <w:lang w:val="zh-CN"/>
              </w:rPr>
              <w:t>030482</w:t>
            </w:r>
          </w:p>
        </w:tc>
        <w:tc>
          <w:tcPr>
            <w:tcW w:w="1214" w:type="dxa"/>
            <w:vAlign w:val="center"/>
          </w:tcPr>
          <w:p w14:paraId="044BA273">
            <w:pPr>
              <w:overflowPunct w:val="0"/>
              <w:adjustRightInd w:val="0"/>
              <w:snapToGrid w:val="0"/>
              <w:jc w:val="center"/>
              <w:rPr>
                <w:rFonts w:hint="eastAsia" w:ascii="宋体" w:hAnsi="宋体" w:eastAsia="宋体" w:cs="宋体"/>
                <w:color w:val="auto"/>
                <w:kern w:val="0"/>
                <w:sz w:val="24"/>
                <w:szCs w:val="24"/>
                <w:highlight w:val="none"/>
              </w:rPr>
            </w:pPr>
          </w:p>
        </w:tc>
      </w:tr>
      <w:tr w14:paraId="262C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Merge w:val="continue"/>
            <w:vAlign w:val="center"/>
          </w:tcPr>
          <w:p w14:paraId="5FBEBCA2">
            <w:pPr>
              <w:overflowPunct w:val="0"/>
              <w:adjustRightInd w:val="0"/>
              <w:snapToGrid w:val="0"/>
              <w:jc w:val="center"/>
              <w:rPr>
                <w:rFonts w:hint="eastAsia" w:ascii="宋体" w:hAnsi="宋体" w:eastAsia="宋体" w:cs="宋体"/>
                <w:color w:val="auto"/>
                <w:kern w:val="0"/>
                <w:sz w:val="24"/>
                <w:szCs w:val="24"/>
                <w:highlight w:val="none"/>
              </w:rPr>
            </w:pPr>
          </w:p>
        </w:tc>
        <w:tc>
          <w:tcPr>
            <w:tcW w:w="1213" w:type="dxa"/>
            <w:vAlign w:val="center"/>
          </w:tcPr>
          <w:p w14:paraId="11F5BA14">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杨志刚</w:t>
            </w:r>
          </w:p>
        </w:tc>
        <w:tc>
          <w:tcPr>
            <w:tcW w:w="1768" w:type="dxa"/>
            <w:vAlign w:val="center"/>
          </w:tcPr>
          <w:p w14:paraId="74D5A907">
            <w:pPr>
              <w:overflowPunct w:val="0"/>
              <w:adjustRightInd w:val="0"/>
              <w:snapToGrid w:val="0"/>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安全工程</w:t>
            </w:r>
          </w:p>
        </w:tc>
        <w:tc>
          <w:tcPr>
            <w:tcW w:w="2932" w:type="dxa"/>
            <w:vAlign w:val="center"/>
          </w:tcPr>
          <w:p w14:paraId="551A3A3D">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S011037000110192001679</w:t>
            </w:r>
          </w:p>
        </w:tc>
        <w:tc>
          <w:tcPr>
            <w:tcW w:w="1112" w:type="dxa"/>
            <w:vAlign w:val="center"/>
          </w:tcPr>
          <w:p w14:paraId="73A5C41B">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028120</w:t>
            </w:r>
          </w:p>
        </w:tc>
        <w:tc>
          <w:tcPr>
            <w:tcW w:w="1214" w:type="dxa"/>
            <w:vAlign w:val="center"/>
          </w:tcPr>
          <w:p w14:paraId="2181ECBB">
            <w:pPr>
              <w:overflowPunct w:val="0"/>
              <w:adjustRightInd w:val="0"/>
              <w:snapToGrid w:val="0"/>
              <w:jc w:val="center"/>
              <w:rPr>
                <w:rFonts w:hint="eastAsia" w:ascii="宋体" w:hAnsi="宋体" w:eastAsia="宋体" w:cs="宋体"/>
                <w:color w:val="auto"/>
                <w:kern w:val="0"/>
                <w:sz w:val="24"/>
                <w:szCs w:val="24"/>
                <w:highlight w:val="none"/>
              </w:rPr>
            </w:pPr>
          </w:p>
        </w:tc>
      </w:tr>
      <w:tr w14:paraId="0083A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Merge w:val="continue"/>
            <w:vAlign w:val="center"/>
          </w:tcPr>
          <w:p w14:paraId="7DCA14CF">
            <w:pPr>
              <w:overflowPunct w:val="0"/>
              <w:adjustRightInd w:val="0"/>
              <w:snapToGrid w:val="0"/>
              <w:jc w:val="center"/>
              <w:rPr>
                <w:rFonts w:hint="eastAsia" w:ascii="宋体" w:hAnsi="宋体" w:eastAsia="宋体" w:cs="宋体"/>
                <w:color w:val="auto"/>
                <w:kern w:val="0"/>
                <w:sz w:val="24"/>
                <w:szCs w:val="24"/>
                <w:highlight w:val="none"/>
              </w:rPr>
            </w:pPr>
          </w:p>
        </w:tc>
        <w:tc>
          <w:tcPr>
            <w:tcW w:w="1213" w:type="dxa"/>
            <w:vAlign w:val="center"/>
          </w:tcPr>
          <w:p w14:paraId="0CB78A71">
            <w:pPr>
              <w:adjustRightInd w:val="0"/>
              <w:snapToGrid w:val="0"/>
              <w:jc w:val="center"/>
              <w:textAlignment w:val="baseline"/>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王秀娟</w:t>
            </w:r>
          </w:p>
        </w:tc>
        <w:tc>
          <w:tcPr>
            <w:tcW w:w="1768" w:type="dxa"/>
            <w:vAlign w:val="center"/>
          </w:tcPr>
          <w:p w14:paraId="03EFE845">
            <w:pPr>
              <w:adjustRightInd w:val="0"/>
              <w:snapToGrid w:val="0"/>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电气</w:t>
            </w:r>
          </w:p>
        </w:tc>
        <w:tc>
          <w:tcPr>
            <w:tcW w:w="2932" w:type="dxa"/>
            <w:vAlign w:val="center"/>
          </w:tcPr>
          <w:p w14:paraId="527F2414">
            <w:pPr>
              <w:adjustRightInd w:val="0"/>
              <w:snapToGrid w:val="0"/>
              <w:jc w:val="center"/>
              <w:rPr>
                <w:rFonts w:hint="eastAsia" w:ascii="宋体" w:hAnsi="宋体" w:eastAsia="宋体" w:cs="宋体"/>
                <w:color w:val="auto"/>
                <w:kern w:val="0"/>
                <w:sz w:val="24"/>
                <w:szCs w:val="24"/>
                <w:highlight w:val="none"/>
              </w:rPr>
            </w:pPr>
            <w:r>
              <w:rPr>
                <w:rFonts w:hint="eastAsia" w:ascii="宋体" w:hAnsi="宋体" w:cs="宋体"/>
                <w:color w:val="auto"/>
                <w:kern w:val="0"/>
                <w:sz w:val="24"/>
                <w:highlight w:val="none"/>
              </w:rPr>
              <w:t>CAWS370000230200531</w:t>
            </w:r>
          </w:p>
        </w:tc>
        <w:tc>
          <w:tcPr>
            <w:tcW w:w="1112" w:type="dxa"/>
            <w:vAlign w:val="center"/>
          </w:tcPr>
          <w:p w14:paraId="4C89C5FD">
            <w:pPr>
              <w:adjustRightInd w:val="0"/>
              <w:snapToGrid w:val="0"/>
              <w:jc w:val="center"/>
              <w:rPr>
                <w:rFonts w:hint="eastAsia" w:ascii="宋体" w:hAnsi="宋体" w:eastAsia="宋体" w:cs="宋体"/>
                <w:color w:val="auto"/>
                <w:kern w:val="0"/>
                <w:sz w:val="24"/>
                <w:szCs w:val="24"/>
                <w:highlight w:val="none"/>
              </w:rPr>
            </w:pPr>
            <w:r>
              <w:rPr>
                <w:rFonts w:hint="eastAsia" w:ascii="宋体" w:hAnsi="宋体" w:cs="宋体"/>
                <w:color w:val="auto"/>
                <w:kern w:val="0"/>
                <w:sz w:val="24"/>
                <w:highlight w:val="none"/>
              </w:rPr>
              <w:t>030620</w:t>
            </w:r>
          </w:p>
        </w:tc>
        <w:tc>
          <w:tcPr>
            <w:tcW w:w="1214" w:type="dxa"/>
            <w:vAlign w:val="center"/>
          </w:tcPr>
          <w:p w14:paraId="38A5AB0E">
            <w:pPr>
              <w:overflowPunct w:val="0"/>
              <w:adjustRightInd w:val="0"/>
              <w:snapToGrid w:val="0"/>
              <w:jc w:val="center"/>
              <w:rPr>
                <w:rFonts w:hint="eastAsia" w:ascii="宋体" w:hAnsi="宋体" w:eastAsia="宋体" w:cs="宋体"/>
                <w:color w:val="auto"/>
                <w:kern w:val="0"/>
                <w:sz w:val="24"/>
                <w:szCs w:val="24"/>
                <w:highlight w:val="none"/>
              </w:rPr>
            </w:pPr>
          </w:p>
        </w:tc>
      </w:tr>
      <w:tr w14:paraId="5002C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Merge w:val="continue"/>
            <w:vAlign w:val="center"/>
          </w:tcPr>
          <w:p w14:paraId="07B3B18F">
            <w:pPr>
              <w:overflowPunct w:val="0"/>
              <w:adjustRightInd w:val="0"/>
              <w:snapToGrid w:val="0"/>
              <w:jc w:val="center"/>
              <w:rPr>
                <w:rFonts w:hint="eastAsia" w:ascii="宋体" w:hAnsi="宋体" w:eastAsia="宋体" w:cs="宋体"/>
                <w:color w:val="auto"/>
                <w:kern w:val="0"/>
                <w:sz w:val="24"/>
                <w:szCs w:val="24"/>
                <w:highlight w:val="none"/>
              </w:rPr>
            </w:pPr>
          </w:p>
        </w:tc>
        <w:tc>
          <w:tcPr>
            <w:tcW w:w="1213" w:type="dxa"/>
            <w:vAlign w:val="center"/>
          </w:tcPr>
          <w:p w14:paraId="56455701">
            <w:pPr>
              <w:overflowPunct w:val="0"/>
              <w:adjustRightInd w:val="0"/>
              <w:snapToGrid w:val="0"/>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周菲菲</w:t>
            </w:r>
          </w:p>
        </w:tc>
        <w:tc>
          <w:tcPr>
            <w:tcW w:w="1768" w:type="dxa"/>
            <w:vAlign w:val="center"/>
          </w:tcPr>
          <w:p w14:paraId="6F886D5C">
            <w:pPr>
              <w:overflowPunct w:val="0"/>
              <w:adjustRightInd w:val="0"/>
              <w:snapToGrid w:val="0"/>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自动化</w:t>
            </w:r>
          </w:p>
        </w:tc>
        <w:tc>
          <w:tcPr>
            <w:tcW w:w="2932" w:type="dxa"/>
            <w:vAlign w:val="center"/>
          </w:tcPr>
          <w:p w14:paraId="62C89A46">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S011037000110192001722</w:t>
            </w:r>
          </w:p>
        </w:tc>
        <w:tc>
          <w:tcPr>
            <w:tcW w:w="1112" w:type="dxa"/>
            <w:vAlign w:val="center"/>
          </w:tcPr>
          <w:p w14:paraId="5D7553DA">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025976</w:t>
            </w:r>
          </w:p>
        </w:tc>
        <w:tc>
          <w:tcPr>
            <w:tcW w:w="1214" w:type="dxa"/>
            <w:vAlign w:val="center"/>
          </w:tcPr>
          <w:p w14:paraId="1968196B">
            <w:pPr>
              <w:overflowPunct w:val="0"/>
              <w:adjustRightInd w:val="0"/>
              <w:snapToGrid w:val="0"/>
              <w:jc w:val="center"/>
              <w:rPr>
                <w:rFonts w:hint="eastAsia" w:ascii="宋体" w:hAnsi="宋体" w:eastAsia="宋体" w:cs="宋体"/>
                <w:color w:val="auto"/>
                <w:kern w:val="0"/>
                <w:sz w:val="24"/>
                <w:szCs w:val="24"/>
                <w:highlight w:val="none"/>
              </w:rPr>
            </w:pPr>
          </w:p>
        </w:tc>
      </w:tr>
      <w:tr w14:paraId="3F67F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096FF6A2">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编制人</w:t>
            </w:r>
          </w:p>
        </w:tc>
        <w:tc>
          <w:tcPr>
            <w:tcW w:w="1213" w:type="dxa"/>
            <w:vAlign w:val="center"/>
          </w:tcPr>
          <w:p w14:paraId="5CE4BAE2">
            <w:pPr>
              <w:adjustRightInd w:val="0"/>
              <w:snapToGrid w:val="0"/>
              <w:spacing w:line="240" w:lineRule="auto"/>
              <w:jc w:val="center"/>
              <w:textAlignment w:val="baseline"/>
              <w:rPr>
                <w:rFonts w:hint="eastAsia" w:ascii="宋体" w:hAnsi="宋体" w:eastAsia="宋体" w:cs="宋体"/>
                <w:color w:val="auto"/>
                <w:kern w:val="0"/>
                <w:sz w:val="24"/>
                <w:szCs w:val="24"/>
                <w:highlight w:val="none"/>
                <w:lang w:val="en-US" w:eastAsia="zh-CN"/>
              </w:rPr>
            </w:pPr>
            <w:r>
              <w:rPr>
                <w:rFonts w:ascii="宋体" w:hAnsi="宋体"/>
                <w:color w:val="auto"/>
                <w:sz w:val="24"/>
                <w:highlight w:val="none"/>
                <w:lang w:val="zh-CN"/>
              </w:rPr>
              <w:t>唐晗箫</w:t>
            </w:r>
          </w:p>
        </w:tc>
        <w:tc>
          <w:tcPr>
            <w:tcW w:w="1768" w:type="dxa"/>
            <w:vAlign w:val="center"/>
          </w:tcPr>
          <w:p w14:paraId="62B372E1">
            <w:pPr>
              <w:adjustRightInd w:val="0"/>
              <w:snapToGrid w:val="0"/>
              <w:spacing w:line="240" w:lineRule="auto"/>
              <w:jc w:val="center"/>
              <w:textAlignment w:val="baseline"/>
              <w:rPr>
                <w:rFonts w:hint="eastAsia" w:ascii="宋体" w:hAnsi="宋体" w:eastAsia="宋体" w:cs="宋体"/>
                <w:color w:val="auto"/>
                <w:kern w:val="0"/>
                <w:sz w:val="24"/>
                <w:szCs w:val="24"/>
                <w:highlight w:val="none"/>
                <w:lang w:val="en-US" w:eastAsia="zh-CN"/>
              </w:rPr>
            </w:pPr>
            <w:r>
              <w:rPr>
                <w:rFonts w:hint="eastAsia" w:ascii="宋体" w:hAnsi="宋体"/>
                <w:color w:val="auto"/>
                <w:sz w:val="24"/>
                <w:highlight w:val="none"/>
                <w:lang w:val="zh-CN"/>
              </w:rPr>
              <w:t>化工工艺</w:t>
            </w:r>
          </w:p>
        </w:tc>
        <w:tc>
          <w:tcPr>
            <w:tcW w:w="2932" w:type="dxa"/>
            <w:vAlign w:val="center"/>
          </w:tcPr>
          <w:p w14:paraId="10C79619">
            <w:pPr>
              <w:adjustRightInd w:val="0"/>
              <w:snapToGrid w:val="0"/>
              <w:spacing w:line="240" w:lineRule="auto"/>
              <w:jc w:val="center"/>
              <w:textAlignment w:val="baseline"/>
              <w:rPr>
                <w:rFonts w:hint="eastAsia" w:ascii="宋体" w:hAnsi="宋体" w:eastAsia="宋体" w:cs="宋体"/>
                <w:color w:val="auto"/>
                <w:kern w:val="0"/>
                <w:sz w:val="24"/>
                <w:szCs w:val="24"/>
                <w:highlight w:val="none"/>
              </w:rPr>
            </w:pPr>
            <w:r>
              <w:rPr>
                <w:rFonts w:hint="eastAsia" w:ascii="宋体" w:hAnsi="宋体"/>
                <w:color w:val="auto"/>
                <w:sz w:val="24"/>
                <w:highlight w:val="none"/>
                <w:lang w:val="zh-CN"/>
              </w:rPr>
              <w:t>CAWS350000230200201</w:t>
            </w:r>
          </w:p>
        </w:tc>
        <w:tc>
          <w:tcPr>
            <w:tcW w:w="1112" w:type="dxa"/>
            <w:vAlign w:val="center"/>
          </w:tcPr>
          <w:p w14:paraId="24C80D1C">
            <w:pPr>
              <w:adjustRightInd w:val="0"/>
              <w:snapToGrid w:val="0"/>
              <w:spacing w:line="240" w:lineRule="auto"/>
              <w:jc w:val="center"/>
              <w:textAlignment w:val="baseline"/>
              <w:rPr>
                <w:rFonts w:hint="eastAsia" w:ascii="宋体" w:hAnsi="宋体" w:eastAsia="宋体" w:cs="宋体"/>
                <w:color w:val="auto"/>
                <w:kern w:val="0"/>
                <w:sz w:val="24"/>
                <w:szCs w:val="24"/>
                <w:highlight w:val="none"/>
              </w:rPr>
            </w:pPr>
            <w:r>
              <w:rPr>
                <w:rFonts w:hint="eastAsia" w:ascii="宋体" w:hAnsi="宋体"/>
                <w:color w:val="auto"/>
                <w:sz w:val="24"/>
                <w:highlight w:val="none"/>
                <w:lang w:val="zh-CN"/>
              </w:rPr>
              <w:t>030482</w:t>
            </w:r>
          </w:p>
        </w:tc>
        <w:tc>
          <w:tcPr>
            <w:tcW w:w="1214" w:type="dxa"/>
            <w:vAlign w:val="center"/>
          </w:tcPr>
          <w:p w14:paraId="0AB2469D">
            <w:pPr>
              <w:overflowPunct w:val="0"/>
              <w:adjustRightInd w:val="0"/>
              <w:snapToGrid w:val="0"/>
              <w:jc w:val="center"/>
              <w:rPr>
                <w:rFonts w:hint="eastAsia" w:ascii="宋体" w:hAnsi="宋体" w:eastAsia="宋体" w:cs="宋体"/>
                <w:color w:val="auto"/>
                <w:kern w:val="0"/>
                <w:sz w:val="24"/>
                <w:szCs w:val="24"/>
                <w:highlight w:val="none"/>
              </w:rPr>
            </w:pPr>
          </w:p>
        </w:tc>
      </w:tr>
      <w:tr w14:paraId="4CBB1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287F684B">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审核人</w:t>
            </w:r>
          </w:p>
        </w:tc>
        <w:tc>
          <w:tcPr>
            <w:tcW w:w="1213" w:type="dxa"/>
            <w:vAlign w:val="center"/>
          </w:tcPr>
          <w:p w14:paraId="48440788">
            <w:pPr>
              <w:adjustRightInd w:val="0"/>
              <w:snapToGrid w:val="0"/>
              <w:spacing w:line="400" w:lineRule="exact"/>
              <w:jc w:val="center"/>
              <w:textAlignment w:val="baseline"/>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林更鹏</w:t>
            </w:r>
          </w:p>
        </w:tc>
        <w:tc>
          <w:tcPr>
            <w:tcW w:w="1768" w:type="dxa"/>
            <w:vAlign w:val="center"/>
          </w:tcPr>
          <w:p w14:paraId="37A62BF0">
            <w:pPr>
              <w:adjustRightInd w:val="0"/>
              <w:snapToGrid w:val="0"/>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化学工程与工艺</w:t>
            </w:r>
          </w:p>
        </w:tc>
        <w:tc>
          <w:tcPr>
            <w:tcW w:w="2932" w:type="dxa"/>
            <w:vAlign w:val="center"/>
          </w:tcPr>
          <w:p w14:paraId="75A78DBC">
            <w:pPr>
              <w:adjustRightInd w:val="0"/>
              <w:snapToGrid w:val="0"/>
              <w:spacing w:line="400" w:lineRule="exact"/>
              <w:jc w:val="center"/>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44"/>
                <w:sz w:val="24"/>
                <w:szCs w:val="24"/>
                <w:highlight w:val="none"/>
              </w:rPr>
              <w:t>S011037000110192001823</w:t>
            </w:r>
          </w:p>
        </w:tc>
        <w:tc>
          <w:tcPr>
            <w:tcW w:w="1112" w:type="dxa"/>
            <w:vAlign w:val="center"/>
          </w:tcPr>
          <w:p w14:paraId="1C77EADE">
            <w:pPr>
              <w:adjustRightInd w:val="0"/>
              <w:snapToGrid w:val="0"/>
              <w:spacing w:line="400" w:lineRule="exact"/>
              <w:jc w:val="center"/>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44"/>
                <w:sz w:val="24"/>
                <w:szCs w:val="24"/>
                <w:highlight w:val="none"/>
              </w:rPr>
              <w:t>025977</w:t>
            </w:r>
          </w:p>
        </w:tc>
        <w:tc>
          <w:tcPr>
            <w:tcW w:w="1214" w:type="dxa"/>
            <w:vAlign w:val="center"/>
          </w:tcPr>
          <w:p w14:paraId="7132186C">
            <w:pPr>
              <w:overflowPunct w:val="0"/>
              <w:adjustRightInd w:val="0"/>
              <w:snapToGrid w:val="0"/>
              <w:jc w:val="center"/>
              <w:rPr>
                <w:rFonts w:hint="eastAsia" w:ascii="宋体" w:hAnsi="宋体" w:eastAsia="宋体" w:cs="宋体"/>
                <w:color w:val="auto"/>
                <w:kern w:val="0"/>
                <w:sz w:val="24"/>
                <w:szCs w:val="24"/>
                <w:highlight w:val="none"/>
              </w:rPr>
            </w:pPr>
          </w:p>
        </w:tc>
      </w:tr>
      <w:tr w14:paraId="5B068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29EB4B8F">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过程控制负责人</w:t>
            </w:r>
          </w:p>
        </w:tc>
        <w:tc>
          <w:tcPr>
            <w:tcW w:w="1213" w:type="dxa"/>
            <w:vAlign w:val="center"/>
          </w:tcPr>
          <w:p w14:paraId="3DEBF724">
            <w:pPr>
              <w:adjustRightInd w:val="0"/>
              <w:snapToGrid w:val="0"/>
              <w:jc w:val="center"/>
              <w:textAlignment w:val="baseline"/>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邓  清</w:t>
            </w:r>
          </w:p>
        </w:tc>
        <w:tc>
          <w:tcPr>
            <w:tcW w:w="1768" w:type="dxa"/>
            <w:vAlign w:val="center"/>
          </w:tcPr>
          <w:p w14:paraId="1A4F3A93">
            <w:pPr>
              <w:adjustRightInd w:val="0"/>
              <w:snapToGrid w:val="0"/>
              <w:jc w:val="center"/>
              <w:textAlignment w:val="baseline"/>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电气自动化</w:t>
            </w:r>
          </w:p>
        </w:tc>
        <w:tc>
          <w:tcPr>
            <w:tcW w:w="2932" w:type="dxa"/>
            <w:vAlign w:val="center"/>
          </w:tcPr>
          <w:p w14:paraId="67E96F13">
            <w:pPr>
              <w:adjustRightInd w:val="0"/>
              <w:snapToGrid w:val="0"/>
              <w:jc w:val="center"/>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S011037000110191000752</w:t>
            </w:r>
          </w:p>
        </w:tc>
        <w:tc>
          <w:tcPr>
            <w:tcW w:w="1112" w:type="dxa"/>
            <w:vAlign w:val="center"/>
          </w:tcPr>
          <w:p w14:paraId="4F0F0D73">
            <w:pPr>
              <w:adjustRightInd w:val="0"/>
              <w:snapToGrid w:val="0"/>
              <w:jc w:val="center"/>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019130</w:t>
            </w:r>
          </w:p>
        </w:tc>
        <w:tc>
          <w:tcPr>
            <w:tcW w:w="1214" w:type="dxa"/>
            <w:vAlign w:val="center"/>
          </w:tcPr>
          <w:p w14:paraId="396811A8">
            <w:pPr>
              <w:overflowPunct w:val="0"/>
              <w:adjustRightInd w:val="0"/>
              <w:snapToGrid w:val="0"/>
              <w:jc w:val="center"/>
              <w:rPr>
                <w:rFonts w:hint="eastAsia" w:ascii="宋体" w:hAnsi="宋体" w:eastAsia="宋体" w:cs="宋体"/>
                <w:color w:val="auto"/>
                <w:kern w:val="0"/>
                <w:sz w:val="24"/>
                <w:szCs w:val="24"/>
                <w:highlight w:val="none"/>
              </w:rPr>
            </w:pPr>
          </w:p>
        </w:tc>
      </w:tr>
      <w:tr w14:paraId="678E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062DC76A">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技术负责人</w:t>
            </w:r>
          </w:p>
        </w:tc>
        <w:tc>
          <w:tcPr>
            <w:tcW w:w="1213" w:type="dxa"/>
            <w:vAlign w:val="center"/>
          </w:tcPr>
          <w:p w14:paraId="042E8964">
            <w:pPr>
              <w:overflowPunct w:val="0"/>
              <w:adjustRightInd w:val="0"/>
              <w:snapToGrid w:val="0"/>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吴佳东</w:t>
            </w:r>
          </w:p>
        </w:tc>
        <w:tc>
          <w:tcPr>
            <w:tcW w:w="1768" w:type="dxa"/>
            <w:vAlign w:val="center"/>
          </w:tcPr>
          <w:p w14:paraId="0B307D6C">
            <w:pPr>
              <w:overflowPunct w:val="0"/>
              <w:adjustRightInd w:val="0"/>
              <w:snapToGrid w:val="0"/>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安全工程</w:t>
            </w:r>
          </w:p>
        </w:tc>
        <w:tc>
          <w:tcPr>
            <w:tcW w:w="2932" w:type="dxa"/>
            <w:vAlign w:val="center"/>
          </w:tcPr>
          <w:p w14:paraId="1A08917B">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44"/>
                <w:sz w:val="24"/>
                <w:szCs w:val="24"/>
                <w:highlight w:val="none"/>
              </w:rPr>
              <w:t>S011037000110191000859</w:t>
            </w:r>
          </w:p>
        </w:tc>
        <w:tc>
          <w:tcPr>
            <w:tcW w:w="1112" w:type="dxa"/>
            <w:vAlign w:val="center"/>
          </w:tcPr>
          <w:p w14:paraId="2E5187E4">
            <w:pPr>
              <w:overflowPunct w:val="0"/>
              <w:adjustRightInd w:val="0"/>
              <w:snapToGrid w:val="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44"/>
                <w:sz w:val="24"/>
                <w:szCs w:val="24"/>
                <w:highlight w:val="none"/>
              </w:rPr>
              <w:t>025862</w:t>
            </w:r>
          </w:p>
        </w:tc>
        <w:tc>
          <w:tcPr>
            <w:tcW w:w="1214" w:type="dxa"/>
            <w:vAlign w:val="center"/>
          </w:tcPr>
          <w:p w14:paraId="579FA4E9">
            <w:pPr>
              <w:overflowPunct w:val="0"/>
              <w:adjustRightInd w:val="0"/>
              <w:snapToGrid w:val="0"/>
              <w:jc w:val="center"/>
              <w:rPr>
                <w:rFonts w:hint="eastAsia" w:ascii="宋体" w:hAnsi="宋体" w:eastAsia="宋体" w:cs="宋体"/>
                <w:color w:val="auto"/>
                <w:kern w:val="0"/>
                <w:sz w:val="24"/>
                <w:szCs w:val="24"/>
                <w:highlight w:val="none"/>
              </w:rPr>
            </w:pPr>
          </w:p>
        </w:tc>
      </w:tr>
    </w:tbl>
    <w:p w14:paraId="4618028D">
      <w:pPr>
        <w:adjustRightInd w:val="0"/>
        <w:snapToGrid w:val="0"/>
        <w:rPr>
          <w:color w:val="auto"/>
          <w:highlight w:val="none"/>
        </w:rPr>
      </w:pPr>
    </w:p>
    <w:p w14:paraId="1AFAF384">
      <w:pPr>
        <w:adjustRightInd w:val="0"/>
        <w:snapToGrid w:val="0"/>
        <w:rPr>
          <w:color w:val="auto"/>
          <w:highlight w:val="none"/>
        </w:rPr>
      </w:pPr>
    </w:p>
    <w:p w14:paraId="18D07F95">
      <w:pPr>
        <w:adjustRightInd w:val="0"/>
        <w:snapToGrid w:val="0"/>
        <w:rPr>
          <w:color w:val="auto"/>
          <w:highlight w:val="none"/>
        </w:rPr>
      </w:pPr>
    </w:p>
    <w:p w14:paraId="6B486A34">
      <w:pPr>
        <w:adjustRightInd w:val="0"/>
        <w:snapToGrid w:val="0"/>
        <w:rPr>
          <w:color w:val="auto"/>
          <w:highlight w:val="none"/>
        </w:rPr>
      </w:pPr>
    </w:p>
    <w:p w14:paraId="1091BBCC">
      <w:pPr>
        <w:adjustRightInd w:val="0"/>
        <w:snapToGrid w:val="0"/>
        <w:rPr>
          <w:color w:val="auto"/>
          <w:highlight w:val="none"/>
        </w:rPr>
      </w:pPr>
    </w:p>
    <w:p w14:paraId="7DAC1B0F">
      <w:pPr>
        <w:adjustRightInd w:val="0"/>
        <w:snapToGrid w:val="0"/>
        <w:rPr>
          <w:color w:val="auto"/>
          <w:highlight w:val="none"/>
        </w:rPr>
      </w:pPr>
    </w:p>
    <w:p w14:paraId="18B96029">
      <w:pPr>
        <w:adjustRightInd w:val="0"/>
        <w:snapToGrid w:val="0"/>
        <w:rPr>
          <w:color w:val="auto"/>
          <w:highlight w:val="none"/>
        </w:rPr>
      </w:pPr>
    </w:p>
    <w:p w14:paraId="7B6142AA">
      <w:pPr>
        <w:adjustRightInd w:val="0"/>
        <w:snapToGrid w:val="0"/>
        <w:rPr>
          <w:color w:val="auto"/>
          <w:highlight w:val="none"/>
        </w:rPr>
      </w:pPr>
    </w:p>
    <w:p w14:paraId="6CCA9EA5">
      <w:pPr>
        <w:adjustRightInd w:val="0"/>
        <w:snapToGrid w:val="0"/>
        <w:rPr>
          <w:color w:val="auto"/>
          <w:highlight w:val="none"/>
        </w:rPr>
      </w:pPr>
    </w:p>
    <w:p w14:paraId="111CAD14">
      <w:pPr>
        <w:adjustRightInd w:val="0"/>
        <w:snapToGrid w:val="0"/>
        <w:rPr>
          <w:color w:val="auto"/>
          <w:highlight w:val="none"/>
        </w:rPr>
      </w:pPr>
    </w:p>
    <w:p w14:paraId="48BCC8D6">
      <w:pPr>
        <w:adjustRightInd w:val="0"/>
        <w:snapToGrid w:val="0"/>
        <w:rPr>
          <w:color w:val="auto"/>
          <w:highlight w:val="none"/>
        </w:rPr>
        <w:sectPr>
          <w:pgSz w:w="11906" w:h="16838"/>
          <w:pgMar w:top="1418" w:right="1134" w:bottom="1134" w:left="1588" w:header="851" w:footer="992" w:gutter="0"/>
          <w:pgBorders>
            <w:top w:val="none" w:sz="0" w:space="0"/>
            <w:left w:val="none" w:sz="0" w:space="0"/>
            <w:bottom w:val="none" w:sz="0" w:space="0"/>
            <w:right w:val="none" w:sz="0" w:space="0"/>
          </w:pgBorders>
          <w:cols w:space="425" w:num="1"/>
          <w:docGrid w:type="lines" w:linePitch="312" w:charSpace="0"/>
        </w:sectPr>
      </w:pPr>
    </w:p>
    <w:p w14:paraId="19D83138">
      <w:pPr>
        <w:adjustRightInd w:val="0"/>
        <w:snapToGrid w:val="0"/>
        <w:rPr>
          <w:color w:val="auto"/>
          <w:highlight w:val="none"/>
        </w:rPr>
        <w:sectPr>
          <w:pgSz w:w="11906" w:h="16838"/>
          <w:pgMar w:top="1418" w:right="1134" w:bottom="1134" w:left="1588" w:header="851" w:footer="992" w:gutter="0"/>
          <w:pgBorders>
            <w:top w:val="none" w:sz="0" w:space="0"/>
            <w:left w:val="none" w:sz="0" w:space="0"/>
            <w:bottom w:val="none" w:sz="0" w:space="0"/>
            <w:right w:val="none" w:sz="0" w:space="0"/>
          </w:pgBorders>
          <w:cols w:space="425" w:num="1"/>
          <w:docGrid w:type="lines" w:linePitch="312" w:charSpace="0"/>
        </w:sectPr>
      </w:pPr>
    </w:p>
    <w:p w14:paraId="55371D3B">
      <w:pPr>
        <w:pageBreakBefore/>
        <w:adjustRightInd w:val="0"/>
        <w:snapToGrid w:val="0"/>
        <w:spacing w:beforeLines="100" w:afterLines="100" w:line="360" w:lineRule="auto"/>
        <w:jc w:val="center"/>
        <w:outlineLvl w:val="0"/>
        <w:rPr>
          <w:rFonts w:ascii="Times New Roman" w:hAnsi="Times New Roman" w:eastAsia="黑体" w:cs="Times New Roman"/>
          <w:b/>
          <w:color w:val="auto"/>
          <w:sz w:val="32"/>
          <w:szCs w:val="32"/>
          <w:highlight w:val="none"/>
        </w:rPr>
      </w:pPr>
      <w:bookmarkStart w:id="0" w:name="_Toc12834"/>
      <w:bookmarkStart w:id="1" w:name="_Toc20234"/>
      <w:bookmarkStart w:id="2" w:name="_Toc24365"/>
      <w:bookmarkStart w:id="3" w:name="_Toc13435"/>
      <w:bookmarkStart w:id="4" w:name="_Toc8743"/>
      <w:bookmarkStart w:id="5" w:name="_Toc17570"/>
      <w:bookmarkStart w:id="6" w:name="_Toc10412"/>
      <w:bookmarkStart w:id="7" w:name="_Toc3159"/>
      <w:bookmarkStart w:id="8" w:name="_Toc25254"/>
      <w:bookmarkStart w:id="9" w:name="_Toc15680"/>
      <w:bookmarkStart w:id="10" w:name="_Toc3243"/>
      <w:bookmarkStart w:id="11" w:name="_Toc494443237"/>
      <w:bookmarkStart w:id="12" w:name="_Toc498075547"/>
      <w:bookmarkStart w:id="13" w:name="_Toc24944"/>
      <w:bookmarkStart w:id="14" w:name="_Toc60846563"/>
      <w:bookmarkStart w:id="15" w:name="_Toc477441878"/>
      <w:bookmarkStart w:id="16" w:name="_Toc19387"/>
      <w:bookmarkStart w:id="17" w:name="_Toc12599"/>
      <w:bookmarkStart w:id="18" w:name="_Toc10062"/>
      <w:bookmarkStart w:id="19" w:name="_Toc32582"/>
      <w:bookmarkStart w:id="20" w:name="_Toc12820"/>
      <w:r>
        <w:rPr>
          <w:rFonts w:hint="eastAsia" w:ascii="Times New Roman" w:hAnsi="Times New Roman" w:eastAsia="黑体" w:cs="Times New Roman"/>
          <w:b/>
          <w:color w:val="auto"/>
          <w:sz w:val="32"/>
          <w:szCs w:val="32"/>
          <w:highlight w:val="none"/>
        </w:rPr>
        <w:t>前</w:t>
      </w:r>
      <w:r>
        <w:rPr>
          <w:rFonts w:ascii="Times New Roman" w:hAnsi="Times New Roman" w:eastAsia="黑体" w:cs="Times New Roman"/>
          <w:b/>
          <w:color w:val="auto"/>
          <w:sz w:val="32"/>
          <w:szCs w:val="32"/>
          <w:highlight w:val="none"/>
        </w:rPr>
        <w:t xml:space="preserve">  </w:t>
      </w:r>
      <w:r>
        <w:rPr>
          <w:rFonts w:hint="eastAsia" w:ascii="Times New Roman" w:hAnsi="Times New Roman" w:eastAsia="黑体" w:cs="Times New Roman"/>
          <w:b/>
          <w:color w:val="auto"/>
          <w:sz w:val="32"/>
          <w:szCs w:val="32"/>
          <w:highlight w:val="none"/>
        </w:rPr>
        <w:t>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304E9B88">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color w:val="auto"/>
          <w:sz w:val="28"/>
          <w:szCs w:val="28"/>
          <w:highlight w:val="none"/>
          <w:lang w:eastAsia="zh-CN"/>
        </w:rPr>
        <w:t>浙江</w:t>
      </w:r>
      <w:r>
        <w:rPr>
          <w:rFonts w:hint="eastAsia" w:ascii="宋体" w:hAnsi="宋体" w:eastAsia="宋体" w:cs="宋体"/>
          <w:color w:val="auto"/>
          <w:sz w:val="28"/>
          <w:szCs w:val="28"/>
          <w:highlight w:val="none"/>
        </w:rPr>
        <w:t>伟星实业发展股份有限公司临海钮扣分公司（以下简称“伟星临海钮扣分公司”）位于临海市尤溪镇左桥村，</w:t>
      </w:r>
      <w:r>
        <w:rPr>
          <w:rFonts w:hint="eastAsia" w:ascii="宋体" w:hAnsi="宋体" w:cs="宋体"/>
          <w:color w:val="auto"/>
          <w:sz w:val="28"/>
          <w:szCs w:val="28"/>
          <w:highlight w:val="none"/>
        </w:rPr>
        <w:t>始创于1976年，</w:t>
      </w:r>
      <w:r>
        <w:rPr>
          <w:rFonts w:hint="eastAsia" w:ascii="宋体" w:hAnsi="宋体" w:eastAsia="宋体" w:cs="宋体"/>
          <w:color w:val="auto"/>
          <w:sz w:val="28"/>
          <w:szCs w:val="28"/>
          <w:highlight w:val="none"/>
        </w:rPr>
        <w:t>占地100余亩。专业从事树脂扣、果实扣、真贝扣、牛角扣、尿素扣、曼哈顿扣等各类中高档钮扣，</w:t>
      </w:r>
      <w:r>
        <w:rPr>
          <w:rFonts w:hint="eastAsia" w:ascii="宋体" w:hAnsi="宋体" w:eastAsia="宋体" w:cs="宋体"/>
          <w:color w:val="auto"/>
          <w:kern w:val="0"/>
          <w:sz w:val="28"/>
          <w:szCs w:val="28"/>
          <w:highlight w:val="none"/>
        </w:rPr>
        <w:t>现有员工</w:t>
      </w:r>
      <w:r>
        <w:rPr>
          <w:rFonts w:hint="eastAsia" w:ascii="宋体" w:hAnsi="宋体" w:cs="宋体"/>
          <w:color w:val="auto"/>
          <w:kern w:val="0"/>
          <w:sz w:val="28"/>
          <w:szCs w:val="28"/>
          <w:highlight w:val="none"/>
          <w:lang w:val="en-US" w:eastAsia="zh-CN"/>
        </w:rPr>
        <w:t>831</w:t>
      </w:r>
      <w:r>
        <w:rPr>
          <w:rFonts w:hint="eastAsia" w:ascii="宋体" w:hAnsi="宋体" w:eastAsia="宋体" w:cs="宋体"/>
          <w:color w:val="auto"/>
          <w:kern w:val="0"/>
          <w:sz w:val="28"/>
          <w:szCs w:val="28"/>
          <w:highlight w:val="none"/>
        </w:rPr>
        <w:t>人</w:t>
      </w:r>
      <w:r>
        <w:rPr>
          <w:rFonts w:hint="eastAsia" w:ascii="宋体" w:hAnsi="宋体" w:eastAsia="宋体" w:cs="宋体"/>
          <w:color w:val="auto"/>
          <w:sz w:val="28"/>
          <w:szCs w:val="28"/>
          <w:highlight w:val="none"/>
        </w:rPr>
        <w:t>。</w:t>
      </w:r>
    </w:p>
    <w:p w14:paraId="4B6595C0">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伟星临海钮扣分公司厂区内设有一座甲类危化品仓库，用于储存生产过程中使用</w:t>
      </w:r>
      <w:r>
        <w:rPr>
          <w:rFonts w:hint="eastAsia" w:ascii="宋体" w:hAnsi="宋体" w:eastAsia="宋体" w:cs="宋体"/>
          <w:color w:val="auto"/>
          <w:sz w:val="28"/>
          <w:szCs w:val="28"/>
          <w:highlight w:val="none"/>
          <w:lang w:eastAsia="zh-CN"/>
        </w:rPr>
        <w:t>的</w:t>
      </w:r>
      <w:r>
        <w:rPr>
          <w:rFonts w:hint="eastAsia" w:ascii="宋体" w:hAnsi="宋体" w:eastAsia="宋体" w:cs="宋体"/>
          <w:color w:val="auto"/>
          <w:sz w:val="28"/>
          <w:szCs w:val="28"/>
          <w:highlight w:val="none"/>
        </w:rPr>
        <w:t>危险化学品。</w:t>
      </w:r>
      <w:r>
        <w:rPr>
          <w:rFonts w:hint="eastAsia" w:ascii="宋体" w:hAnsi="宋体" w:eastAsia="宋体" w:cs="宋体"/>
          <w:color w:val="auto"/>
          <w:sz w:val="28"/>
          <w:szCs w:val="28"/>
          <w:highlight w:val="none"/>
          <w:lang w:eastAsia="zh-CN"/>
        </w:rPr>
        <w:t>该</w:t>
      </w:r>
      <w:r>
        <w:rPr>
          <w:rFonts w:hint="eastAsia" w:ascii="宋体" w:hAnsi="宋体" w:eastAsia="宋体" w:cs="宋体"/>
          <w:color w:val="auto"/>
          <w:sz w:val="28"/>
          <w:szCs w:val="28"/>
          <w:highlight w:val="none"/>
        </w:rPr>
        <w:t>危化品仓库</w:t>
      </w:r>
      <w:r>
        <w:rPr>
          <w:rFonts w:hint="eastAsia" w:ascii="宋体" w:hAnsi="宋体" w:eastAsia="宋体" w:cs="宋体"/>
          <w:color w:val="auto"/>
          <w:sz w:val="28"/>
          <w:szCs w:val="28"/>
          <w:highlight w:val="none"/>
          <w:lang w:eastAsia="zh-CN"/>
        </w:rPr>
        <w:t>储存的</w:t>
      </w:r>
      <w:r>
        <w:rPr>
          <w:rFonts w:hint="eastAsia" w:ascii="宋体" w:hAnsi="宋体" w:eastAsia="宋体" w:cs="宋体"/>
          <w:color w:val="auto"/>
          <w:sz w:val="28"/>
          <w:szCs w:val="28"/>
          <w:highlight w:val="none"/>
        </w:rPr>
        <w:t>危险化学品</w:t>
      </w:r>
      <w:r>
        <w:rPr>
          <w:rFonts w:hint="eastAsia" w:ascii="宋体" w:hAnsi="宋体" w:eastAsia="宋体" w:cs="宋体"/>
          <w:color w:val="auto"/>
          <w:sz w:val="28"/>
          <w:szCs w:val="28"/>
          <w:highlight w:val="none"/>
          <w:lang w:eastAsia="zh-CN"/>
        </w:rPr>
        <w:t>：</w:t>
      </w:r>
      <w:r>
        <w:rPr>
          <w:rFonts w:hint="eastAsia" w:ascii="宋体" w:hAnsi="宋体" w:cs="宋体"/>
          <w:color w:val="auto"/>
          <w:sz w:val="28"/>
          <w:szCs w:val="28"/>
          <w:highlight w:val="none"/>
        </w:rPr>
        <w:t>六亚甲基四胺</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rPr>
        <w:t>盐酸、过氧化甲乙酮、过氧化二苯甲酰、双氧水、</w:t>
      </w:r>
      <w:r>
        <w:rPr>
          <w:rFonts w:hint="eastAsia" w:ascii="宋体" w:hAnsi="宋体" w:cs="宋体"/>
          <w:color w:val="auto"/>
          <w:kern w:val="2"/>
          <w:sz w:val="28"/>
          <w:szCs w:val="28"/>
          <w:highlight w:val="none"/>
          <w:lang w:eastAsia="zh-CN"/>
        </w:rPr>
        <w:t>硝酸银、</w:t>
      </w:r>
      <w:r>
        <w:rPr>
          <w:rFonts w:hint="eastAsia" w:ascii="宋体" w:hAnsi="宋体" w:eastAsia="宋体" w:cs="宋体"/>
          <w:color w:val="auto"/>
          <w:sz w:val="28"/>
          <w:szCs w:val="28"/>
          <w:highlight w:val="none"/>
        </w:rPr>
        <w:t>丙酮、苯乙</w:t>
      </w:r>
      <w:r>
        <w:rPr>
          <w:rFonts w:hint="eastAsia" w:ascii="宋体" w:hAnsi="宋体" w:cs="宋体"/>
          <w:color w:val="auto"/>
          <w:sz w:val="28"/>
          <w:szCs w:val="28"/>
          <w:highlight w:val="none"/>
          <w:lang w:eastAsia="zh-CN"/>
        </w:rPr>
        <w:t>烯</w:t>
      </w:r>
      <w:r>
        <w:rPr>
          <w:rFonts w:hint="eastAsia" w:ascii="宋体" w:hAnsi="宋体" w:eastAsia="宋体" w:cs="宋体"/>
          <w:color w:val="auto"/>
          <w:sz w:val="28"/>
          <w:szCs w:val="28"/>
          <w:highlight w:val="none"/>
        </w:rPr>
        <w:t>、钴盐</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异辛酸盐，丁醇</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rPr>
        <w:t>、油漆、</w:t>
      </w:r>
      <w:r>
        <w:rPr>
          <w:rFonts w:hint="eastAsia" w:ascii="宋体" w:hAnsi="宋体" w:cs="宋体"/>
          <w:color w:val="auto"/>
          <w:sz w:val="28"/>
          <w:szCs w:val="28"/>
          <w:highlight w:val="none"/>
          <w:lang w:eastAsia="zh-CN"/>
        </w:rPr>
        <w:t>油漆</w:t>
      </w:r>
      <w:r>
        <w:rPr>
          <w:rFonts w:hint="eastAsia" w:ascii="宋体" w:hAnsi="宋体" w:eastAsia="宋体" w:cs="宋体"/>
          <w:color w:val="auto"/>
          <w:sz w:val="28"/>
          <w:szCs w:val="28"/>
          <w:highlight w:val="none"/>
        </w:rPr>
        <w:t>稀释剂</w:t>
      </w:r>
      <w:r>
        <w:rPr>
          <w:rFonts w:hint="eastAsia" w:ascii="宋体" w:hAnsi="宋体" w:eastAsia="宋体" w:cs="宋体"/>
          <w:color w:val="auto"/>
          <w:sz w:val="28"/>
          <w:szCs w:val="28"/>
          <w:highlight w:val="none"/>
          <w:lang w:eastAsia="zh-CN"/>
        </w:rPr>
        <w:t>和</w:t>
      </w:r>
      <w:r>
        <w:rPr>
          <w:rFonts w:hint="eastAsia" w:ascii="宋体" w:hAnsi="宋体" w:cs="宋体"/>
          <w:color w:val="auto"/>
          <w:sz w:val="28"/>
          <w:szCs w:val="28"/>
          <w:highlight w:val="none"/>
          <w:lang w:eastAsia="zh-CN"/>
        </w:rPr>
        <w:t>油漆</w:t>
      </w:r>
      <w:r>
        <w:rPr>
          <w:rFonts w:hint="eastAsia" w:ascii="宋体" w:hAnsi="宋体" w:eastAsia="宋体" w:cs="宋体"/>
          <w:color w:val="auto"/>
          <w:sz w:val="28"/>
          <w:szCs w:val="28"/>
          <w:highlight w:val="none"/>
        </w:rPr>
        <w:t>固化剂</w:t>
      </w:r>
      <w:r>
        <w:rPr>
          <w:rFonts w:hint="eastAsia" w:ascii="宋体" w:hAnsi="宋体" w:cs="宋体"/>
          <w:color w:val="auto"/>
          <w:sz w:val="28"/>
          <w:szCs w:val="28"/>
          <w:highlight w:val="none"/>
        </w:rPr>
        <w:t>。</w:t>
      </w:r>
    </w:p>
    <w:p w14:paraId="644F4F09">
      <w:pPr>
        <w:adjustRightInd w:val="0"/>
        <w:snapToGrid w:val="0"/>
        <w:spacing w:line="360" w:lineRule="auto"/>
        <w:ind w:firstLine="560" w:firstLineChars="20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rPr>
        <w:t>为了贯彻“安全第一、预防为主、综合治理”的方针，根据</w:t>
      </w:r>
      <w:r>
        <w:rPr>
          <w:rFonts w:hint="eastAsia" w:ascii="Times New Roman" w:hAnsi="Times New Roman" w:cs="Times New Roman"/>
          <w:color w:val="auto"/>
          <w:sz w:val="28"/>
          <w:szCs w:val="28"/>
          <w:highlight w:val="none"/>
          <w:lang w:eastAsia="zh-CN"/>
        </w:rPr>
        <w:t>现行</w:t>
      </w:r>
      <w:r>
        <w:rPr>
          <w:rFonts w:hint="eastAsia" w:ascii="Times New Roman" w:hAnsi="Times New Roman" w:cs="Times New Roman"/>
          <w:color w:val="auto"/>
          <w:sz w:val="28"/>
          <w:szCs w:val="28"/>
          <w:highlight w:val="none"/>
        </w:rPr>
        <w:t>《危险化学品安全管理条例》</w:t>
      </w:r>
      <w:r>
        <w:rPr>
          <w:rFonts w:hint="eastAsia" w:ascii="宋体" w:hAnsi="宋体" w:cs="宋体"/>
          <w:b w:val="0"/>
          <w:bCs w:val="0"/>
          <w:color w:val="auto"/>
          <w:sz w:val="28"/>
          <w:szCs w:val="28"/>
          <w:highlight w:val="none"/>
          <w:lang w:val="en-US" w:eastAsia="zh-CN"/>
        </w:rPr>
        <w:t>和《</w:t>
      </w:r>
      <w:r>
        <w:rPr>
          <w:rFonts w:hint="eastAsia" w:ascii="宋体" w:hAnsi="宋体" w:eastAsia="宋体" w:cs="宋体"/>
          <w:b w:val="0"/>
          <w:bCs w:val="0"/>
          <w:i w:val="0"/>
          <w:iCs w:val="0"/>
          <w:caps w:val="0"/>
          <w:color w:val="auto"/>
          <w:spacing w:val="0"/>
          <w:sz w:val="28"/>
          <w:szCs w:val="28"/>
          <w:highlight w:val="none"/>
          <w:u w:val="none"/>
          <w:shd w:val="clear" w:fill="auto"/>
          <w:vertAlign w:val="baseline"/>
        </w:rPr>
        <w:t>浙江省安全生产条例</w:t>
      </w:r>
      <w:r>
        <w:rPr>
          <w:rFonts w:hint="eastAsia" w:ascii="宋体" w:hAnsi="宋体" w:eastAsia="宋体" w:cs="宋体"/>
          <w:b w:val="0"/>
          <w:bCs w:val="0"/>
          <w:i w:val="0"/>
          <w:iCs w:val="0"/>
          <w:caps w:val="0"/>
          <w:color w:val="auto"/>
          <w:spacing w:val="0"/>
          <w:sz w:val="28"/>
          <w:szCs w:val="28"/>
          <w:highlight w:val="none"/>
          <w:u w:val="none"/>
          <w:shd w:val="clear" w:fill="auto"/>
          <w:vertAlign w:val="baseline"/>
          <w:lang w:eastAsia="zh-CN"/>
        </w:rPr>
        <w:t>》</w:t>
      </w:r>
      <w:r>
        <w:rPr>
          <w:rFonts w:hint="eastAsia" w:ascii="宋体" w:hAnsi="宋体" w:cs="宋体"/>
          <w:color w:val="auto"/>
          <w:sz w:val="28"/>
          <w:szCs w:val="28"/>
          <w:highlight w:val="none"/>
          <w:lang w:val="en-US" w:eastAsia="zh-CN"/>
        </w:rPr>
        <w:t>等</w:t>
      </w:r>
      <w:r>
        <w:rPr>
          <w:rFonts w:hint="eastAsia" w:ascii="Times New Roman" w:hAnsi="Times New Roman" w:cs="Times New Roman"/>
          <w:color w:val="auto"/>
          <w:sz w:val="28"/>
          <w:szCs w:val="28"/>
          <w:highlight w:val="none"/>
        </w:rPr>
        <w:t>规定，</w:t>
      </w:r>
      <w:r>
        <w:rPr>
          <w:rFonts w:hint="eastAsia" w:ascii="宋体" w:hAnsi="宋体" w:eastAsia="宋体" w:cs="宋体"/>
          <w:color w:val="auto"/>
          <w:sz w:val="28"/>
          <w:szCs w:val="28"/>
          <w:highlight w:val="none"/>
        </w:rPr>
        <w:t>伟星临海钮扣分公司</w:t>
      </w:r>
      <w:r>
        <w:rPr>
          <w:rFonts w:hint="eastAsia" w:ascii="Times New Roman" w:hAnsi="Times New Roman" w:cs="Times New Roman"/>
          <w:color w:val="auto"/>
          <w:sz w:val="28"/>
          <w:szCs w:val="28"/>
          <w:highlight w:val="none"/>
        </w:rPr>
        <w:t>委托</w:t>
      </w:r>
      <w:r>
        <w:rPr>
          <w:rFonts w:hint="eastAsia" w:ascii="Times New Roman" w:hAnsi="Times New Roman" w:cs="Times New Roman"/>
          <w:color w:val="auto"/>
          <w:sz w:val="28"/>
          <w:szCs w:val="28"/>
          <w:highlight w:val="none"/>
          <w:lang w:eastAsia="zh-CN"/>
        </w:rPr>
        <w:t>山东实华安全技术有限公司</w:t>
      </w:r>
      <w:r>
        <w:rPr>
          <w:rFonts w:hint="eastAsia" w:ascii="Times New Roman" w:hAnsi="Times New Roman" w:cs="Times New Roman"/>
          <w:color w:val="auto"/>
          <w:sz w:val="28"/>
          <w:szCs w:val="28"/>
          <w:highlight w:val="none"/>
        </w:rPr>
        <w:t>对其危化品仓库进行专项安全现状评价。</w:t>
      </w:r>
    </w:p>
    <w:p w14:paraId="6D4F73CE">
      <w:pPr>
        <w:adjustRightInd w:val="0"/>
        <w:snapToGrid w:val="0"/>
        <w:spacing w:line="360" w:lineRule="auto"/>
        <w:ind w:firstLine="560" w:firstLineChars="200"/>
        <w:rPr>
          <w:rFonts w:ascii="Times New Roman" w:hAnsi="Times New Roman" w:cs="Times New Roman"/>
          <w:color w:val="auto"/>
          <w:sz w:val="28"/>
          <w:szCs w:val="28"/>
          <w:highlight w:val="none"/>
        </w:rPr>
        <w:sectPr>
          <w:headerReference r:id="rId5" w:type="default"/>
          <w:footerReference r:id="rId6" w:type="default"/>
          <w:pgSz w:w="11906" w:h="16838"/>
          <w:pgMar w:top="1418" w:right="1134" w:bottom="1134" w:left="1588" w:header="794" w:footer="794" w:gutter="0"/>
          <w:pgBorders>
            <w:top w:val="none" w:sz="0" w:space="0"/>
            <w:left w:val="none" w:sz="0" w:space="0"/>
            <w:bottom w:val="none" w:sz="0" w:space="0"/>
            <w:right w:val="none" w:sz="0" w:space="0"/>
          </w:pgBorders>
          <w:pgNumType w:fmt="upperRoman" w:start="1"/>
          <w:cols w:space="425" w:num="1"/>
          <w:docGrid w:linePitch="312" w:charSpace="0"/>
        </w:sectPr>
      </w:pPr>
      <w:r>
        <w:rPr>
          <w:rFonts w:hint="eastAsia" w:ascii="Times New Roman" w:hAnsi="Times New Roman" w:cs="Times New Roman"/>
          <w:color w:val="auto"/>
          <w:sz w:val="28"/>
          <w:szCs w:val="28"/>
          <w:highlight w:val="none"/>
        </w:rPr>
        <w:t>评价组依照国家现行有关安全</w:t>
      </w:r>
      <w:r>
        <w:rPr>
          <w:rFonts w:hint="eastAsia" w:ascii="Times New Roman" w:hAnsi="Times New Roman" w:cs="Times New Roman"/>
          <w:color w:val="auto"/>
          <w:sz w:val="28"/>
          <w:szCs w:val="28"/>
          <w:highlight w:val="none"/>
          <w:lang w:eastAsia="zh-CN"/>
        </w:rPr>
        <w:t>生产</w:t>
      </w:r>
      <w:r>
        <w:rPr>
          <w:rFonts w:hint="eastAsia" w:ascii="Times New Roman" w:hAnsi="Times New Roman" w:cs="Times New Roman"/>
          <w:color w:val="auto"/>
          <w:sz w:val="28"/>
          <w:szCs w:val="28"/>
          <w:highlight w:val="none"/>
        </w:rPr>
        <w:t>方面的</w:t>
      </w:r>
      <w:r>
        <w:rPr>
          <w:rFonts w:hint="eastAsia" w:ascii="Times New Roman" w:hAnsi="Times New Roman" w:cs="Times New Roman"/>
          <w:color w:val="auto"/>
          <w:sz w:val="28"/>
          <w:szCs w:val="28"/>
          <w:highlight w:val="none"/>
          <w:lang w:eastAsia="zh-CN"/>
        </w:rPr>
        <w:t>法律法规</w:t>
      </w:r>
      <w:r>
        <w:rPr>
          <w:rFonts w:hint="eastAsia" w:ascii="Times New Roman" w:hAnsi="Times New Roman" w:cs="Times New Roman"/>
          <w:color w:val="auto"/>
          <w:sz w:val="28"/>
          <w:szCs w:val="28"/>
          <w:highlight w:val="none"/>
        </w:rPr>
        <w:t>和标准，通过现场</w:t>
      </w:r>
      <w:r>
        <w:rPr>
          <w:rFonts w:hint="eastAsia" w:ascii="宋体" w:hAnsi="宋体" w:cs="宋体"/>
          <w:color w:val="auto"/>
          <w:kern w:val="0"/>
          <w:sz w:val="28"/>
          <w:szCs w:val="28"/>
          <w:highlight w:val="none"/>
        </w:rPr>
        <w:t>勘查</w:t>
      </w:r>
      <w:r>
        <w:rPr>
          <w:rFonts w:hint="eastAsia" w:ascii="Times New Roman" w:hAnsi="Times New Roman" w:cs="Times New Roman"/>
          <w:color w:val="auto"/>
          <w:sz w:val="28"/>
          <w:szCs w:val="28"/>
          <w:highlight w:val="none"/>
        </w:rPr>
        <w:t>，收集查阅有关资料，征求相关人员的意见，对危化品仓库进行分析论证，找出危化品仓库储存过程中存在的危险、有害因素，对可能产生的危害，提出了消除、预防或降低危险性的对策措施。在此基础上，编制完成了本评价报告。</w:t>
      </w:r>
      <w:r>
        <w:rPr>
          <w:rFonts w:ascii="Times New Roman" w:hAnsi="Times New Roman" w:cs="Times New Roman"/>
          <w:color w:val="auto"/>
          <w:sz w:val="28"/>
          <w:szCs w:val="28"/>
          <w:highlight w:val="none"/>
        </w:rPr>
        <w:t xml:space="preserve"> </w:t>
      </w:r>
    </w:p>
    <w:p w14:paraId="47BEEB70">
      <w:pPr>
        <w:adjustRightInd w:val="0"/>
        <w:snapToGrid w:val="0"/>
        <w:rPr>
          <w:color w:val="auto"/>
          <w:highlight w:val="none"/>
        </w:rPr>
      </w:pPr>
    </w:p>
    <w:p w14:paraId="317F854F">
      <w:pPr>
        <w:adjustRightInd w:val="0"/>
        <w:snapToGrid w:val="0"/>
        <w:rPr>
          <w:color w:val="auto"/>
          <w:highlight w:val="none"/>
        </w:rPr>
      </w:pPr>
    </w:p>
    <w:p w14:paraId="75884727">
      <w:pPr>
        <w:adjustRightInd w:val="0"/>
        <w:snapToGrid w:val="0"/>
        <w:rPr>
          <w:color w:val="auto"/>
          <w:highlight w:val="none"/>
        </w:rPr>
      </w:pPr>
    </w:p>
    <w:p w14:paraId="00083888">
      <w:pPr>
        <w:adjustRightInd w:val="0"/>
        <w:snapToGrid w:val="0"/>
        <w:rPr>
          <w:color w:val="auto"/>
          <w:highlight w:val="none"/>
        </w:rPr>
      </w:pPr>
    </w:p>
    <w:p w14:paraId="48099020">
      <w:pPr>
        <w:adjustRightInd w:val="0"/>
        <w:snapToGrid w:val="0"/>
        <w:rPr>
          <w:color w:val="auto"/>
          <w:highlight w:val="none"/>
        </w:rPr>
      </w:pPr>
    </w:p>
    <w:p w14:paraId="69074F5C">
      <w:pPr>
        <w:adjustRightInd w:val="0"/>
        <w:snapToGrid w:val="0"/>
        <w:rPr>
          <w:color w:val="auto"/>
          <w:highlight w:val="none"/>
        </w:rPr>
      </w:pPr>
    </w:p>
    <w:p w14:paraId="734DDBD5">
      <w:pPr>
        <w:adjustRightInd w:val="0"/>
        <w:snapToGrid w:val="0"/>
        <w:rPr>
          <w:color w:val="auto"/>
          <w:highlight w:val="none"/>
        </w:rPr>
      </w:pPr>
    </w:p>
    <w:p w14:paraId="2B8E34B9">
      <w:pPr>
        <w:adjustRightInd w:val="0"/>
        <w:snapToGrid w:val="0"/>
        <w:rPr>
          <w:color w:val="auto"/>
          <w:highlight w:val="none"/>
        </w:rPr>
      </w:pPr>
    </w:p>
    <w:p w14:paraId="1FD612EC">
      <w:pPr>
        <w:adjustRightInd w:val="0"/>
        <w:snapToGrid w:val="0"/>
        <w:rPr>
          <w:color w:val="auto"/>
          <w:highlight w:val="none"/>
        </w:rPr>
      </w:pPr>
    </w:p>
    <w:p w14:paraId="450FAFEF">
      <w:pPr>
        <w:adjustRightInd w:val="0"/>
        <w:snapToGrid w:val="0"/>
        <w:rPr>
          <w:color w:val="auto"/>
          <w:highlight w:val="none"/>
        </w:rPr>
      </w:pPr>
    </w:p>
    <w:p w14:paraId="3FF0D5B0">
      <w:pPr>
        <w:adjustRightInd w:val="0"/>
        <w:snapToGrid w:val="0"/>
        <w:rPr>
          <w:color w:val="auto"/>
          <w:highlight w:val="none"/>
        </w:rPr>
      </w:pPr>
    </w:p>
    <w:p w14:paraId="6732392B">
      <w:pPr>
        <w:adjustRightInd w:val="0"/>
        <w:snapToGrid w:val="0"/>
        <w:rPr>
          <w:color w:val="auto"/>
          <w:highlight w:val="none"/>
        </w:rPr>
      </w:pPr>
    </w:p>
    <w:p w14:paraId="064092E7">
      <w:pPr>
        <w:adjustRightInd w:val="0"/>
        <w:snapToGrid w:val="0"/>
        <w:rPr>
          <w:color w:val="auto"/>
          <w:highlight w:val="none"/>
        </w:rPr>
      </w:pPr>
    </w:p>
    <w:p w14:paraId="621FAD04">
      <w:pPr>
        <w:adjustRightInd w:val="0"/>
        <w:snapToGrid w:val="0"/>
        <w:rPr>
          <w:color w:val="auto"/>
          <w:highlight w:val="none"/>
        </w:rPr>
      </w:pPr>
    </w:p>
    <w:p w14:paraId="010AF7CD">
      <w:pPr>
        <w:adjustRightInd w:val="0"/>
        <w:snapToGrid w:val="0"/>
        <w:rPr>
          <w:color w:val="auto"/>
          <w:highlight w:val="none"/>
        </w:rPr>
      </w:pPr>
    </w:p>
    <w:p w14:paraId="3679D066">
      <w:pPr>
        <w:adjustRightInd w:val="0"/>
        <w:snapToGrid w:val="0"/>
        <w:rPr>
          <w:color w:val="auto"/>
          <w:highlight w:val="none"/>
        </w:rPr>
      </w:pPr>
    </w:p>
    <w:p w14:paraId="1B301706">
      <w:pPr>
        <w:adjustRightInd w:val="0"/>
        <w:snapToGrid w:val="0"/>
        <w:rPr>
          <w:color w:val="auto"/>
          <w:highlight w:val="none"/>
        </w:rPr>
      </w:pPr>
    </w:p>
    <w:p w14:paraId="79D3DD53">
      <w:pPr>
        <w:adjustRightInd w:val="0"/>
        <w:snapToGrid w:val="0"/>
        <w:rPr>
          <w:color w:val="auto"/>
          <w:highlight w:val="none"/>
        </w:rPr>
      </w:pPr>
    </w:p>
    <w:p w14:paraId="397CF724">
      <w:pPr>
        <w:adjustRightInd w:val="0"/>
        <w:snapToGrid w:val="0"/>
        <w:rPr>
          <w:color w:val="auto"/>
          <w:highlight w:val="none"/>
        </w:rPr>
      </w:pPr>
    </w:p>
    <w:p w14:paraId="649D3C06">
      <w:pPr>
        <w:adjustRightInd w:val="0"/>
        <w:snapToGrid w:val="0"/>
        <w:rPr>
          <w:color w:val="auto"/>
          <w:highlight w:val="none"/>
        </w:rPr>
      </w:pPr>
    </w:p>
    <w:p w14:paraId="3C985CFF">
      <w:pPr>
        <w:adjustRightInd w:val="0"/>
        <w:snapToGrid w:val="0"/>
        <w:rPr>
          <w:color w:val="auto"/>
          <w:highlight w:val="none"/>
        </w:rPr>
      </w:pPr>
    </w:p>
    <w:p w14:paraId="1962E2EB">
      <w:pPr>
        <w:adjustRightInd w:val="0"/>
        <w:snapToGrid w:val="0"/>
        <w:rPr>
          <w:color w:val="auto"/>
          <w:highlight w:val="none"/>
        </w:rPr>
      </w:pPr>
    </w:p>
    <w:p w14:paraId="36113280">
      <w:pPr>
        <w:adjustRightInd w:val="0"/>
        <w:snapToGrid w:val="0"/>
        <w:rPr>
          <w:color w:val="auto"/>
          <w:highlight w:val="none"/>
        </w:rPr>
      </w:pPr>
    </w:p>
    <w:p w14:paraId="6F3A01C1">
      <w:pPr>
        <w:adjustRightInd w:val="0"/>
        <w:snapToGrid w:val="0"/>
        <w:rPr>
          <w:color w:val="auto"/>
          <w:highlight w:val="none"/>
        </w:rPr>
      </w:pPr>
    </w:p>
    <w:p w14:paraId="61AA3601">
      <w:pPr>
        <w:adjustRightInd w:val="0"/>
        <w:snapToGrid w:val="0"/>
        <w:rPr>
          <w:color w:val="auto"/>
          <w:highlight w:val="none"/>
        </w:rPr>
      </w:pPr>
    </w:p>
    <w:p w14:paraId="45A5EC7A">
      <w:pPr>
        <w:adjustRightInd w:val="0"/>
        <w:snapToGrid w:val="0"/>
        <w:rPr>
          <w:color w:val="auto"/>
          <w:highlight w:val="none"/>
        </w:rPr>
      </w:pPr>
    </w:p>
    <w:p w14:paraId="7EFD6CFB">
      <w:pPr>
        <w:adjustRightInd w:val="0"/>
        <w:snapToGrid w:val="0"/>
        <w:rPr>
          <w:color w:val="auto"/>
          <w:highlight w:val="none"/>
        </w:rPr>
      </w:pPr>
    </w:p>
    <w:p w14:paraId="00B150EA">
      <w:pPr>
        <w:adjustRightInd w:val="0"/>
        <w:snapToGrid w:val="0"/>
        <w:rPr>
          <w:color w:val="auto"/>
          <w:highlight w:val="none"/>
        </w:rPr>
      </w:pPr>
    </w:p>
    <w:p w14:paraId="7149DE49">
      <w:pPr>
        <w:adjustRightInd w:val="0"/>
        <w:snapToGrid w:val="0"/>
        <w:rPr>
          <w:color w:val="auto"/>
          <w:highlight w:val="none"/>
        </w:rPr>
      </w:pPr>
    </w:p>
    <w:p w14:paraId="3C6CA084">
      <w:pPr>
        <w:adjustRightInd w:val="0"/>
        <w:snapToGrid w:val="0"/>
        <w:rPr>
          <w:color w:val="auto"/>
          <w:highlight w:val="none"/>
        </w:rPr>
      </w:pPr>
    </w:p>
    <w:p w14:paraId="57EFB392">
      <w:pPr>
        <w:adjustRightInd w:val="0"/>
        <w:snapToGrid w:val="0"/>
        <w:rPr>
          <w:color w:val="auto"/>
          <w:highlight w:val="none"/>
        </w:rPr>
      </w:pPr>
    </w:p>
    <w:p w14:paraId="24A72E29">
      <w:pPr>
        <w:adjustRightInd w:val="0"/>
        <w:snapToGrid w:val="0"/>
        <w:rPr>
          <w:color w:val="auto"/>
          <w:highlight w:val="none"/>
        </w:rPr>
      </w:pPr>
    </w:p>
    <w:p w14:paraId="78FB1D4C">
      <w:pPr>
        <w:adjustRightInd w:val="0"/>
        <w:snapToGrid w:val="0"/>
        <w:rPr>
          <w:color w:val="auto"/>
          <w:highlight w:val="none"/>
        </w:rPr>
      </w:pPr>
    </w:p>
    <w:p w14:paraId="3DFE3AAA">
      <w:pPr>
        <w:adjustRightInd w:val="0"/>
        <w:snapToGrid w:val="0"/>
        <w:rPr>
          <w:color w:val="auto"/>
          <w:highlight w:val="none"/>
        </w:rPr>
      </w:pPr>
    </w:p>
    <w:p w14:paraId="4D579EDE">
      <w:pPr>
        <w:adjustRightInd w:val="0"/>
        <w:snapToGrid w:val="0"/>
        <w:rPr>
          <w:color w:val="auto"/>
          <w:highlight w:val="none"/>
        </w:rPr>
      </w:pPr>
    </w:p>
    <w:p w14:paraId="372D2FF5">
      <w:pPr>
        <w:adjustRightInd w:val="0"/>
        <w:snapToGrid w:val="0"/>
        <w:rPr>
          <w:color w:val="auto"/>
          <w:highlight w:val="none"/>
        </w:rPr>
      </w:pPr>
    </w:p>
    <w:p w14:paraId="6F95957B">
      <w:pPr>
        <w:adjustRightInd w:val="0"/>
        <w:snapToGrid w:val="0"/>
        <w:rPr>
          <w:color w:val="auto"/>
          <w:highlight w:val="none"/>
        </w:rPr>
      </w:pPr>
    </w:p>
    <w:p w14:paraId="7501227A">
      <w:pPr>
        <w:adjustRightInd w:val="0"/>
        <w:snapToGrid w:val="0"/>
        <w:rPr>
          <w:color w:val="auto"/>
          <w:highlight w:val="none"/>
        </w:rPr>
      </w:pPr>
    </w:p>
    <w:p w14:paraId="24099DC0">
      <w:pPr>
        <w:adjustRightInd w:val="0"/>
        <w:snapToGrid w:val="0"/>
        <w:rPr>
          <w:color w:val="auto"/>
          <w:highlight w:val="none"/>
        </w:rPr>
      </w:pPr>
    </w:p>
    <w:p w14:paraId="1B53B725">
      <w:pPr>
        <w:adjustRightInd w:val="0"/>
        <w:snapToGrid w:val="0"/>
        <w:rPr>
          <w:color w:val="auto"/>
          <w:highlight w:val="none"/>
        </w:rPr>
      </w:pPr>
    </w:p>
    <w:p w14:paraId="61F6F311">
      <w:pPr>
        <w:adjustRightInd w:val="0"/>
        <w:snapToGrid w:val="0"/>
        <w:rPr>
          <w:color w:val="auto"/>
          <w:highlight w:val="none"/>
        </w:rPr>
      </w:pPr>
    </w:p>
    <w:p w14:paraId="45401A99">
      <w:pPr>
        <w:adjustRightInd w:val="0"/>
        <w:snapToGrid w:val="0"/>
        <w:rPr>
          <w:color w:val="auto"/>
          <w:highlight w:val="none"/>
        </w:rPr>
      </w:pPr>
    </w:p>
    <w:p w14:paraId="263F086F">
      <w:pPr>
        <w:adjustRightInd w:val="0"/>
        <w:snapToGrid w:val="0"/>
        <w:rPr>
          <w:color w:val="auto"/>
          <w:highlight w:val="none"/>
        </w:rPr>
      </w:pPr>
    </w:p>
    <w:p w14:paraId="1C4FBBFE">
      <w:pPr>
        <w:adjustRightInd w:val="0"/>
        <w:snapToGrid w:val="0"/>
        <w:rPr>
          <w:color w:val="auto"/>
          <w:highlight w:val="none"/>
        </w:rPr>
      </w:pPr>
    </w:p>
    <w:p w14:paraId="1AF0CC60">
      <w:pPr>
        <w:tabs>
          <w:tab w:val="left" w:pos="3900"/>
        </w:tabs>
        <w:adjustRightInd w:val="0"/>
        <w:snapToGrid w:val="0"/>
        <w:rPr>
          <w:color w:val="auto"/>
          <w:highlight w:val="none"/>
        </w:rPr>
      </w:pPr>
      <w:r>
        <w:rPr>
          <w:color w:val="auto"/>
          <w:highlight w:val="none"/>
        </w:rPr>
        <w:tab/>
      </w:r>
    </w:p>
    <w:p w14:paraId="0ED54D8C">
      <w:pPr>
        <w:pStyle w:val="41"/>
        <w:adjustRightInd w:val="0"/>
        <w:snapToGrid w:val="0"/>
        <w:rPr>
          <w:color w:val="auto"/>
          <w:highlight w:val="none"/>
        </w:rPr>
        <w:sectPr>
          <w:headerReference r:id="rId7" w:type="default"/>
          <w:pgSz w:w="11906" w:h="16838"/>
          <w:pgMar w:top="1418" w:right="1134" w:bottom="1134" w:left="1588" w:header="794" w:footer="794" w:gutter="0"/>
          <w:pgBorders>
            <w:top w:val="none" w:sz="0" w:space="0"/>
            <w:left w:val="none" w:sz="0" w:space="0"/>
            <w:bottom w:val="none" w:sz="0" w:space="0"/>
            <w:right w:val="none" w:sz="0" w:space="0"/>
          </w:pgBorders>
          <w:pgNumType w:fmt="upperRoman"/>
          <w:cols w:space="425" w:num="1"/>
          <w:docGrid w:type="lines" w:linePitch="312" w:charSpace="0"/>
        </w:sectPr>
      </w:pPr>
      <w:bookmarkStart w:id="21" w:name="_Toc494443238"/>
      <w:bookmarkStart w:id="22" w:name="_Toc444443013"/>
      <w:bookmarkStart w:id="23" w:name="_Toc498075548"/>
      <w:bookmarkStart w:id="24" w:name="_Toc440978893"/>
      <w:bookmarkStart w:id="25" w:name="_Toc441232211"/>
      <w:bookmarkStart w:id="26" w:name="_Toc440978310"/>
      <w:bookmarkStart w:id="27" w:name="_Toc477441879"/>
      <w:bookmarkStart w:id="28" w:name="_Toc464630171"/>
      <w:bookmarkStart w:id="29" w:name="_Toc464585160"/>
      <w:bookmarkStart w:id="30" w:name="_Toc463782671"/>
      <w:bookmarkStart w:id="31" w:name="_Toc462641585"/>
      <w:bookmarkStart w:id="32" w:name="_Toc461524567"/>
    </w:p>
    <w:p w14:paraId="452F8C10">
      <w:pPr>
        <w:pStyle w:val="98"/>
        <w:spacing w:before="240" w:after="240"/>
        <w:rPr>
          <w:rFonts w:hint="eastAsia" w:ascii="黑体" w:hAnsi="黑体" w:cs="黑体"/>
          <w:color w:val="auto"/>
          <w:highlight w:val="none"/>
        </w:rPr>
      </w:pPr>
      <w:bookmarkStart w:id="33" w:name="_Toc7288"/>
      <w:bookmarkStart w:id="34" w:name="_Toc2270"/>
      <w:bookmarkStart w:id="35" w:name="_Toc12400"/>
      <w:bookmarkStart w:id="36" w:name="_Toc32123"/>
      <w:bookmarkStart w:id="37" w:name="_Toc14367"/>
      <w:bookmarkStart w:id="38" w:name="_Toc3985"/>
      <w:bookmarkStart w:id="39" w:name="_Toc10861"/>
      <w:bookmarkStart w:id="40" w:name="_Toc5828"/>
      <w:bookmarkStart w:id="41" w:name="_Toc2235"/>
      <w:bookmarkStart w:id="42" w:name="_Toc21383"/>
      <w:bookmarkStart w:id="43" w:name="_Toc23134"/>
      <w:bookmarkStart w:id="44" w:name="_Toc8619"/>
      <w:r>
        <w:rPr>
          <w:rFonts w:hint="eastAsia" w:ascii="黑体" w:hAnsi="黑体" w:cs="黑体"/>
          <w:color w:val="auto"/>
          <w:highlight w:val="none"/>
        </w:rPr>
        <w:t>目  录</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Start w:id="1993" w:name="_GoBack"/>
      <w:bookmarkEnd w:id="1993"/>
    </w:p>
    <w:p w14:paraId="1C1F9CE8">
      <w:pPr>
        <w:pStyle w:val="41"/>
        <w:tabs>
          <w:tab w:val="right" w:leader="dot" w:pos="9184"/>
          <w:tab w:val="clear" w:pos="9174"/>
        </w:tabs>
        <w:jc w:val="left"/>
        <w:rPr>
          <w:rFonts w:hint="eastAsia" w:ascii="宋体" w:hAnsi="宋体" w:eastAsia="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color w:val="auto"/>
          <w:kern w:val="52"/>
          <w:sz w:val="28"/>
          <w:szCs w:val="28"/>
          <w:highlight w:val="none"/>
          <w:lang w:val="zh-CN"/>
        </w:rPr>
        <w:instrText xml:space="preserve"> TOC \o "1-3" \h \z \u </w:instrText>
      </w:r>
      <w:r>
        <w:rPr>
          <w:rFonts w:hint="eastAsia" w:ascii="宋体" w:hAnsi="宋体" w:eastAsia="宋体" w:cs="宋体"/>
          <w:b w:val="0"/>
          <w:bCs w:val="0"/>
          <w:i w:val="0"/>
          <w:iCs w:val="0"/>
          <w:snapToGrid w:val="0"/>
          <w:color w:val="auto"/>
          <w:kern w:val="52"/>
          <w:sz w:val="28"/>
          <w:szCs w:val="28"/>
          <w:highlight w:val="none"/>
          <w:lang w:val="zh-CN"/>
        </w:rPr>
        <w:fldChar w:fldCharType="separate"/>
      </w: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_Toc20800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1 编制说明</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_Toc20800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1</w:t>
      </w:r>
      <w:r>
        <w:rPr>
          <w:rFonts w:hint="eastAsia" w:ascii="宋体" w:hAnsi="宋体" w:eastAsia="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C9E657F">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_Toc30183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1.1 评价目的</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_Toc30183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35C7D12">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_Toc8818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1.2 评价依据</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_Toc8818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EDB2261">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_Toc28480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rPr>
        <w:t xml:space="preserve">1.2.1 </w:t>
      </w:r>
      <w:r>
        <w:rPr>
          <w:rFonts w:hint="eastAsia" w:ascii="宋体" w:hAnsi="宋体" w:eastAsia="宋体" w:cs="宋体"/>
          <w:b w:val="0"/>
          <w:bCs w:val="0"/>
          <w:sz w:val="28"/>
          <w:szCs w:val="28"/>
          <w:highlight w:val="none"/>
        </w:rPr>
        <w:t>主要法律法规</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_Toc28480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0265C8B">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_Toc27571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rPr>
        <w:t xml:space="preserve">1.2.2 </w:t>
      </w:r>
      <w:r>
        <w:rPr>
          <w:rFonts w:hint="eastAsia" w:ascii="宋体" w:hAnsi="宋体" w:eastAsia="宋体" w:cs="宋体"/>
          <w:b w:val="0"/>
          <w:bCs w:val="0"/>
          <w:sz w:val="28"/>
          <w:szCs w:val="28"/>
          <w:highlight w:val="none"/>
        </w:rPr>
        <w:t>主要标准规范</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_Toc27571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3</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01F13BC">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_Toc32564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rPr>
        <w:t xml:space="preserve">1.2.3 </w:t>
      </w:r>
      <w:r>
        <w:rPr>
          <w:rFonts w:hint="eastAsia" w:ascii="宋体" w:hAnsi="宋体" w:eastAsia="宋体" w:cs="宋体"/>
          <w:b w:val="0"/>
          <w:bCs w:val="0"/>
          <w:sz w:val="28"/>
          <w:szCs w:val="28"/>
          <w:highlight w:val="none"/>
        </w:rPr>
        <w:t>其他资料</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_Toc32564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3</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DB62610">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_Toc23381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1.3</w:t>
      </w:r>
      <w:r>
        <w:rPr>
          <w:rFonts w:hint="eastAsia" w:ascii="宋体" w:hAnsi="宋体" w:eastAsia="宋体" w:cs="宋体"/>
          <w:b w:val="0"/>
          <w:bCs w:val="0"/>
          <w:sz w:val="28"/>
          <w:szCs w:val="28"/>
          <w:highlight w:val="none"/>
          <w:lang w:val="en-US" w:eastAsia="zh-CN"/>
        </w:rPr>
        <w:t xml:space="preserve"> </w:t>
      </w:r>
      <w:r>
        <w:rPr>
          <w:rFonts w:hint="eastAsia" w:ascii="宋体" w:hAnsi="宋体" w:eastAsia="宋体" w:cs="宋体"/>
          <w:b w:val="0"/>
          <w:bCs w:val="0"/>
          <w:sz w:val="28"/>
          <w:szCs w:val="28"/>
          <w:highlight w:val="none"/>
        </w:rPr>
        <w:t>评价原则</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_Toc23381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163A0D31">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_Toc14278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1.</w:t>
      </w:r>
      <w:r>
        <w:rPr>
          <w:rFonts w:hint="eastAsia" w:ascii="宋体" w:hAnsi="宋体" w:eastAsia="宋体" w:cs="宋体"/>
          <w:b w:val="0"/>
          <w:bCs w:val="0"/>
          <w:sz w:val="28"/>
          <w:szCs w:val="28"/>
          <w:highlight w:val="none"/>
          <w:lang w:val="en-US" w:eastAsia="zh-CN"/>
        </w:rPr>
        <w:t xml:space="preserve">4 </w:t>
      </w:r>
      <w:r>
        <w:rPr>
          <w:rFonts w:hint="eastAsia" w:ascii="宋体" w:hAnsi="宋体" w:eastAsia="宋体" w:cs="宋体"/>
          <w:b w:val="0"/>
          <w:bCs w:val="0"/>
          <w:sz w:val="28"/>
          <w:szCs w:val="28"/>
          <w:highlight w:val="none"/>
        </w:rPr>
        <w:t>评价范围</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_Toc14278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97F4497">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_Toc70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1.</w:t>
      </w:r>
      <w:r>
        <w:rPr>
          <w:rFonts w:hint="eastAsia" w:ascii="宋体" w:hAnsi="宋体" w:eastAsia="宋体" w:cs="宋体"/>
          <w:b w:val="0"/>
          <w:bCs w:val="0"/>
          <w:sz w:val="28"/>
          <w:szCs w:val="28"/>
          <w:highlight w:val="none"/>
          <w:lang w:val="en-US" w:eastAsia="zh-CN"/>
        </w:rPr>
        <w:t xml:space="preserve">5 </w:t>
      </w:r>
      <w:r>
        <w:rPr>
          <w:rFonts w:hint="eastAsia" w:ascii="宋体" w:hAnsi="宋体" w:eastAsia="宋体" w:cs="宋体"/>
          <w:b w:val="0"/>
          <w:bCs w:val="0"/>
          <w:sz w:val="28"/>
          <w:szCs w:val="28"/>
          <w:highlight w:val="none"/>
        </w:rPr>
        <w:t>评价程序</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_Toc70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52B016EA">
      <w:pPr>
        <w:pStyle w:val="41"/>
        <w:tabs>
          <w:tab w:val="right" w:leader="dot" w:pos="9184"/>
          <w:tab w:val="clear" w:pos="9174"/>
        </w:tabs>
        <w:jc w:val="left"/>
        <w:rPr>
          <w:rFonts w:hint="eastAsia" w:ascii="宋体" w:hAnsi="宋体" w:eastAsia="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_Toc24568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 项目概况</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_Toc24568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6</w:t>
      </w:r>
      <w:r>
        <w:rPr>
          <w:rFonts w:hint="eastAsia" w:ascii="宋体" w:hAnsi="宋体" w:eastAsia="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7047518">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_Toc23871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2.1 企业简介</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_Toc23871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5834906">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_Toc30854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2.2 地理位置</w:t>
      </w:r>
      <w:r>
        <w:rPr>
          <w:rFonts w:hint="eastAsia" w:ascii="宋体" w:hAnsi="宋体" w:eastAsia="宋体" w:cs="宋体"/>
          <w:b w:val="0"/>
          <w:bCs w:val="0"/>
          <w:sz w:val="28"/>
          <w:szCs w:val="28"/>
          <w:highlight w:val="none"/>
          <w:lang w:eastAsia="zh-CN"/>
        </w:rPr>
        <w:t>、周边环境和</w:t>
      </w:r>
      <w:r>
        <w:rPr>
          <w:rFonts w:hint="eastAsia" w:ascii="宋体" w:hAnsi="宋体" w:eastAsia="宋体" w:cs="宋体"/>
          <w:b w:val="0"/>
          <w:bCs w:val="0"/>
          <w:sz w:val="28"/>
          <w:szCs w:val="28"/>
          <w:highlight w:val="none"/>
        </w:rPr>
        <w:t>自然条件</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_Toc30854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9E45FBC">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_Toc29902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2.2.1 地理位置</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_Toc29902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59099E6C">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_Toc16203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2.2</w:t>
      </w:r>
      <w:r>
        <w:rPr>
          <w:rFonts w:hint="eastAsia" w:ascii="宋体" w:hAnsi="宋体" w:eastAsia="宋体" w:cs="宋体"/>
          <w:b w:val="0"/>
          <w:bCs w:val="0"/>
          <w:sz w:val="28"/>
          <w:szCs w:val="28"/>
          <w:highlight w:val="none"/>
        </w:rPr>
        <w:t xml:space="preserve"> 周边环境</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_Toc16203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7</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1A7904DE">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_Toc25798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2.2.</w:t>
      </w:r>
      <w:r>
        <w:rPr>
          <w:rFonts w:hint="eastAsia" w:ascii="宋体" w:hAnsi="宋体" w:eastAsia="宋体" w:cs="宋体"/>
          <w:b w:val="0"/>
          <w:bCs w:val="0"/>
          <w:sz w:val="28"/>
          <w:szCs w:val="28"/>
          <w:highlight w:val="none"/>
          <w:lang w:val="en-US" w:eastAsia="zh-CN"/>
        </w:rPr>
        <w:t xml:space="preserve">3 </w:t>
      </w:r>
      <w:r>
        <w:rPr>
          <w:rFonts w:hint="eastAsia" w:ascii="宋体" w:hAnsi="宋体" w:eastAsia="宋体" w:cs="宋体"/>
          <w:b w:val="0"/>
          <w:bCs w:val="0"/>
          <w:sz w:val="28"/>
          <w:szCs w:val="28"/>
          <w:highlight w:val="none"/>
        </w:rPr>
        <w:t>自然条件</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_Toc25798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8</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1DAB4AE">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_Toc23722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3</w:t>
      </w:r>
      <w:r>
        <w:rPr>
          <w:rFonts w:hint="eastAsia" w:ascii="宋体" w:hAnsi="宋体" w:eastAsia="宋体" w:cs="宋体"/>
          <w:b w:val="0"/>
          <w:bCs w:val="0"/>
          <w:sz w:val="28"/>
          <w:szCs w:val="28"/>
          <w:highlight w:val="none"/>
        </w:rPr>
        <w:t xml:space="preserve"> </w:t>
      </w:r>
      <w:r>
        <w:rPr>
          <w:rFonts w:hint="eastAsia" w:ascii="宋体" w:hAnsi="宋体" w:eastAsia="宋体" w:cs="宋体"/>
          <w:b w:val="0"/>
          <w:bCs w:val="0"/>
          <w:sz w:val="28"/>
          <w:szCs w:val="28"/>
          <w:highlight w:val="none"/>
          <w:lang w:eastAsia="zh-CN"/>
        </w:rPr>
        <w:t>总平面布置</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_Toc23722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10</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2E5C87BC">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_Toc13670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 xml:space="preserve">2.4 </w:t>
      </w:r>
      <w:r>
        <w:rPr>
          <w:rFonts w:hint="eastAsia" w:ascii="宋体" w:hAnsi="宋体" w:eastAsia="宋体" w:cs="宋体"/>
          <w:b w:val="0"/>
          <w:bCs w:val="0"/>
          <w:sz w:val="28"/>
          <w:szCs w:val="28"/>
          <w:highlight w:val="none"/>
          <w:lang w:eastAsia="zh-CN"/>
        </w:rPr>
        <w:t>建筑物</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_Toc13670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4A61E21">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_Toc8586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5</w:t>
      </w:r>
      <w:r>
        <w:rPr>
          <w:rFonts w:hint="eastAsia" w:ascii="宋体" w:hAnsi="宋体" w:eastAsia="宋体" w:cs="宋体"/>
          <w:b w:val="0"/>
          <w:bCs w:val="0"/>
          <w:sz w:val="28"/>
          <w:szCs w:val="28"/>
          <w:highlight w:val="none"/>
        </w:rPr>
        <w:t>危险化学品储存工艺及装卸</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_Toc8586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12</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5ECFAFBE">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_Toc14439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 xml:space="preserve">6 </w:t>
      </w:r>
      <w:r>
        <w:rPr>
          <w:rFonts w:hint="eastAsia" w:ascii="宋体" w:hAnsi="宋体" w:eastAsia="宋体" w:cs="宋体"/>
          <w:b w:val="0"/>
          <w:bCs w:val="0"/>
          <w:sz w:val="28"/>
          <w:szCs w:val="28"/>
          <w:highlight w:val="none"/>
        </w:rPr>
        <w:t>危险化学品储存</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_Toc14439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13</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16F09EE3">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_Toc32612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 xml:space="preserve">7 </w:t>
      </w:r>
      <w:r>
        <w:rPr>
          <w:rFonts w:hint="eastAsia" w:ascii="宋体" w:hAnsi="宋体" w:eastAsia="宋体" w:cs="宋体"/>
          <w:b w:val="0"/>
          <w:bCs w:val="0"/>
          <w:sz w:val="28"/>
          <w:szCs w:val="28"/>
          <w:highlight w:val="none"/>
        </w:rPr>
        <w:t>主要设备</w:t>
      </w:r>
      <w:r>
        <w:rPr>
          <w:rFonts w:hint="eastAsia" w:ascii="宋体" w:hAnsi="宋体" w:eastAsia="宋体" w:cs="宋体"/>
          <w:b w:val="0"/>
          <w:bCs w:val="0"/>
          <w:sz w:val="28"/>
          <w:szCs w:val="28"/>
          <w:highlight w:val="none"/>
          <w:lang w:eastAsia="zh-CN"/>
        </w:rPr>
        <w:t>和安全设施</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_Toc32612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14</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6AC4C669">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_Toc28507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lang w:val="en-US" w:eastAsia="zh-CN"/>
        </w:rPr>
        <w:t>2.7.1 主要设备</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_Toc28507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14</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1582E75">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_Toc22943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lang w:val="en-US" w:eastAsia="zh-CN"/>
        </w:rPr>
        <w:t>2.7.2 安全设施</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_Toc22943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14</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D0A0A89">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_Toc4492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8</w:t>
      </w:r>
      <w:r>
        <w:rPr>
          <w:rFonts w:hint="eastAsia" w:ascii="宋体" w:hAnsi="宋体" w:eastAsia="宋体" w:cs="宋体"/>
          <w:b w:val="0"/>
          <w:bCs w:val="0"/>
          <w:sz w:val="28"/>
          <w:szCs w:val="28"/>
          <w:highlight w:val="none"/>
        </w:rPr>
        <w:t xml:space="preserve"> 公用工程及其辅助设备</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_Toc4492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15</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6B4AF3C6">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_Toc22026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8</w:t>
      </w:r>
      <w:r>
        <w:rPr>
          <w:rFonts w:hint="eastAsia" w:ascii="宋体" w:hAnsi="宋体" w:eastAsia="宋体" w:cs="宋体"/>
          <w:b w:val="0"/>
          <w:bCs w:val="0"/>
          <w:sz w:val="28"/>
          <w:szCs w:val="28"/>
          <w:highlight w:val="none"/>
        </w:rPr>
        <w:t>.1 供水</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_Toc22026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15</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657DE7E8">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_Toc4723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8</w:t>
      </w:r>
      <w:r>
        <w:rPr>
          <w:rFonts w:hint="eastAsia" w:ascii="宋体" w:hAnsi="宋体" w:eastAsia="宋体" w:cs="宋体"/>
          <w:b w:val="0"/>
          <w:bCs w:val="0"/>
          <w:sz w:val="28"/>
          <w:szCs w:val="28"/>
          <w:highlight w:val="none"/>
        </w:rPr>
        <w:t>.2 供电</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_Toc4723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15</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9BD1BF2">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_Toc4987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8</w:t>
      </w:r>
      <w:r>
        <w:rPr>
          <w:rFonts w:hint="eastAsia" w:ascii="宋体" w:hAnsi="宋体" w:eastAsia="宋体" w:cs="宋体"/>
          <w:b w:val="0"/>
          <w:bCs w:val="0"/>
          <w:sz w:val="28"/>
          <w:szCs w:val="28"/>
          <w:highlight w:val="none"/>
        </w:rPr>
        <w:t>.3 消防</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_Toc4987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15</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C397B79">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_Toc12746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 xml:space="preserve">9 </w:t>
      </w:r>
      <w:r>
        <w:rPr>
          <w:rFonts w:hint="eastAsia" w:ascii="宋体" w:hAnsi="宋体" w:eastAsia="宋体" w:cs="宋体"/>
          <w:b w:val="0"/>
          <w:bCs w:val="0"/>
          <w:sz w:val="28"/>
          <w:szCs w:val="28"/>
          <w:highlight w:val="none"/>
        </w:rPr>
        <w:t>工作制度与劳动定员</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_Toc12746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15</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F913B5A">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_Toc26137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9</w:t>
      </w:r>
      <w:r>
        <w:rPr>
          <w:rFonts w:hint="eastAsia" w:ascii="宋体" w:hAnsi="宋体" w:eastAsia="宋体" w:cs="宋体"/>
          <w:b w:val="0"/>
          <w:bCs w:val="0"/>
          <w:sz w:val="28"/>
          <w:szCs w:val="28"/>
          <w:highlight w:val="none"/>
        </w:rPr>
        <w:t>.1 工作制度</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_Toc26137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5AD2BC07">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_Toc291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w:t>
      </w:r>
      <w:r>
        <w:rPr>
          <w:rFonts w:hint="eastAsia" w:ascii="宋体" w:hAnsi="宋体" w:eastAsia="宋体" w:cs="宋体"/>
          <w:b w:val="0"/>
          <w:bCs w:val="0"/>
          <w:sz w:val="28"/>
          <w:szCs w:val="28"/>
          <w:highlight w:val="none"/>
          <w:lang w:val="en-US" w:eastAsia="zh-CN"/>
        </w:rPr>
        <w:t>9</w:t>
      </w:r>
      <w:r>
        <w:rPr>
          <w:rFonts w:hint="eastAsia" w:ascii="宋体" w:hAnsi="宋体" w:eastAsia="宋体" w:cs="宋体"/>
          <w:b w:val="0"/>
          <w:bCs w:val="0"/>
          <w:sz w:val="28"/>
          <w:szCs w:val="28"/>
          <w:highlight w:val="none"/>
        </w:rPr>
        <w:t>.2 劳动定员</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_Toc291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783EC7B">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_Toc5906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2.1</w:t>
      </w:r>
      <w:r>
        <w:rPr>
          <w:rFonts w:hint="eastAsia" w:ascii="宋体" w:hAnsi="宋体" w:eastAsia="宋体" w:cs="宋体"/>
          <w:b w:val="0"/>
          <w:bCs w:val="0"/>
          <w:sz w:val="28"/>
          <w:szCs w:val="28"/>
          <w:highlight w:val="none"/>
          <w:lang w:val="en-US" w:eastAsia="zh-CN"/>
        </w:rPr>
        <w:t>0</w:t>
      </w:r>
      <w:r>
        <w:rPr>
          <w:rFonts w:hint="eastAsia" w:ascii="宋体" w:hAnsi="宋体" w:eastAsia="宋体" w:cs="宋体"/>
          <w:b w:val="0"/>
          <w:bCs w:val="0"/>
          <w:sz w:val="28"/>
          <w:szCs w:val="28"/>
          <w:highlight w:val="none"/>
        </w:rPr>
        <w:t xml:space="preserve"> 安全管理</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_Toc5906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B0E2A27">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_Toc13139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2.1</w:t>
      </w:r>
      <w:r>
        <w:rPr>
          <w:rFonts w:hint="eastAsia" w:ascii="宋体" w:hAnsi="宋体" w:eastAsia="宋体" w:cs="宋体"/>
          <w:b w:val="0"/>
          <w:bCs w:val="0"/>
          <w:sz w:val="28"/>
          <w:szCs w:val="28"/>
          <w:highlight w:val="none"/>
          <w:lang w:val="en-US" w:eastAsia="zh-CN"/>
        </w:rPr>
        <w:t>0</w:t>
      </w:r>
      <w:r>
        <w:rPr>
          <w:rFonts w:hint="eastAsia" w:ascii="宋体" w:hAnsi="宋体" w:eastAsia="宋体" w:cs="宋体"/>
          <w:b w:val="0"/>
          <w:bCs w:val="0"/>
          <w:sz w:val="28"/>
          <w:szCs w:val="28"/>
          <w:highlight w:val="none"/>
        </w:rPr>
        <w:t>.1 安全管理组织机构</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_Toc13139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A960DAD">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_Toc19154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2.1</w:t>
      </w:r>
      <w:r>
        <w:rPr>
          <w:rFonts w:hint="eastAsia" w:ascii="宋体" w:hAnsi="宋体" w:eastAsia="宋体" w:cs="宋体"/>
          <w:b w:val="0"/>
          <w:bCs w:val="0"/>
          <w:sz w:val="28"/>
          <w:szCs w:val="28"/>
          <w:highlight w:val="none"/>
          <w:lang w:val="en-US" w:eastAsia="zh-CN"/>
        </w:rPr>
        <w:t>0</w:t>
      </w:r>
      <w:r>
        <w:rPr>
          <w:rFonts w:hint="eastAsia" w:ascii="宋体" w:hAnsi="宋体" w:eastAsia="宋体" w:cs="宋体"/>
          <w:b w:val="0"/>
          <w:bCs w:val="0"/>
          <w:sz w:val="28"/>
          <w:szCs w:val="28"/>
          <w:highlight w:val="none"/>
        </w:rPr>
        <w:t>.</w:t>
      </w:r>
      <w:r>
        <w:rPr>
          <w:rFonts w:hint="eastAsia" w:ascii="宋体" w:hAnsi="宋体" w:eastAsia="宋体" w:cs="宋体"/>
          <w:b w:val="0"/>
          <w:bCs w:val="0"/>
          <w:sz w:val="28"/>
          <w:szCs w:val="28"/>
          <w:highlight w:val="none"/>
          <w:lang w:val="en-US" w:eastAsia="zh-CN"/>
        </w:rPr>
        <w:t>2</w:t>
      </w:r>
      <w:r>
        <w:rPr>
          <w:rFonts w:hint="eastAsia" w:ascii="宋体" w:hAnsi="宋体" w:eastAsia="宋体" w:cs="宋体"/>
          <w:b w:val="0"/>
          <w:bCs w:val="0"/>
          <w:sz w:val="28"/>
          <w:szCs w:val="28"/>
          <w:highlight w:val="none"/>
        </w:rPr>
        <w:t xml:space="preserve"> 人员的安全资质证书</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_Toc19154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61DBF71F">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_Toc27707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2.1</w:t>
      </w:r>
      <w:r>
        <w:rPr>
          <w:rFonts w:hint="eastAsia" w:ascii="宋体" w:hAnsi="宋体" w:eastAsia="宋体" w:cs="宋体"/>
          <w:b w:val="0"/>
          <w:bCs w:val="0"/>
          <w:sz w:val="28"/>
          <w:szCs w:val="28"/>
          <w:highlight w:val="none"/>
          <w:lang w:val="en-US" w:eastAsia="zh-CN"/>
        </w:rPr>
        <w:t>0</w:t>
      </w:r>
      <w:r>
        <w:rPr>
          <w:rFonts w:hint="eastAsia" w:ascii="宋体" w:hAnsi="宋体" w:eastAsia="宋体" w:cs="宋体"/>
          <w:b w:val="0"/>
          <w:bCs w:val="0"/>
          <w:sz w:val="28"/>
          <w:szCs w:val="28"/>
          <w:highlight w:val="none"/>
        </w:rPr>
        <w:t>.</w:t>
      </w:r>
      <w:r>
        <w:rPr>
          <w:rFonts w:hint="eastAsia" w:ascii="宋体" w:hAnsi="宋体" w:eastAsia="宋体" w:cs="宋体"/>
          <w:b w:val="0"/>
          <w:bCs w:val="0"/>
          <w:sz w:val="28"/>
          <w:szCs w:val="28"/>
          <w:highlight w:val="none"/>
          <w:lang w:val="en-US" w:eastAsia="zh-CN"/>
        </w:rPr>
        <w:t>3</w:t>
      </w:r>
      <w:r>
        <w:rPr>
          <w:rFonts w:hint="eastAsia" w:ascii="宋体" w:hAnsi="宋体" w:eastAsia="宋体" w:cs="宋体"/>
          <w:b w:val="0"/>
          <w:bCs w:val="0"/>
          <w:sz w:val="28"/>
          <w:szCs w:val="28"/>
          <w:highlight w:val="none"/>
        </w:rPr>
        <w:t xml:space="preserve"> 安全管理制度及操作规程</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_Toc27707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18</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5014E817">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_Toc2623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2.1</w:t>
      </w:r>
      <w:r>
        <w:rPr>
          <w:rFonts w:hint="eastAsia" w:ascii="宋体" w:hAnsi="宋体" w:eastAsia="宋体" w:cs="宋体"/>
          <w:b w:val="0"/>
          <w:bCs w:val="0"/>
          <w:sz w:val="28"/>
          <w:szCs w:val="28"/>
          <w:highlight w:val="none"/>
          <w:lang w:val="en-US" w:eastAsia="zh-CN"/>
        </w:rPr>
        <w:t>0</w:t>
      </w:r>
      <w:r>
        <w:rPr>
          <w:rFonts w:hint="eastAsia" w:ascii="宋体" w:hAnsi="宋体" w:eastAsia="宋体" w:cs="宋体"/>
          <w:b w:val="0"/>
          <w:bCs w:val="0"/>
          <w:sz w:val="28"/>
          <w:szCs w:val="28"/>
          <w:highlight w:val="none"/>
        </w:rPr>
        <w:t>.4 应急管理</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_Toc2623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19</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9DCF5B2">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_Toc15272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2.1</w:t>
      </w:r>
      <w:r>
        <w:rPr>
          <w:rFonts w:hint="eastAsia" w:ascii="宋体" w:hAnsi="宋体" w:eastAsia="宋体" w:cs="宋体"/>
          <w:b w:val="0"/>
          <w:bCs w:val="0"/>
          <w:sz w:val="28"/>
          <w:szCs w:val="28"/>
          <w:highlight w:val="none"/>
          <w:lang w:val="en-US" w:eastAsia="zh-CN"/>
        </w:rPr>
        <w:t>0</w:t>
      </w:r>
      <w:r>
        <w:rPr>
          <w:rFonts w:hint="eastAsia" w:ascii="宋体" w:hAnsi="宋体" w:eastAsia="宋体" w:cs="宋体"/>
          <w:b w:val="0"/>
          <w:bCs w:val="0"/>
          <w:sz w:val="28"/>
          <w:szCs w:val="28"/>
          <w:highlight w:val="none"/>
        </w:rPr>
        <w:t>.5个人防护用品配备</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_Toc15272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20</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2E7D038">
      <w:pPr>
        <w:pStyle w:val="41"/>
        <w:tabs>
          <w:tab w:val="right" w:leader="dot" w:pos="9184"/>
          <w:tab w:val="clear" w:pos="9174"/>
        </w:tabs>
        <w:jc w:val="left"/>
        <w:rPr>
          <w:rFonts w:hint="eastAsia" w:ascii="宋体" w:hAnsi="宋体" w:eastAsia="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_Toc3715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3</w:t>
      </w:r>
      <w:r>
        <w:rPr>
          <w:rFonts w:hint="eastAsia" w:ascii="宋体" w:hAnsi="宋体" w:eastAsia="宋体" w:cs="宋体"/>
          <w:b w:val="0"/>
          <w:bCs w:val="0"/>
          <w:sz w:val="28"/>
          <w:szCs w:val="28"/>
          <w:highlight w:val="none"/>
          <w:lang w:val="en-US" w:eastAsia="zh-CN"/>
        </w:rPr>
        <w:t xml:space="preserve"> </w:t>
      </w:r>
      <w:r>
        <w:rPr>
          <w:rFonts w:hint="eastAsia" w:ascii="宋体" w:hAnsi="宋体" w:eastAsia="宋体" w:cs="宋体"/>
          <w:b w:val="0"/>
          <w:bCs w:val="0"/>
          <w:sz w:val="28"/>
          <w:szCs w:val="28"/>
          <w:highlight w:val="none"/>
        </w:rPr>
        <w:t>危险、有害因素的辨识及依据说明</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_Toc3715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21</w:t>
      </w:r>
      <w:r>
        <w:rPr>
          <w:rFonts w:hint="eastAsia" w:ascii="宋体" w:hAnsi="宋体" w:eastAsia="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34AA211">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_Toc1121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cs="宋体"/>
          <w:b w:val="0"/>
          <w:bCs w:val="0"/>
          <w:sz w:val="28"/>
          <w:szCs w:val="28"/>
          <w:highlight w:val="none"/>
        </w:rPr>
        <w:t>3.1</w:t>
      </w:r>
      <w:r>
        <w:rPr>
          <w:rFonts w:hint="eastAsia" w:ascii="宋体" w:hAnsi="宋体" w:cs="宋体"/>
          <w:b w:val="0"/>
          <w:bCs w:val="0"/>
          <w:sz w:val="28"/>
          <w:szCs w:val="28"/>
          <w:highlight w:val="none"/>
          <w:lang w:val="en-US" w:eastAsia="zh-CN"/>
        </w:rPr>
        <w:t xml:space="preserve"> </w:t>
      </w:r>
      <w:r>
        <w:rPr>
          <w:rFonts w:hint="eastAsia" w:ascii="宋体" w:hAnsi="宋体" w:cs="宋体"/>
          <w:b w:val="0"/>
          <w:bCs w:val="0"/>
          <w:sz w:val="28"/>
          <w:szCs w:val="28"/>
          <w:highlight w:val="none"/>
        </w:rPr>
        <w:t>危险、有害因素辨识的依据说明（辨识过程说明）</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_Toc1121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21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35196C8">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_Toc11366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3.1</w:t>
      </w:r>
      <w:r>
        <w:rPr>
          <w:rFonts w:hint="eastAsia" w:ascii="宋体" w:hAnsi="宋体" w:eastAsia="宋体" w:cs="宋体"/>
          <w:b w:val="0"/>
          <w:bCs w:val="0"/>
          <w:kern w:val="0"/>
          <w:sz w:val="28"/>
          <w:szCs w:val="28"/>
          <w:highlight w:val="none"/>
          <w:lang w:val="en-GB" w:eastAsia="zh-CN"/>
        </w:rPr>
        <w:t>.1</w:t>
      </w:r>
      <w:r>
        <w:rPr>
          <w:rFonts w:hint="eastAsia" w:ascii="宋体" w:hAnsi="宋体" w:eastAsia="宋体" w:cs="宋体"/>
          <w:b w:val="0"/>
          <w:bCs w:val="0"/>
          <w:kern w:val="0"/>
          <w:sz w:val="28"/>
          <w:szCs w:val="28"/>
          <w:highlight w:val="none"/>
          <w:lang w:val="en-US" w:eastAsia="zh-CN"/>
        </w:rPr>
        <w:t xml:space="preserve"> </w:t>
      </w:r>
      <w:r>
        <w:rPr>
          <w:rFonts w:hint="eastAsia" w:ascii="宋体" w:hAnsi="宋体" w:eastAsia="宋体" w:cs="宋体"/>
          <w:b w:val="0"/>
          <w:bCs w:val="0"/>
          <w:kern w:val="0"/>
          <w:sz w:val="28"/>
          <w:szCs w:val="28"/>
          <w:highlight w:val="none"/>
          <w:lang w:val="en-GB"/>
        </w:rPr>
        <w:t>危险、有害因素定义</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_Toc11366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21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71F3A78">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_Toc22699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US" w:eastAsia="zh-CN"/>
        </w:rPr>
        <w:t>1.</w:t>
      </w:r>
      <w:r>
        <w:rPr>
          <w:rFonts w:hint="eastAsia" w:ascii="宋体" w:hAnsi="宋体" w:eastAsia="宋体" w:cs="宋体"/>
          <w:b w:val="0"/>
          <w:bCs w:val="0"/>
          <w:kern w:val="0"/>
          <w:sz w:val="28"/>
          <w:szCs w:val="28"/>
          <w:highlight w:val="none"/>
          <w:lang w:val="en-GB"/>
        </w:rPr>
        <w:t>2 危险、有害因素辨识依据说明</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_Toc22699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21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6EF8CF84">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_Toc25422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cs="宋体"/>
          <w:b w:val="0"/>
          <w:bCs w:val="0"/>
          <w:sz w:val="28"/>
          <w:szCs w:val="28"/>
          <w:highlight w:val="none"/>
        </w:rPr>
        <w:t>3.2</w:t>
      </w:r>
      <w:r>
        <w:rPr>
          <w:rFonts w:hint="eastAsia" w:ascii="宋体" w:hAnsi="宋体" w:cs="宋体"/>
          <w:b w:val="0"/>
          <w:bCs w:val="0"/>
          <w:sz w:val="28"/>
          <w:szCs w:val="28"/>
          <w:highlight w:val="none"/>
          <w:lang w:val="en-US" w:eastAsia="zh-CN"/>
        </w:rPr>
        <w:t xml:space="preserve"> </w:t>
      </w:r>
      <w:r>
        <w:rPr>
          <w:rFonts w:hint="eastAsia" w:ascii="宋体" w:hAnsi="宋体" w:cs="宋体"/>
          <w:b w:val="0"/>
          <w:bCs w:val="0"/>
          <w:sz w:val="28"/>
          <w:szCs w:val="28"/>
          <w:highlight w:val="none"/>
        </w:rPr>
        <w:t>危险、有害因素辨识</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_Toc25422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21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B878C62">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_Toc24510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GB" w:eastAsia="zh-CN"/>
        </w:rPr>
        <w:t>2.1</w:t>
      </w:r>
      <w:r>
        <w:rPr>
          <w:rFonts w:hint="eastAsia" w:ascii="宋体" w:hAnsi="宋体" w:eastAsia="宋体" w:cs="宋体"/>
          <w:b w:val="0"/>
          <w:bCs w:val="0"/>
          <w:kern w:val="0"/>
          <w:sz w:val="28"/>
          <w:szCs w:val="28"/>
          <w:highlight w:val="none"/>
          <w:lang w:val="en-GB"/>
        </w:rPr>
        <w:t xml:space="preserve"> 物料固有的危险、有害因素分析</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_Toc24510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21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3A27B6C">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_Toc30040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US" w:eastAsia="zh-CN"/>
        </w:rPr>
        <w:t>2.2 物料</w:t>
      </w:r>
      <w:r>
        <w:rPr>
          <w:rFonts w:hint="eastAsia" w:ascii="宋体" w:hAnsi="宋体" w:eastAsia="宋体" w:cs="宋体"/>
          <w:b w:val="0"/>
          <w:bCs w:val="0"/>
          <w:kern w:val="0"/>
          <w:sz w:val="28"/>
          <w:szCs w:val="28"/>
          <w:highlight w:val="none"/>
          <w:lang w:val="en-GB"/>
        </w:rPr>
        <w:t>装卸过程危险、有害因素分析</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_Toc30040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28</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97FAC3B">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_Toc13308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GB" w:eastAsia="zh-CN"/>
        </w:rPr>
        <w:t>2.3 物料</w:t>
      </w:r>
      <w:r>
        <w:rPr>
          <w:rFonts w:hint="eastAsia" w:ascii="宋体" w:hAnsi="宋体" w:eastAsia="宋体" w:cs="宋体"/>
          <w:b w:val="0"/>
          <w:bCs w:val="0"/>
          <w:kern w:val="0"/>
          <w:sz w:val="28"/>
          <w:szCs w:val="28"/>
          <w:highlight w:val="none"/>
          <w:lang w:val="en-GB"/>
        </w:rPr>
        <w:t>储存过程的危险、有害因素分析</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_Toc13308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29</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49A6837">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_Toc22827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GB" w:eastAsia="zh-CN"/>
        </w:rPr>
        <w:t>2.4</w:t>
      </w:r>
      <w:r>
        <w:rPr>
          <w:rFonts w:hint="eastAsia" w:ascii="宋体" w:hAnsi="宋体" w:eastAsia="宋体" w:cs="宋体"/>
          <w:b w:val="0"/>
          <w:bCs w:val="0"/>
          <w:kern w:val="0"/>
          <w:sz w:val="28"/>
          <w:szCs w:val="28"/>
          <w:highlight w:val="none"/>
          <w:lang w:val="en-GB"/>
        </w:rPr>
        <w:t xml:space="preserve"> 建</w:t>
      </w:r>
      <w:r>
        <w:rPr>
          <w:rFonts w:hint="eastAsia" w:ascii="宋体" w:hAnsi="宋体" w:eastAsia="宋体" w:cs="宋体"/>
          <w:b w:val="0"/>
          <w:bCs w:val="0"/>
          <w:kern w:val="0"/>
          <w:sz w:val="28"/>
          <w:szCs w:val="28"/>
          <w:highlight w:val="none"/>
          <w:lang w:val="en-GB" w:eastAsia="zh-CN"/>
        </w:rPr>
        <w:t>（</w:t>
      </w:r>
      <w:r>
        <w:rPr>
          <w:rFonts w:hint="eastAsia" w:ascii="宋体" w:hAnsi="宋体" w:eastAsia="宋体" w:cs="宋体"/>
          <w:b w:val="0"/>
          <w:bCs w:val="0"/>
          <w:kern w:val="0"/>
          <w:sz w:val="28"/>
          <w:szCs w:val="28"/>
          <w:highlight w:val="none"/>
          <w:lang w:val="en-GB"/>
        </w:rPr>
        <w:t>构</w:t>
      </w:r>
      <w:r>
        <w:rPr>
          <w:rFonts w:hint="eastAsia" w:ascii="宋体" w:hAnsi="宋体" w:eastAsia="宋体" w:cs="宋体"/>
          <w:b w:val="0"/>
          <w:bCs w:val="0"/>
          <w:kern w:val="0"/>
          <w:sz w:val="28"/>
          <w:szCs w:val="28"/>
          <w:highlight w:val="none"/>
          <w:lang w:val="en-GB" w:eastAsia="zh-CN"/>
        </w:rPr>
        <w:t>）</w:t>
      </w:r>
      <w:r>
        <w:rPr>
          <w:rFonts w:hint="eastAsia" w:ascii="宋体" w:hAnsi="宋体" w:eastAsia="宋体" w:cs="宋体"/>
          <w:b w:val="0"/>
          <w:bCs w:val="0"/>
          <w:kern w:val="0"/>
          <w:sz w:val="28"/>
          <w:szCs w:val="28"/>
          <w:highlight w:val="none"/>
          <w:lang w:val="en-GB"/>
        </w:rPr>
        <w:t>筑物危险、有害因素分析</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_Toc22827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34</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E2516C4">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_Toc26615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US" w:eastAsia="zh-CN"/>
        </w:rPr>
        <w:t xml:space="preserve">2.5 </w:t>
      </w:r>
      <w:r>
        <w:rPr>
          <w:rFonts w:hint="eastAsia" w:ascii="宋体" w:hAnsi="宋体" w:eastAsia="宋体" w:cs="宋体"/>
          <w:b w:val="0"/>
          <w:bCs w:val="0"/>
          <w:kern w:val="0"/>
          <w:sz w:val="28"/>
          <w:szCs w:val="28"/>
          <w:highlight w:val="none"/>
          <w:lang w:val="en-GB"/>
        </w:rPr>
        <w:t>设备设施的危险、有害因素</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_Toc26615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35</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68EFCF2C">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_Toc7030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US" w:eastAsia="zh-CN"/>
        </w:rPr>
        <w:t xml:space="preserve">2.6 </w:t>
      </w:r>
      <w:r>
        <w:rPr>
          <w:rFonts w:hint="eastAsia" w:ascii="宋体" w:hAnsi="宋体" w:eastAsia="宋体" w:cs="宋体"/>
          <w:b w:val="0"/>
          <w:bCs w:val="0"/>
          <w:kern w:val="0"/>
          <w:sz w:val="28"/>
          <w:szCs w:val="28"/>
          <w:highlight w:val="none"/>
          <w:lang w:val="en-GB"/>
        </w:rPr>
        <w:t>检维修作业的危险、有害因素</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_Toc7030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36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5919EA45">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_Toc4226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US" w:eastAsia="zh-CN"/>
        </w:rPr>
        <w:t xml:space="preserve">2.7 </w:t>
      </w:r>
      <w:r>
        <w:rPr>
          <w:rFonts w:hint="eastAsia" w:ascii="宋体" w:hAnsi="宋体" w:eastAsia="宋体" w:cs="宋体"/>
          <w:b w:val="0"/>
          <w:bCs w:val="0"/>
          <w:kern w:val="0"/>
          <w:sz w:val="28"/>
          <w:szCs w:val="28"/>
          <w:highlight w:val="none"/>
          <w:lang w:val="en-GB"/>
        </w:rPr>
        <w:t>安全管理方面的危险、有害因素</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_Toc4226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36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DC8A3CC">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_Toc13616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US" w:eastAsia="zh-CN"/>
        </w:rPr>
        <w:t xml:space="preserve">2.8 </w:t>
      </w:r>
      <w:r>
        <w:rPr>
          <w:rFonts w:hint="eastAsia" w:ascii="宋体" w:hAnsi="宋体" w:eastAsia="宋体" w:cs="宋体"/>
          <w:b w:val="0"/>
          <w:bCs w:val="0"/>
          <w:kern w:val="0"/>
          <w:sz w:val="28"/>
          <w:szCs w:val="28"/>
          <w:highlight w:val="none"/>
          <w:lang w:val="en-GB"/>
        </w:rPr>
        <w:t>其他危险、危害因素分析</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_Toc13616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37</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5495B36D">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_Toc25695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US" w:eastAsia="zh-CN"/>
        </w:rPr>
        <w:t xml:space="preserve">2.9 </w:t>
      </w:r>
      <w:r>
        <w:rPr>
          <w:rFonts w:hint="eastAsia" w:ascii="宋体" w:hAnsi="宋体" w:eastAsia="宋体" w:cs="宋体"/>
          <w:b w:val="0"/>
          <w:bCs w:val="0"/>
          <w:kern w:val="0"/>
          <w:sz w:val="28"/>
          <w:szCs w:val="28"/>
          <w:highlight w:val="none"/>
          <w:lang w:val="en-GB"/>
        </w:rPr>
        <w:t>重大危险源辨识</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_Toc25695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37</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2F0F3595">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_Toc17690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3.</w:t>
      </w:r>
      <w:r>
        <w:rPr>
          <w:rFonts w:hint="eastAsia" w:ascii="宋体" w:hAnsi="宋体" w:eastAsia="宋体" w:cs="宋体"/>
          <w:b w:val="0"/>
          <w:bCs w:val="0"/>
          <w:kern w:val="0"/>
          <w:sz w:val="28"/>
          <w:szCs w:val="28"/>
          <w:highlight w:val="none"/>
          <w:lang w:val="en-US" w:eastAsia="zh-CN"/>
        </w:rPr>
        <w:t>2.10</w:t>
      </w:r>
      <w:r>
        <w:rPr>
          <w:rFonts w:hint="eastAsia" w:ascii="宋体" w:hAnsi="宋体" w:eastAsia="宋体" w:cs="宋体"/>
          <w:b w:val="0"/>
          <w:bCs w:val="0"/>
          <w:kern w:val="0"/>
          <w:sz w:val="28"/>
          <w:szCs w:val="28"/>
          <w:highlight w:val="none"/>
          <w:lang w:val="en-GB"/>
        </w:rPr>
        <w:t xml:space="preserve"> 案例分析</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_Toc17690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38</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0F6BC3E">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_Toc17992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cs="宋体"/>
          <w:b w:val="0"/>
          <w:bCs w:val="0"/>
          <w:sz w:val="28"/>
          <w:szCs w:val="28"/>
          <w:highlight w:val="none"/>
        </w:rPr>
        <w:t>3.3</w:t>
      </w:r>
      <w:r>
        <w:rPr>
          <w:rFonts w:hint="eastAsia" w:ascii="宋体" w:hAnsi="宋体" w:cs="宋体"/>
          <w:b w:val="0"/>
          <w:bCs w:val="0"/>
          <w:sz w:val="28"/>
          <w:szCs w:val="28"/>
          <w:highlight w:val="none"/>
          <w:lang w:val="en-US" w:eastAsia="zh-CN"/>
        </w:rPr>
        <w:t xml:space="preserve"> </w:t>
      </w:r>
      <w:r>
        <w:rPr>
          <w:rFonts w:hint="eastAsia" w:ascii="宋体" w:hAnsi="宋体" w:cs="宋体"/>
          <w:b w:val="0"/>
          <w:bCs w:val="0"/>
          <w:sz w:val="28"/>
          <w:szCs w:val="28"/>
          <w:highlight w:val="none"/>
        </w:rPr>
        <w:t>危险、有害因素</w:t>
      </w:r>
      <w:r>
        <w:rPr>
          <w:rFonts w:hint="eastAsia" w:ascii="宋体" w:hAnsi="宋体" w:cs="宋体"/>
          <w:b w:val="0"/>
          <w:bCs w:val="0"/>
          <w:sz w:val="28"/>
          <w:szCs w:val="28"/>
          <w:highlight w:val="none"/>
          <w:lang w:eastAsia="zh-CN"/>
        </w:rPr>
        <w:t>辨识小结</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_Toc17992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42</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C8534BB">
      <w:pPr>
        <w:pStyle w:val="41"/>
        <w:tabs>
          <w:tab w:val="right" w:leader="dot" w:pos="9184"/>
          <w:tab w:val="clear" w:pos="9174"/>
        </w:tabs>
        <w:jc w:val="left"/>
        <w:rPr>
          <w:rFonts w:hint="eastAsia" w:ascii="宋体" w:hAnsi="宋体" w:eastAsia="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_Toc19985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4 评价方法和评价单元</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_Toc19985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43</w:t>
      </w:r>
      <w:r>
        <w:rPr>
          <w:rFonts w:hint="eastAsia" w:ascii="宋体" w:hAnsi="宋体" w:eastAsia="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52BF86F4">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_Toc26930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4.</w:t>
      </w:r>
      <w:r>
        <w:rPr>
          <w:rFonts w:hint="eastAsia" w:ascii="宋体" w:hAnsi="宋体" w:eastAsia="宋体" w:cs="宋体"/>
          <w:b w:val="0"/>
          <w:bCs w:val="0"/>
          <w:sz w:val="28"/>
          <w:szCs w:val="28"/>
          <w:highlight w:val="none"/>
          <w:lang w:val="en-US" w:eastAsia="zh-CN"/>
        </w:rPr>
        <w:t>1</w:t>
      </w:r>
      <w:r>
        <w:rPr>
          <w:rFonts w:hint="eastAsia" w:ascii="宋体" w:hAnsi="宋体" w:eastAsia="宋体" w:cs="宋体"/>
          <w:b w:val="0"/>
          <w:bCs w:val="0"/>
          <w:sz w:val="28"/>
          <w:szCs w:val="28"/>
          <w:highlight w:val="none"/>
        </w:rPr>
        <w:t xml:space="preserve"> 评价方法</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_Toc26930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43</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B8E2D8F">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_Toc12427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4.1.1</w:t>
      </w:r>
      <w:r>
        <w:rPr>
          <w:rFonts w:hint="eastAsia" w:ascii="宋体" w:hAnsi="宋体" w:eastAsia="宋体" w:cs="宋体"/>
          <w:b w:val="0"/>
          <w:bCs w:val="0"/>
          <w:kern w:val="0"/>
          <w:sz w:val="28"/>
          <w:szCs w:val="28"/>
          <w:highlight w:val="none"/>
          <w:lang w:val="en-US" w:eastAsia="zh-CN"/>
        </w:rPr>
        <w:t xml:space="preserve"> </w:t>
      </w:r>
      <w:r>
        <w:rPr>
          <w:rFonts w:hint="eastAsia" w:ascii="宋体" w:hAnsi="宋体" w:eastAsia="宋体" w:cs="宋体"/>
          <w:b w:val="0"/>
          <w:bCs w:val="0"/>
          <w:kern w:val="0"/>
          <w:sz w:val="28"/>
          <w:szCs w:val="28"/>
          <w:highlight w:val="none"/>
          <w:lang w:val="en-GB"/>
        </w:rPr>
        <w:t>安全检查表法</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_Toc12427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43</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2D6BE4D7">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_Toc4579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4.1.2</w:t>
      </w:r>
      <w:r>
        <w:rPr>
          <w:rFonts w:hint="eastAsia" w:ascii="宋体" w:hAnsi="宋体" w:eastAsia="宋体" w:cs="宋体"/>
          <w:b w:val="0"/>
          <w:bCs w:val="0"/>
          <w:kern w:val="0"/>
          <w:sz w:val="28"/>
          <w:szCs w:val="28"/>
          <w:highlight w:val="none"/>
          <w:lang w:val="en-US" w:eastAsia="zh-CN"/>
        </w:rPr>
        <w:t xml:space="preserve"> </w:t>
      </w:r>
      <w:r>
        <w:rPr>
          <w:rFonts w:hint="eastAsia" w:ascii="宋体" w:hAnsi="宋体" w:eastAsia="宋体" w:cs="宋体"/>
          <w:b w:val="0"/>
          <w:bCs w:val="0"/>
          <w:kern w:val="0"/>
          <w:sz w:val="28"/>
          <w:szCs w:val="28"/>
          <w:highlight w:val="none"/>
          <w:lang w:val="en-GB"/>
        </w:rPr>
        <w:t>作业条件危险性分析法</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_Toc4579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43</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3AFD65E">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_Toc3686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4.</w:t>
      </w:r>
      <w:r>
        <w:rPr>
          <w:rFonts w:hint="eastAsia" w:ascii="宋体" w:hAnsi="宋体" w:eastAsia="宋体" w:cs="宋体"/>
          <w:b w:val="0"/>
          <w:bCs w:val="0"/>
          <w:sz w:val="28"/>
          <w:szCs w:val="28"/>
          <w:highlight w:val="none"/>
          <w:lang w:val="en-US" w:eastAsia="zh-CN"/>
        </w:rPr>
        <w:t>2</w:t>
      </w:r>
      <w:r>
        <w:rPr>
          <w:rFonts w:hint="eastAsia" w:ascii="宋体" w:hAnsi="宋体" w:eastAsia="宋体" w:cs="宋体"/>
          <w:b w:val="0"/>
          <w:bCs w:val="0"/>
          <w:sz w:val="28"/>
          <w:szCs w:val="28"/>
          <w:highlight w:val="none"/>
        </w:rPr>
        <w:t xml:space="preserve"> 评价单元划分</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_Toc3686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44</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58511AF">
      <w:pPr>
        <w:pStyle w:val="41"/>
        <w:tabs>
          <w:tab w:val="right" w:leader="dot" w:pos="9184"/>
          <w:tab w:val="clear" w:pos="9174"/>
        </w:tabs>
        <w:jc w:val="left"/>
        <w:rPr>
          <w:rFonts w:hint="eastAsia" w:ascii="宋体" w:hAnsi="宋体" w:eastAsia="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_Toc9006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 xml:space="preserve">5 </w:t>
      </w:r>
      <w:r>
        <w:rPr>
          <w:rFonts w:hint="eastAsia" w:ascii="宋体" w:hAnsi="宋体" w:eastAsia="宋体" w:cs="宋体"/>
          <w:b w:val="0"/>
          <w:bCs w:val="0"/>
          <w:sz w:val="28"/>
          <w:szCs w:val="28"/>
          <w:highlight w:val="none"/>
          <w:lang w:eastAsia="zh-CN"/>
        </w:rPr>
        <w:t>安全</w:t>
      </w:r>
      <w:r>
        <w:rPr>
          <w:rFonts w:hint="eastAsia" w:ascii="宋体" w:hAnsi="宋体" w:eastAsia="宋体" w:cs="宋体"/>
          <w:b w:val="0"/>
          <w:bCs w:val="0"/>
          <w:sz w:val="28"/>
          <w:szCs w:val="28"/>
          <w:highlight w:val="none"/>
        </w:rPr>
        <w:t>评价</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_Toc9006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46</w:t>
      </w:r>
      <w:r>
        <w:rPr>
          <w:rFonts w:hint="eastAsia" w:ascii="宋体" w:hAnsi="宋体" w:eastAsia="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6ED334B">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_Toc16913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5.1 安全生产基本条件检查</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_Toc16913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786262C">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_Toc6437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5.1.1</w:t>
      </w:r>
      <w:r>
        <w:rPr>
          <w:rFonts w:hint="eastAsia" w:ascii="宋体" w:hAnsi="宋体" w:eastAsia="宋体" w:cs="宋体"/>
          <w:b w:val="0"/>
          <w:bCs w:val="0"/>
          <w:kern w:val="0"/>
          <w:sz w:val="28"/>
          <w:szCs w:val="28"/>
          <w:highlight w:val="none"/>
          <w:lang w:val="en-US" w:eastAsia="zh-CN"/>
        </w:rPr>
        <w:t xml:space="preserve"> </w:t>
      </w:r>
      <w:r>
        <w:rPr>
          <w:rFonts w:hint="eastAsia" w:ascii="宋体" w:hAnsi="宋体" w:eastAsia="宋体" w:cs="宋体"/>
          <w:b w:val="0"/>
          <w:bCs w:val="0"/>
          <w:kern w:val="0"/>
          <w:sz w:val="28"/>
          <w:szCs w:val="28"/>
          <w:highlight w:val="none"/>
          <w:lang w:val="en-GB"/>
        </w:rPr>
        <w:t>建筑物</w:t>
      </w:r>
      <w:r>
        <w:rPr>
          <w:rFonts w:hint="eastAsia" w:ascii="宋体" w:hAnsi="宋体" w:eastAsia="宋体" w:cs="宋体"/>
          <w:b w:val="0"/>
          <w:bCs w:val="0"/>
          <w:kern w:val="0"/>
          <w:sz w:val="28"/>
          <w:szCs w:val="28"/>
          <w:highlight w:val="none"/>
          <w:lang w:val="en-GB" w:eastAsia="zh-CN"/>
        </w:rPr>
        <w:t>及</w:t>
      </w:r>
      <w:r>
        <w:rPr>
          <w:rFonts w:hint="eastAsia" w:ascii="宋体" w:hAnsi="宋体" w:eastAsia="宋体" w:cs="宋体"/>
          <w:b w:val="0"/>
          <w:bCs w:val="0"/>
          <w:kern w:val="0"/>
          <w:sz w:val="28"/>
          <w:szCs w:val="28"/>
          <w:highlight w:val="none"/>
          <w:lang w:val="en-GB"/>
        </w:rPr>
        <w:t>总平面布置评价</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_Toc6437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46</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AF750CF">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_Toc22117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lang w:val="en-GB"/>
        </w:rPr>
        <w:t>5.1.</w:t>
      </w:r>
      <w:r>
        <w:rPr>
          <w:rFonts w:hint="eastAsia" w:ascii="宋体" w:hAnsi="宋体" w:eastAsia="宋体" w:cs="宋体"/>
          <w:b w:val="0"/>
          <w:bCs w:val="0"/>
          <w:kern w:val="0"/>
          <w:sz w:val="28"/>
          <w:szCs w:val="28"/>
          <w:highlight w:val="none"/>
          <w:lang w:val="en-US" w:eastAsia="zh-CN"/>
        </w:rPr>
        <w:t>2</w:t>
      </w:r>
      <w:r>
        <w:rPr>
          <w:rFonts w:hint="eastAsia" w:ascii="宋体" w:hAnsi="宋体" w:eastAsia="宋体" w:cs="宋体"/>
          <w:b w:val="0"/>
          <w:bCs w:val="0"/>
          <w:kern w:val="0"/>
          <w:sz w:val="28"/>
          <w:szCs w:val="28"/>
          <w:highlight w:val="none"/>
          <w:lang w:val="en-GB"/>
        </w:rPr>
        <w:t>工贸企业危险化学品使用安全管理评价</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_Toc22117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48</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1D960E5E">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_Toc32285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5.1.</w:t>
      </w:r>
      <w:r>
        <w:rPr>
          <w:rFonts w:hint="eastAsia" w:ascii="宋体" w:hAnsi="宋体" w:eastAsia="宋体" w:cs="宋体"/>
          <w:b w:val="0"/>
          <w:bCs w:val="0"/>
          <w:sz w:val="28"/>
          <w:szCs w:val="28"/>
          <w:highlight w:val="none"/>
          <w:lang w:val="en-US" w:eastAsia="zh-CN"/>
        </w:rPr>
        <w:t>3</w:t>
      </w:r>
      <w:r>
        <w:rPr>
          <w:rFonts w:hint="eastAsia" w:ascii="宋体" w:hAnsi="宋体" w:eastAsia="宋体" w:cs="宋体"/>
          <w:b w:val="0"/>
          <w:bCs w:val="0"/>
          <w:sz w:val="28"/>
          <w:szCs w:val="28"/>
          <w:highlight w:val="none"/>
        </w:rPr>
        <w:t xml:space="preserve"> 危险化学品储存</w:t>
      </w:r>
      <w:r>
        <w:rPr>
          <w:rFonts w:hint="eastAsia" w:ascii="宋体" w:hAnsi="宋体" w:eastAsia="宋体" w:cs="宋体"/>
          <w:b w:val="0"/>
          <w:bCs w:val="0"/>
          <w:sz w:val="28"/>
          <w:szCs w:val="28"/>
          <w:highlight w:val="none"/>
          <w:lang w:eastAsia="zh-CN"/>
        </w:rPr>
        <w:t>评价</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_Toc32285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52</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5FDFD5F">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_Toc13244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5.1.</w:t>
      </w:r>
      <w:r>
        <w:rPr>
          <w:rFonts w:hint="eastAsia" w:ascii="宋体" w:hAnsi="宋体" w:eastAsia="宋体" w:cs="宋体"/>
          <w:b w:val="0"/>
          <w:bCs w:val="0"/>
          <w:sz w:val="28"/>
          <w:szCs w:val="28"/>
          <w:highlight w:val="none"/>
          <w:lang w:val="en-US" w:eastAsia="zh-CN"/>
        </w:rPr>
        <w:t xml:space="preserve">4 </w:t>
      </w:r>
      <w:r>
        <w:rPr>
          <w:rFonts w:hint="eastAsia" w:ascii="宋体" w:hAnsi="宋体" w:eastAsia="宋体" w:cs="宋体"/>
          <w:b w:val="0"/>
          <w:bCs w:val="0"/>
          <w:sz w:val="28"/>
          <w:szCs w:val="28"/>
          <w:highlight w:val="none"/>
        </w:rPr>
        <w:t>易制爆危险化学品</w:t>
      </w:r>
      <w:r>
        <w:rPr>
          <w:rFonts w:hint="eastAsia" w:ascii="宋体" w:hAnsi="宋体" w:eastAsia="宋体" w:cs="宋体"/>
          <w:b w:val="0"/>
          <w:bCs w:val="0"/>
          <w:sz w:val="28"/>
          <w:szCs w:val="28"/>
          <w:highlight w:val="none"/>
          <w:lang w:eastAsia="zh-CN"/>
        </w:rPr>
        <w:t>治安</w:t>
      </w:r>
      <w:r>
        <w:rPr>
          <w:rFonts w:hint="eastAsia" w:ascii="宋体" w:hAnsi="宋体" w:eastAsia="宋体" w:cs="宋体"/>
          <w:b w:val="0"/>
          <w:bCs w:val="0"/>
          <w:sz w:val="28"/>
          <w:szCs w:val="28"/>
          <w:highlight w:val="none"/>
        </w:rPr>
        <w:t>评价</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_Toc13244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58</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12D7453">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_Toc27392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5.1.</w:t>
      </w:r>
      <w:r>
        <w:rPr>
          <w:rFonts w:hint="eastAsia" w:ascii="宋体" w:hAnsi="宋体" w:eastAsia="宋体" w:cs="宋体"/>
          <w:b w:val="0"/>
          <w:bCs w:val="0"/>
          <w:sz w:val="28"/>
          <w:szCs w:val="28"/>
          <w:highlight w:val="none"/>
          <w:lang w:val="en-US" w:eastAsia="zh-CN"/>
        </w:rPr>
        <w:t>5</w:t>
      </w:r>
      <w:r>
        <w:rPr>
          <w:rFonts w:hint="eastAsia" w:ascii="宋体" w:hAnsi="宋体" w:eastAsia="宋体" w:cs="宋体"/>
          <w:b w:val="0"/>
          <w:bCs w:val="0"/>
          <w:sz w:val="28"/>
          <w:szCs w:val="28"/>
          <w:highlight w:val="none"/>
        </w:rPr>
        <w:t xml:space="preserve"> 重点监管危险化学品安全设施检查情况评价</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_Toc27392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63</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1F18A44F">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_Toc24958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5.1.</w:t>
      </w:r>
      <w:r>
        <w:rPr>
          <w:rFonts w:hint="eastAsia" w:ascii="宋体" w:hAnsi="宋体" w:eastAsia="宋体" w:cs="宋体"/>
          <w:b w:val="0"/>
          <w:bCs w:val="0"/>
          <w:sz w:val="28"/>
          <w:szCs w:val="28"/>
          <w:highlight w:val="none"/>
          <w:lang w:val="en-US" w:eastAsia="zh-CN"/>
        </w:rPr>
        <w:t>6</w:t>
      </w:r>
      <w:r>
        <w:rPr>
          <w:rFonts w:hint="eastAsia" w:ascii="宋体" w:hAnsi="宋体" w:eastAsia="宋体" w:cs="宋体"/>
          <w:b w:val="0"/>
          <w:bCs w:val="0"/>
          <w:sz w:val="28"/>
          <w:szCs w:val="28"/>
          <w:highlight w:val="none"/>
        </w:rPr>
        <w:t xml:space="preserve"> 特种设备</w:t>
      </w:r>
      <w:r>
        <w:rPr>
          <w:rFonts w:hint="eastAsia" w:ascii="宋体" w:hAnsi="宋体" w:eastAsia="宋体" w:cs="宋体"/>
          <w:b w:val="0"/>
          <w:bCs w:val="0"/>
          <w:sz w:val="28"/>
          <w:szCs w:val="28"/>
          <w:highlight w:val="none"/>
          <w:lang w:eastAsia="zh-CN"/>
        </w:rPr>
        <w:t>和</w:t>
      </w:r>
      <w:r>
        <w:rPr>
          <w:rFonts w:hint="eastAsia" w:ascii="宋体" w:hAnsi="宋体" w:eastAsia="宋体" w:cs="宋体"/>
          <w:b w:val="0"/>
          <w:bCs w:val="0"/>
          <w:sz w:val="28"/>
          <w:szCs w:val="28"/>
          <w:highlight w:val="none"/>
        </w:rPr>
        <w:t>特种设备作业人员评价</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_Toc24958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67</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D66ECC0">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_Toc350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5.1.</w:t>
      </w:r>
      <w:r>
        <w:rPr>
          <w:rFonts w:hint="eastAsia" w:ascii="宋体" w:hAnsi="宋体" w:eastAsia="宋体" w:cs="宋体"/>
          <w:b w:val="0"/>
          <w:bCs w:val="0"/>
          <w:sz w:val="28"/>
          <w:szCs w:val="28"/>
          <w:highlight w:val="none"/>
          <w:lang w:val="en-US" w:eastAsia="zh-CN"/>
        </w:rPr>
        <w:t>7</w:t>
      </w:r>
      <w:r>
        <w:rPr>
          <w:rFonts w:hint="eastAsia" w:ascii="宋体" w:hAnsi="宋体" w:eastAsia="宋体" w:cs="宋体"/>
          <w:b w:val="0"/>
          <w:bCs w:val="0"/>
          <w:sz w:val="28"/>
          <w:szCs w:val="28"/>
          <w:highlight w:val="none"/>
        </w:rPr>
        <w:t xml:space="preserve"> </w:t>
      </w:r>
      <w:r>
        <w:rPr>
          <w:rFonts w:hint="eastAsia" w:ascii="宋体" w:hAnsi="宋体" w:eastAsia="宋体" w:cs="宋体"/>
          <w:b w:val="0"/>
          <w:bCs w:val="0"/>
          <w:sz w:val="28"/>
          <w:szCs w:val="28"/>
          <w:highlight w:val="none"/>
          <w:lang w:eastAsia="zh-CN"/>
        </w:rPr>
        <w:t>防爆设施</w:t>
      </w:r>
      <w:r>
        <w:rPr>
          <w:rFonts w:hint="eastAsia" w:ascii="宋体" w:hAnsi="宋体" w:eastAsia="宋体" w:cs="宋体"/>
          <w:b w:val="0"/>
          <w:bCs w:val="0"/>
          <w:sz w:val="28"/>
          <w:szCs w:val="28"/>
          <w:highlight w:val="none"/>
        </w:rPr>
        <w:t>评价</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_Toc350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68</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22A60F4B">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_Toc22222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5.1.</w:t>
      </w:r>
      <w:r>
        <w:rPr>
          <w:rFonts w:hint="eastAsia" w:ascii="宋体" w:hAnsi="宋体" w:eastAsia="宋体" w:cs="宋体"/>
          <w:b w:val="0"/>
          <w:bCs w:val="0"/>
          <w:sz w:val="28"/>
          <w:szCs w:val="28"/>
          <w:highlight w:val="none"/>
          <w:lang w:val="en-US" w:eastAsia="zh-CN"/>
        </w:rPr>
        <w:t>8</w:t>
      </w:r>
      <w:r>
        <w:rPr>
          <w:rFonts w:hint="eastAsia" w:ascii="宋体" w:hAnsi="宋体" w:eastAsia="宋体" w:cs="宋体"/>
          <w:b w:val="0"/>
          <w:bCs w:val="0"/>
          <w:sz w:val="28"/>
          <w:szCs w:val="28"/>
          <w:highlight w:val="none"/>
        </w:rPr>
        <w:t xml:space="preserve"> 消防设施评价</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_Toc22222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71</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22537060">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_Toc14645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kern w:val="0"/>
          <w:sz w:val="28"/>
          <w:szCs w:val="28"/>
          <w:highlight w:val="none"/>
        </w:rPr>
        <w:t>5.1.</w:t>
      </w:r>
      <w:r>
        <w:rPr>
          <w:rFonts w:hint="eastAsia" w:ascii="宋体" w:hAnsi="宋体" w:eastAsia="宋体" w:cs="宋体"/>
          <w:b w:val="0"/>
          <w:bCs w:val="0"/>
          <w:kern w:val="0"/>
          <w:sz w:val="28"/>
          <w:szCs w:val="28"/>
          <w:highlight w:val="none"/>
          <w:lang w:val="en-US" w:eastAsia="zh-CN"/>
        </w:rPr>
        <w:t xml:space="preserve">9 </w:t>
      </w:r>
      <w:r>
        <w:rPr>
          <w:rFonts w:hint="eastAsia" w:ascii="宋体" w:hAnsi="宋体" w:eastAsia="宋体" w:cs="宋体"/>
          <w:b w:val="0"/>
          <w:bCs w:val="0"/>
          <w:kern w:val="0"/>
          <w:sz w:val="28"/>
          <w:szCs w:val="28"/>
          <w:highlight w:val="none"/>
        </w:rPr>
        <w:t>工贸企业重大</w:t>
      </w:r>
      <w:r>
        <w:rPr>
          <w:rFonts w:hint="eastAsia" w:ascii="宋体" w:hAnsi="宋体" w:eastAsia="宋体" w:cs="宋体"/>
          <w:b w:val="0"/>
          <w:bCs w:val="0"/>
          <w:kern w:val="0"/>
          <w:sz w:val="28"/>
          <w:szCs w:val="28"/>
          <w:highlight w:val="none"/>
          <w:lang w:eastAsia="zh-CN"/>
        </w:rPr>
        <w:t>事故</w:t>
      </w:r>
      <w:r>
        <w:rPr>
          <w:rFonts w:hint="eastAsia" w:ascii="宋体" w:hAnsi="宋体" w:eastAsia="宋体" w:cs="宋体"/>
          <w:b w:val="0"/>
          <w:bCs w:val="0"/>
          <w:kern w:val="0"/>
          <w:sz w:val="28"/>
          <w:szCs w:val="28"/>
          <w:highlight w:val="none"/>
        </w:rPr>
        <w:t>隐患</w:t>
      </w:r>
      <w:r>
        <w:rPr>
          <w:rFonts w:hint="eastAsia" w:ascii="宋体" w:hAnsi="宋体" w:eastAsia="宋体" w:cs="宋体"/>
          <w:b w:val="0"/>
          <w:bCs w:val="0"/>
          <w:kern w:val="0"/>
          <w:sz w:val="28"/>
          <w:szCs w:val="28"/>
          <w:highlight w:val="none"/>
          <w:lang w:eastAsia="zh-CN"/>
        </w:rPr>
        <w:t>判定</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_Toc14645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74</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13E739AD">
      <w:pPr>
        <w:pStyle w:val="3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_Toc22221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5.</w:t>
      </w:r>
      <w:r>
        <w:rPr>
          <w:rFonts w:hint="eastAsia" w:ascii="宋体" w:hAnsi="宋体" w:eastAsia="宋体" w:cs="宋体"/>
          <w:b w:val="0"/>
          <w:bCs w:val="0"/>
          <w:sz w:val="28"/>
          <w:szCs w:val="28"/>
          <w:highlight w:val="none"/>
          <w:lang w:val="en-US" w:eastAsia="zh-CN"/>
        </w:rPr>
        <w:t>1.10</w:t>
      </w:r>
      <w:r>
        <w:rPr>
          <w:rFonts w:hint="eastAsia" w:ascii="宋体" w:hAnsi="宋体" w:eastAsia="宋体" w:cs="宋体"/>
          <w:b w:val="0"/>
          <w:bCs w:val="0"/>
          <w:sz w:val="28"/>
          <w:szCs w:val="28"/>
          <w:highlight w:val="none"/>
        </w:rPr>
        <w:t xml:space="preserve"> </w:t>
      </w:r>
      <w:r>
        <w:rPr>
          <w:rFonts w:hint="eastAsia" w:ascii="宋体" w:hAnsi="宋体" w:eastAsia="宋体" w:cs="宋体"/>
          <w:b w:val="0"/>
          <w:bCs w:val="0"/>
          <w:kern w:val="0"/>
          <w:sz w:val="28"/>
          <w:szCs w:val="28"/>
          <w:highlight w:val="none"/>
          <w:lang w:val="en-GB" w:eastAsia="zh-CN"/>
        </w:rPr>
        <w:t>其他</w:t>
      </w:r>
      <w:r>
        <w:rPr>
          <w:rFonts w:hint="eastAsia" w:ascii="宋体" w:hAnsi="宋体" w:eastAsia="宋体" w:cs="宋体"/>
          <w:b w:val="0"/>
          <w:bCs w:val="0"/>
          <w:kern w:val="0"/>
          <w:sz w:val="28"/>
          <w:szCs w:val="28"/>
          <w:highlight w:val="none"/>
          <w:lang w:val="en-GB"/>
        </w:rPr>
        <w:t>安全生产管理评价</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_Toc22221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77</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0AABDEBA">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_Toc10447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5.</w:t>
      </w:r>
      <w:r>
        <w:rPr>
          <w:rFonts w:hint="eastAsia" w:ascii="宋体" w:hAnsi="宋体" w:eastAsia="宋体" w:cs="宋体"/>
          <w:b w:val="0"/>
          <w:bCs w:val="0"/>
          <w:sz w:val="28"/>
          <w:szCs w:val="28"/>
          <w:highlight w:val="none"/>
          <w:lang w:eastAsia="zh-CN"/>
        </w:rPr>
        <w:t>2</w:t>
      </w:r>
      <w:r>
        <w:rPr>
          <w:rFonts w:hint="eastAsia" w:ascii="宋体" w:hAnsi="宋体" w:eastAsia="宋体" w:cs="宋体"/>
          <w:b w:val="0"/>
          <w:bCs w:val="0"/>
          <w:sz w:val="28"/>
          <w:szCs w:val="28"/>
          <w:highlight w:val="none"/>
          <w:lang w:val="en-US" w:eastAsia="zh-CN"/>
        </w:rPr>
        <w:t xml:space="preserve"> </w:t>
      </w:r>
      <w:r>
        <w:rPr>
          <w:rFonts w:hint="eastAsia" w:ascii="宋体" w:hAnsi="宋体" w:eastAsia="宋体" w:cs="宋体"/>
          <w:b w:val="0"/>
          <w:bCs w:val="0"/>
          <w:sz w:val="28"/>
          <w:szCs w:val="28"/>
          <w:highlight w:val="none"/>
        </w:rPr>
        <w:t>作业条件危险性评价法</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_Toc10447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79</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79882263">
      <w:pPr>
        <w:pStyle w:val="41"/>
        <w:tabs>
          <w:tab w:val="right" w:leader="dot" w:pos="9184"/>
          <w:tab w:val="clear" w:pos="9174"/>
        </w:tabs>
        <w:jc w:val="left"/>
        <w:rPr>
          <w:rFonts w:hint="eastAsia" w:ascii="宋体" w:hAnsi="宋体" w:eastAsia="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_Toc1754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6 整改情况及建议</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_Toc1754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82</w:t>
      </w:r>
      <w:r>
        <w:rPr>
          <w:rFonts w:hint="eastAsia" w:ascii="宋体" w:hAnsi="宋体" w:eastAsia="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047315E">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_Toc13111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6.1</w:t>
      </w:r>
      <w:r>
        <w:rPr>
          <w:rFonts w:hint="eastAsia" w:ascii="宋体" w:hAnsi="宋体" w:eastAsia="宋体" w:cs="宋体"/>
          <w:b w:val="0"/>
          <w:bCs w:val="0"/>
          <w:sz w:val="28"/>
          <w:szCs w:val="28"/>
          <w:highlight w:val="none"/>
          <w:lang w:val="en-US" w:eastAsia="zh-CN"/>
        </w:rPr>
        <w:t xml:space="preserve"> </w:t>
      </w:r>
      <w:r>
        <w:rPr>
          <w:rFonts w:hint="eastAsia" w:ascii="宋体" w:hAnsi="宋体" w:eastAsia="宋体" w:cs="宋体"/>
          <w:b w:val="0"/>
          <w:bCs w:val="0"/>
          <w:sz w:val="28"/>
          <w:szCs w:val="28"/>
          <w:highlight w:val="none"/>
        </w:rPr>
        <w:t>存在的问题及</w:t>
      </w:r>
      <w:r>
        <w:rPr>
          <w:rFonts w:hint="eastAsia" w:ascii="宋体" w:hAnsi="宋体" w:eastAsia="宋体" w:cs="宋体"/>
          <w:b w:val="0"/>
          <w:bCs w:val="0"/>
          <w:sz w:val="28"/>
          <w:szCs w:val="28"/>
          <w:highlight w:val="none"/>
          <w:lang w:val="en-US" w:eastAsia="zh-CN"/>
        </w:rPr>
        <w:t>整改情况</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_Toc13111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82</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572D9A3D">
      <w:pPr>
        <w:pStyle w:val="52"/>
        <w:tabs>
          <w:tab w:val="right" w:leader="dot" w:pos="9184"/>
        </w:tabs>
        <w:spacing w:line="360" w:lineRule="auto"/>
        <w:jc w:val="left"/>
        <w:rPr>
          <w:rFonts w:hint="eastAsia" w:ascii="宋体" w:hAnsi="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_Toc21143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6.</w:t>
      </w:r>
      <w:r>
        <w:rPr>
          <w:rFonts w:hint="eastAsia" w:ascii="宋体" w:hAnsi="宋体" w:eastAsia="宋体" w:cs="宋体"/>
          <w:b w:val="0"/>
          <w:bCs w:val="0"/>
          <w:sz w:val="28"/>
          <w:szCs w:val="28"/>
          <w:highlight w:val="none"/>
          <w:lang w:val="en-US" w:eastAsia="zh-CN"/>
        </w:rPr>
        <w:t>2</w:t>
      </w:r>
      <w:r>
        <w:rPr>
          <w:rFonts w:hint="eastAsia" w:ascii="宋体" w:hAnsi="宋体" w:eastAsia="宋体" w:cs="宋体"/>
          <w:b w:val="0"/>
          <w:bCs w:val="0"/>
          <w:sz w:val="28"/>
          <w:szCs w:val="28"/>
          <w:highlight w:val="none"/>
        </w:rPr>
        <w:t xml:space="preserve"> 建议</w:t>
      </w:r>
      <w:r>
        <w:rPr>
          <w:rFonts w:hint="eastAsia" w:ascii="宋体" w:hAnsi="宋体" w:cs="宋体"/>
          <w:b w:val="0"/>
          <w:bCs w:val="0"/>
          <w:sz w:val="28"/>
          <w:szCs w:val="28"/>
        </w:rPr>
        <w:tab/>
      </w: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PAGEREF _Toc21143 \h </w:instrText>
      </w:r>
      <w:r>
        <w:rPr>
          <w:rFonts w:hint="eastAsia" w:ascii="宋体" w:hAnsi="宋体" w:cs="宋体"/>
          <w:b w:val="0"/>
          <w:bCs w:val="0"/>
          <w:sz w:val="28"/>
          <w:szCs w:val="28"/>
        </w:rPr>
        <w:fldChar w:fldCharType="separate"/>
      </w:r>
      <w:r>
        <w:rPr>
          <w:rFonts w:hint="eastAsia" w:ascii="宋体" w:hAnsi="宋体" w:cs="宋体"/>
          <w:b w:val="0"/>
          <w:bCs w:val="0"/>
          <w:sz w:val="28"/>
          <w:szCs w:val="28"/>
        </w:rPr>
        <w:t>88</w:t>
      </w:r>
      <w:r>
        <w:rPr>
          <w:rFonts w:hint="eastAsia" w:ascii="宋体" w:hAnsi="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3A450E6A">
      <w:pPr>
        <w:pStyle w:val="41"/>
        <w:tabs>
          <w:tab w:val="right" w:leader="dot" w:pos="9184"/>
          <w:tab w:val="clear" w:pos="9174"/>
        </w:tabs>
        <w:jc w:val="left"/>
        <w:rPr>
          <w:rFonts w:hint="eastAsia" w:ascii="宋体" w:hAnsi="宋体" w:eastAsia="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_Toc24381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7 安全评价结论</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_Toc24381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89</w:t>
      </w:r>
      <w:r>
        <w:rPr>
          <w:rFonts w:hint="eastAsia" w:ascii="宋体" w:hAnsi="宋体" w:eastAsia="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105B7978">
      <w:pPr>
        <w:pStyle w:val="41"/>
        <w:tabs>
          <w:tab w:val="right" w:leader="dot" w:pos="9184"/>
          <w:tab w:val="clear" w:pos="9174"/>
        </w:tabs>
        <w:jc w:val="left"/>
        <w:rPr>
          <w:rFonts w:hint="eastAsia" w:ascii="宋体" w:hAnsi="宋体" w:eastAsia="宋体" w:cs="宋体"/>
          <w:b w:val="0"/>
          <w:bCs w:val="0"/>
          <w:sz w:val="28"/>
          <w:szCs w:val="28"/>
        </w:rPr>
      </w:pPr>
      <w:r>
        <w:rPr>
          <w:rFonts w:hint="eastAsia" w:ascii="宋体" w:hAnsi="宋体" w:eastAsia="宋体" w:cs="宋体"/>
          <w:b w:val="0"/>
          <w:bCs w:val="0"/>
          <w:i w:val="0"/>
          <w:iCs w:val="0"/>
          <w:snapToGrid w:val="0"/>
          <w:color w:val="auto"/>
          <w:kern w:val="52"/>
          <w:sz w:val="28"/>
          <w:szCs w:val="28"/>
          <w:highlight w:val="none"/>
          <w:lang w:val="zh-CN"/>
        </w:rPr>
        <w:fldChar w:fldCharType="begin"/>
      </w:r>
      <w:r>
        <w:rPr>
          <w:rFonts w:hint="eastAsia" w:ascii="宋体" w:hAnsi="宋体" w:eastAsia="宋体" w:cs="宋体"/>
          <w:b w:val="0"/>
          <w:bCs w:val="0"/>
          <w:i w:val="0"/>
          <w:iCs w:val="0"/>
          <w:snapToGrid w:val="0"/>
          <w:kern w:val="52"/>
          <w:sz w:val="28"/>
          <w:szCs w:val="28"/>
          <w:highlight w:val="none"/>
          <w:lang w:val="zh-CN"/>
        </w:rPr>
        <w:instrText xml:space="preserve"> HYPERLINK \l _Toc12390 </w:instrText>
      </w:r>
      <w:r>
        <w:rPr>
          <w:rFonts w:hint="eastAsia" w:ascii="宋体" w:hAnsi="宋体" w:eastAsia="宋体" w:cs="宋体"/>
          <w:b w:val="0"/>
          <w:bCs w:val="0"/>
          <w:i w:val="0"/>
          <w:iCs w:val="0"/>
          <w:snapToGrid w:val="0"/>
          <w:kern w:val="52"/>
          <w:sz w:val="28"/>
          <w:szCs w:val="28"/>
          <w:highlight w:val="none"/>
          <w:lang w:val="zh-CN"/>
        </w:rPr>
        <w:fldChar w:fldCharType="separate"/>
      </w:r>
      <w:r>
        <w:rPr>
          <w:rFonts w:hint="eastAsia" w:ascii="宋体" w:hAnsi="宋体" w:eastAsia="宋体" w:cs="宋体"/>
          <w:b w:val="0"/>
          <w:bCs w:val="0"/>
          <w:sz w:val="28"/>
          <w:szCs w:val="28"/>
          <w:highlight w:val="none"/>
        </w:rPr>
        <w:t>8</w:t>
      </w:r>
      <w:r>
        <w:rPr>
          <w:rFonts w:hint="eastAsia" w:ascii="宋体" w:hAnsi="宋体" w:eastAsia="宋体" w:cs="宋体"/>
          <w:b w:val="0"/>
          <w:bCs w:val="0"/>
          <w:sz w:val="28"/>
          <w:szCs w:val="28"/>
          <w:highlight w:val="none"/>
          <w:lang w:val="en-US" w:eastAsia="zh-CN"/>
        </w:rPr>
        <w:t xml:space="preserve"> </w:t>
      </w:r>
      <w:r>
        <w:rPr>
          <w:rFonts w:hint="eastAsia" w:ascii="宋体" w:hAnsi="宋体" w:eastAsia="宋体" w:cs="宋体"/>
          <w:b w:val="0"/>
          <w:bCs w:val="0"/>
          <w:sz w:val="28"/>
          <w:szCs w:val="28"/>
          <w:highlight w:val="none"/>
        </w:rPr>
        <w:t>附件</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_Toc12390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90</w:t>
      </w:r>
      <w:r>
        <w:rPr>
          <w:rFonts w:hint="eastAsia" w:ascii="宋体" w:hAnsi="宋体" w:eastAsia="宋体" w:cs="宋体"/>
          <w:b w:val="0"/>
          <w:bCs w:val="0"/>
          <w:sz w:val="28"/>
          <w:szCs w:val="28"/>
        </w:rPr>
        <w:fldChar w:fldCharType="end"/>
      </w:r>
      <w:r>
        <w:rPr>
          <w:rFonts w:hint="eastAsia" w:ascii="宋体" w:hAnsi="宋体" w:eastAsia="宋体" w:cs="宋体"/>
          <w:b w:val="0"/>
          <w:bCs w:val="0"/>
          <w:i w:val="0"/>
          <w:iCs w:val="0"/>
          <w:snapToGrid w:val="0"/>
          <w:color w:val="auto"/>
          <w:kern w:val="52"/>
          <w:sz w:val="28"/>
          <w:szCs w:val="28"/>
          <w:highlight w:val="none"/>
          <w:lang w:val="zh-CN"/>
        </w:rPr>
        <w:fldChar w:fldCharType="end"/>
      </w:r>
    </w:p>
    <w:p w14:paraId="44101CE4">
      <w:pPr>
        <w:adjustRightInd w:val="0"/>
        <w:snapToGrid w:val="0"/>
        <w:spacing w:line="360" w:lineRule="auto"/>
        <w:jc w:val="left"/>
        <w:rPr>
          <w:color w:val="auto"/>
          <w:highlight w:val="none"/>
        </w:rPr>
      </w:pPr>
      <w:r>
        <w:rPr>
          <w:rFonts w:hint="eastAsia" w:ascii="宋体" w:hAnsi="宋体" w:eastAsia="宋体" w:cs="宋体"/>
          <w:b w:val="0"/>
          <w:bCs w:val="0"/>
          <w:i w:val="0"/>
          <w:iCs w:val="0"/>
          <w:snapToGrid w:val="0"/>
          <w:color w:val="auto"/>
          <w:kern w:val="52"/>
          <w:sz w:val="28"/>
          <w:szCs w:val="28"/>
          <w:highlight w:val="none"/>
          <w:lang w:val="zh-CN"/>
        </w:rPr>
        <w:fldChar w:fldCharType="end"/>
      </w:r>
    </w:p>
    <w:p w14:paraId="0DFFD42B">
      <w:pPr>
        <w:adjustRightInd w:val="0"/>
        <w:snapToGrid w:val="0"/>
        <w:rPr>
          <w:color w:val="auto"/>
          <w:highlight w:val="none"/>
        </w:rPr>
      </w:pPr>
    </w:p>
    <w:p w14:paraId="6F9CF56A">
      <w:pPr>
        <w:adjustRightInd w:val="0"/>
        <w:snapToGrid w:val="0"/>
        <w:rPr>
          <w:color w:val="auto"/>
          <w:highlight w:val="none"/>
        </w:rPr>
      </w:pPr>
    </w:p>
    <w:p w14:paraId="48841F16">
      <w:pPr>
        <w:adjustRightInd w:val="0"/>
        <w:snapToGrid w:val="0"/>
        <w:rPr>
          <w:color w:val="auto"/>
          <w:highlight w:val="none"/>
        </w:rPr>
      </w:pPr>
    </w:p>
    <w:p w14:paraId="17A9DFD7">
      <w:pPr>
        <w:adjustRightInd w:val="0"/>
        <w:snapToGrid w:val="0"/>
        <w:rPr>
          <w:color w:val="auto"/>
          <w:highlight w:val="none"/>
        </w:rPr>
      </w:pPr>
    </w:p>
    <w:p w14:paraId="0F18CF4D">
      <w:pPr>
        <w:adjustRightInd w:val="0"/>
        <w:snapToGrid w:val="0"/>
        <w:rPr>
          <w:color w:val="auto"/>
          <w:highlight w:val="none"/>
        </w:rPr>
      </w:pPr>
    </w:p>
    <w:p w14:paraId="5CB517A6">
      <w:pPr>
        <w:adjustRightInd w:val="0"/>
        <w:snapToGrid w:val="0"/>
        <w:rPr>
          <w:color w:val="auto"/>
          <w:highlight w:val="none"/>
        </w:rPr>
      </w:pPr>
    </w:p>
    <w:p w14:paraId="1CE8A9D7">
      <w:pPr>
        <w:adjustRightInd w:val="0"/>
        <w:snapToGrid w:val="0"/>
        <w:rPr>
          <w:color w:val="auto"/>
          <w:highlight w:val="none"/>
        </w:rPr>
      </w:pPr>
    </w:p>
    <w:p w14:paraId="342F596D">
      <w:pPr>
        <w:adjustRightInd w:val="0"/>
        <w:snapToGrid w:val="0"/>
        <w:rPr>
          <w:color w:val="auto"/>
          <w:highlight w:val="none"/>
        </w:rPr>
      </w:pPr>
    </w:p>
    <w:p w14:paraId="19E6D550">
      <w:pPr>
        <w:adjustRightInd w:val="0"/>
        <w:snapToGrid w:val="0"/>
        <w:rPr>
          <w:color w:val="auto"/>
          <w:highlight w:val="none"/>
        </w:rPr>
      </w:pPr>
    </w:p>
    <w:p w14:paraId="05890E1A">
      <w:pPr>
        <w:adjustRightInd w:val="0"/>
        <w:snapToGrid w:val="0"/>
        <w:rPr>
          <w:color w:val="auto"/>
          <w:highlight w:val="none"/>
        </w:rPr>
      </w:pPr>
    </w:p>
    <w:p w14:paraId="47505C03">
      <w:pPr>
        <w:adjustRightInd w:val="0"/>
        <w:snapToGrid w:val="0"/>
        <w:rPr>
          <w:color w:val="auto"/>
          <w:highlight w:val="none"/>
        </w:rPr>
      </w:pPr>
    </w:p>
    <w:p w14:paraId="428CE33D">
      <w:pPr>
        <w:adjustRightInd w:val="0"/>
        <w:snapToGrid w:val="0"/>
        <w:rPr>
          <w:color w:val="auto"/>
          <w:highlight w:val="none"/>
        </w:rPr>
      </w:pPr>
    </w:p>
    <w:p w14:paraId="5DD5B6A6">
      <w:pPr>
        <w:adjustRightInd w:val="0"/>
        <w:snapToGrid w:val="0"/>
        <w:rPr>
          <w:color w:val="auto"/>
          <w:highlight w:val="none"/>
        </w:rPr>
      </w:pPr>
    </w:p>
    <w:p w14:paraId="4B7E9426">
      <w:pPr>
        <w:adjustRightInd w:val="0"/>
        <w:snapToGrid w:val="0"/>
        <w:rPr>
          <w:color w:val="auto"/>
          <w:highlight w:val="none"/>
        </w:rPr>
      </w:pPr>
    </w:p>
    <w:p w14:paraId="123E4CFE">
      <w:pPr>
        <w:adjustRightInd w:val="0"/>
        <w:snapToGrid w:val="0"/>
        <w:rPr>
          <w:color w:val="auto"/>
          <w:highlight w:val="none"/>
        </w:rPr>
      </w:pPr>
    </w:p>
    <w:p w14:paraId="0C302C1C">
      <w:pPr>
        <w:adjustRightInd w:val="0"/>
        <w:snapToGrid w:val="0"/>
        <w:rPr>
          <w:color w:val="auto"/>
          <w:highlight w:val="none"/>
        </w:rPr>
      </w:pPr>
    </w:p>
    <w:p w14:paraId="58ECD6A2">
      <w:pPr>
        <w:adjustRightInd w:val="0"/>
        <w:snapToGrid w:val="0"/>
        <w:rPr>
          <w:color w:val="auto"/>
          <w:highlight w:val="none"/>
        </w:rPr>
      </w:pPr>
    </w:p>
    <w:p w14:paraId="2C1BC9F7">
      <w:pPr>
        <w:adjustRightInd w:val="0"/>
        <w:snapToGrid w:val="0"/>
        <w:rPr>
          <w:color w:val="auto"/>
          <w:highlight w:val="none"/>
        </w:rPr>
      </w:pPr>
    </w:p>
    <w:p w14:paraId="0F055CB9">
      <w:pPr>
        <w:adjustRightInd w:val="0"/>
        <w:snapToGrid w:val="0"/>
        <w:rPr>
          <w:color w:val="auto"/>
          <w:highlight w:val="none"/>
        </w:rPr>
      </w:pPr>
    </w:p>
    <w:p w14:paraId="3D00AD20">
      <w:pPr>
        <w:adjustRightInd w:val="0"/>
        <w:snapToGrid w:val="0"/>
        <w:rPr>
          <w:color w:val="auto"/>
          <w:highlight w:val="none"/>
        </w:rPr>
      </w:pPr>
    </w:p>
    <w:p w14:paraId="52204266">
      <w:pPr>
        <w:adjustRightInd w:val="0"/>
        <w:snapToGrid w:val="0"/>
        <w:rPr>
          <w:color w:val="auto"/>
          <w:highlight w:val="none"/>
        </w:rPr>
      </w:pPr>
    </w:p>
    <w:p w14:paraId="62000EDA">
      <w:pPr>
        <w:adjustRightInd w:val="0"/>
        <w:snapToGrid w:val="0"/>
        <w:rPr>
          <w:color w:val="auto"/>
          <w:highlight w:val="none"/>
        </w:rPr>
      </w:pPr>
    </w:p>
    <w:p w14:paraId="7A2A8BD7">
      <w:pPr>
        <w:adjustRightInd w:val="0"/>
        <w:snapToGrid w:val="0"/>
        <w:rPr>
          <w:color w:val="auto"/>
          <w:highlight w:val="none"/>
        </w:rPr>
      </w:pPr>
    </w:p>
    <w:p w14:paraId="56265107">
      <w:pPr>
        <w:adjustRightInd w:val="0"/>
        <w:snapToGrid w:val="0"/>
        <w:rPr>
          <w:color w:val="auto"/>
          <w:highlight w:val="none"/>
        </w:rPr>
      </w:pPr>
    </w:p>
    <w:p w14:paraId="66248C3B">
      <w:pPr>
        <w:adjustRightInd w:val="0"/>
        <w:snapToGrid w:val="0"/>
        <w:rPr>
          <w:color w:val="auto"/>
          <w:highlight w:val="none"/>
        </w:rPr>
      </w:pPr>
    </w:p>
    <w:p w14:paraId="2D7900A1">
      <w:pPr>
        <w:adjustRightInd w:val="0"/>
        <w:snapToGrid w:val="0"/>
        <w:rPr>
          <w:color w:val="auto"/>
          <w:highlight w:val="none"/>
        </w:rPr>
      </w:pPr>
    </w:p>
    <w:p w14:paraId="3E4BA4DD">
      <w:pPr>
        <w:adjustRightInd w:val="0"/>
        <w:snapToGrid w:val="0"/>
        <w:rPr>
          <w:color w:val="auto"/>
          <w:highlight w:val="none"/>
        </w:rPr>
      </w:pPr>
    </w:p>
    <w:p w14:paraId="3BE9C985">
      <w:pPr>
        <w:adjustRightInd w:val="0"/>
        <w:snapToGrid w:val="0"/>
        <w:rPr>
          <w:color w:val="auto"/>
          <w:highlight w:val="none"/>
        </w:rPr>
      </w:pPr>
    </w:p>
    <w:p w14:paraId="3C21981A">
      <w:pPr>
        <w:adjustRightInd w:val="0"/>
        <w:snapToGrid w:val="0"/>
        <w:rPr>
          <w:color w:val="auto"/>
          <w:highlight w:val="none"/>
        </w:rPr>
      </w:pPr>
    </w:p>
    <w:p w14:paraId="52B613D5">
      <w:pPr>
        <w:adjustRightInd w:val="0"/>
        <w:snapToGrid w:val="0"/>
        <w:rPr>
          <w:color w:val="auto"/>
          <w:highlight w:val="none"/>
        </w:rPr>
      </w:pPr>
    </w:p>
    <w:p w14:paraId="247CF719">
      <w:pPr>
        <w:adjustRightInd w:val="0"/>
        <w:snapToGrid w:val="0"/>
        <w:rPr>
          <w:color w:val="auto"/>
          <w:highlight w:val="none"/>
        </w:rPr>
      </w:pPr>
    </w:p>
    <w:p w14:paraId="6277E9DB">
      <w:pPr>
        <w:pageBreakBefore/>
        <w:adjustRightInd w:val="0"/>
        <w:snapToGrid w:val="0"/>
        <w:spacing w:beforeLines="100" w:afterLines="100" w:line="360" w:lineRule="auto"/>
        <w:jc w:val="center"/>
        <w:outlineLvl w:val="0"/>
        <w:rPr>
          <w:rFonts w:ascii="Times New Roman" w:hAnsi="Times New Roman" w:eastAsia="黑体" w:cs="Times New Roman"/>
          <w:b/>
          <w:color w:val="auto"/>
          <w:sz w:val="32"/>
          <w:szCs w:val="32"/>
          <w:highlight w:val="none"/>
        </w:rPr>
        <w:sectPr>
          <w:footerReference r:id="rId8" w:type="default"/>
          <w:pgSz w:w="11906" w:h="16838"/>
          <w:pgMar w:top="1418" w:right="1134" w:bottom="1134" w:left="1588" w:header="794" w:footer="794" w:gutter="0"/>
          <w:pgBorders>
            <w:top w:val="none" w:sz="0" w:space="0"/>
            <w:left w:val="none" w:sz="0" w:space="0"/>
            <w:bottom w:val="none" w:sz="0" w:space="0"/>
            <w:right w:val="none" w:sz="0" w:space="0"/>
          </w:pgBorders>
          <w:pgNumType w:fmt="upperRoman" w:start="1"/>
          <w:cols w:space="425" w:num="1"/>
          <w:docGrid w:type="lines" w:linePitch="312" w:charSpace="0"/>
        </w:sectPr>
      </w:pPr>
      <w:bookmarkStart w:id="45" w:name="_Toc320805290"/>
      <w:bookmarkStart w:id="46" w:name="_Toc347695670"/>
      <w:bookmarkStart w:id="47" w:name="_Toc498075549"/>
    </w:p>
    <w:p w14:paraId="149E8DBA">
      <w:pPr>
        <w:pageBreakBefore/>
        <w:adjustRightInd w:val="0"/>
        <w:snapToGrid w:val="0"/>
        <w:spacing w:beforeLines="100" w:afterLines="100" w:line="360" w:lineRule="auto"/>
        <w:jc w:val="center"/>
        <w:outlineLvl w:val="0"/>
        <w:rPr>
          <w:rFonts w:hint="eastAsia" w:ascii="黑体" w:hAnsi="黑体" w:eastAsia="黑体" w:cs="黑体"/>
          <w:b/>
          <w:color w:val="auto"/>
          <w:sz w:val="32"/>
          <w:szCs w:val="32"/>
          <w:highlight w:val="none"/>
        </w:rPr>
      </w:pPr>
      <w:bookmarkStart w:id="48" w:name="_Toc11795"/>
      <w:bookmarkStart w:id="49" w:name="_Toc60846564"/>
      <w:bookmarkStart w:id="50" w:name="_Toc8415"/>
      <w:bookmarkStart w:id="51" w:name="_Toc30363"/>
      <w:bookmarkStart w:id="52" w:name="_Toc20466"/>
      <w:bookmarkStart w:id="53" w:name="_Toc7332"/>
      <w:bookmarkStart w:id="54" w:name="_Toc18356"/>
      <w:bookmarkStart w:id="55" w:name="_Toc15553"/>
      <w:bookmarkStart w:id="56" w:name="_Toc9633"/>
      <w:bookmarkStart w:id="57" w:name="_Toc9555"/>
      <w:bookmarkStart w:id="58" w:name="_Toc8755"/>
      <w:bookmarkStart w:id="59" w:name="_Toc1307"/>
      <w:bookmarkStart w:id="60" w:name="_Toc13099"/>
      <w:bookmarkStart w:id="61" w:name="_Toc25635"/>
      <w:bookmarkStart w:id="62" w:name="_Toc19260"/>
      <w:bookmarkStart w:id="63" w:name="_Toc4139"/>
      <w:bookmarkStart w:id="64" w:name="_Toc2087"/>
      <w:bookmarkStart w:id="65" w:name="_Toc20800"/>
      <w:r>
        <w:rPr>
          <w:rFonts w:hint="eastAsia" w:ascii="黑体" w:hAnsi="黑体" w:eastAsia="黑体" w:cs="黑体"/>
          <w:b/>
          <w:color w:val="auto"/>
          <w:sz w:val="32"/>
          <w:szCs w:val="32"/>
          <w:highlight w:val="none"/>
        </w:rPr>
        <w:t>1</w:t>
      </w:r>
      <w:bookmarkEnd w:id="45"/>
      <w:bookmarkEnd w:id="46"/>
      <w:r>
        <w:rPr>
          <w:rFonts w:hint="eastAsia" w:ascii="黑体" w:hAnsi="黑体" w:eastAsia="黑体" w:cs="黑体"/>
          <w:b/>
          <w:color w:val="auto"/>
          <w:sz w:val="32"/>
          <w:szCs w:val="32"/>
          <w:highlight w:val="none"/>
        </w:rPr>
        <w:t xml:space="preserve"> 编制说明</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13D890F0">
      <w:pPr>
        <w:pStyle w:val="89"/>
        <w:adjustRightInd w:val="0"/>
        <w:snapToGrid w:val="0"/>
        <w:spacing w:beforeLines="0" w:afterLines="0" w:line="360" w:lineRule="auto"/>
        <w:jc w:val="left"/>
        <w:rPr>
          <w:rFonts w:ascii="黑体" w:hAnsi="黑体" w:eastAsia="黑体"/>
          <w:color w:val="auto"/>
          <w:sz w:val="28"/>
          <w:szCs w:val="28"/>
          <w:highlight w:val="none"/>
        </w:rPr>
      </w:pPr>
      <w:bookmarkStart w:id="66" w:name="_Toc20528"/>
      <w:bookmarkStart w:id="67" w:name="_Toc498075550"/>
      <w:bookmarkStart w:id="68" w:name="_Toc3219"/>
      <w:bookmarkStart w:id="69" w:name="_Toc13529"/>
      <w:bookmarkStart w:id="70" w:name="_Toc27128"/>
      <w:bookmarkStart w:id="71" w:name="_Toc14419"/>
      <w:bookmarkStart w:id="72" w:name="_Toc20959"/>
      <w:bookmarkStart w:id="73" w:name="_Toc4423"/>
      <w:bookmarkStart w:id="74" w:name="_Toc4994"/>
      <w:bookmarkStart w:id="75" w:name="_Toc14262"/>
      <w:bookmarkStart w:id="76" w:name="_Toc12957"/>
      <w:bookmarkStart w:id="77" w:name="_Toc2334"/>
      <w:bookmarkStart w:id="78" w:name="_Toc28888"/>
      <w:bookmarkStart w:id="79" w:name="_Toc21012"/>
      <w:bookmarkStart w:id="80" w:name="_Toc10251"/>
      <w:bookmarkStart w:id="81" w:name="_Toc60846565"/>
      <w:bookmarkStart w:id="82" w:name="_Toc21490"/>
      <w:bookmarkStart w:id="83" w:name="_Toc19491"/>
      <w:bookmarkStart w:id="84" w:name="_Toc30183"/>
      <w:r>
        <w:rPr>
          <w:rFonts w:ascii="黑体" w:hAnsi="黑体" w:eastAsia="黑体"/>
          <w:color w:val="auto"/>
          <w:sz w:val="28"/>
          <w:szCs w:val="28"/>
          <w:highlight w:val="none"/>
        </w:rPr>
        <w:t>1.1 评价目的</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19ECBAEC">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（1）通过评价找出该企业在</w:t>
      </w:r>
      <w:r>
        <w:rPr>
          <w:rFonts w:hint="eastAsia" w:ascii="宋体" w:hAnsi="宋体" w:eastAsia="宋体" w:cs="宋体"/>
          <w:color w:val="auto"/>
          <w:kern w:val="0"/>
          <w:sz w:val="28"/>
          <w:szCs w:val="28"/>
          <w:highlight w:val="none"/>
          <w:lang w:eastAsia="zh-CN"/>
        </w:rPr>
        <w:t>危化品仓库储存</w:t>
      </w:r>
      <w:r>
        <w:rPr>
          <w:rFonts w:hint="eastAsia" w:ascii="宋体" w:hAnsi="宋体" w:eastAsia="宋体" w:cs="宋体"/>
          <w:color w:val="auto"/>
          <w:kern w:val="0"/>
          <w:sz w:val="28"/>
          <w:szCs w:val="28"/>
          <w:highlight w:val="none"/>
        </w:rPr>
        <w:t>过程中存在的主要危险有害因素、安全隐患和存在的问题，在此基础上提出相应的对策、建议，为企业危化品</w:t>
      </w:r>
      <w:r>
        <w:rPr>
          <w:rFonts w:hint="eastAsia" w:ascii="宋体" w:hAnsi="宋体" w:eastAsia="宋体" w:cs="宋体"/>
          <w:color w:val="auto"/>
          <w:kern w:val="0"/>
          <w:sz w:val="28"/>
          <w:szCs w:val="28"/>
          <w:highlight w:val="none"/>
          <w:lang w:eastAsia="zh-CN"/>
        </w:rPr>
        <w:t>储存</w:t>
      </w:r>
      <w:r>
        <w:rPr>
          <w:rFonts w:hint="eastAsia" w:ascii="宋体" w:hAnsi="宋体" w:eastAsia="宋体" w:cs="宋体"/>
          <w:color w:val="auto"/>
          <w:kern w:val="0"/>
          <w:sz w:val="28"/>
          <w:szCs w:val="28"/>
          <w:highlight w:val="none"/>
        </w:rPr>
        <w:t>及日常管理提供依据。</w:t>
      </w:r>
    </w:p>
    <w:p w14:paraId="40A865BE">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（2）为应急管理部门实施综合监督管理提供依据。</w:t>
      </w:r>
    </w:p>
    <w:p w14:paraId="538C1875">
      <w:pPr>
        <w:pStyle w:val="89"/>
        <w:adjustRightInd w:val="0"/>
        <w:snapToGrid w:val="0"/>
        <w:spacing w:beforeLines="0" w:afterLines="0" w:line="360" w:lineRule="auto"/>
        <w:jc w:val="left"/>
        <w:rPr>
          <w:rFonts w:ascii="黑体" w:hAnsi="黑体" w:eastAsia="黑体"/>
          <w:color w:val="auto"/>
          <w:sz w:val="28"/>
          <w:szCs w:val="28"/>
          <w:highlight w:val="none"/>
        </w:rPr>
      </w:pPr>
      <w:bookmarkStart w:id="85" w:name="_Toc22265"/>
      <w:bookmarkStart w:id="86" w:name="_Toc9007"/>
      <w:bookmarkStart w:id="87" w:name="_Toc25230"/>
      <w:bookmarkStart w:id="88" w:name="_Toc32706"/>
      <w:bookmarkStart w:id="89" w:name="_Toc12170"/>
      <w:bookmarkStart w:id="90" w:name="_Toc24221"/>
      <w:bookmarkStart w:id="91" w:name="_Toc5647"/>
      <w:bookmarkStart w:id="92" w:name="_Toc16949"/>
      <w:bookmarkStart w:id="93" w:name="_Toc498075551"/>
      <w:bookmarkStart w:id="94" w:name="_Toc19055"/>
      <w:bookmarkStart w:id="95" w:name="_Toc60846566"/>
      <w:bookmarkStart w:id="96" w:name="_Toc10085"/>
      <w:bookmarkStart w:id="97" w:name="_Toc16022"/>
      <w:bookmarkStart w:id="98" w:name="_Toc26326"/>
      <w:bookmarkStart w:id="99" w:name="_Toc27983"/>
      <w:bookmarkStart w:id="100" w:name="_Toc10121"/>
      <w:bookmarkStart w:id="101" w:name="_Toc24783"/>
      <w:bookmarkStart w:id="102" w:name="_Toc25560"/>
      <w:bookmarkStart w:id="103" w:name="_Toc8818"/>
      <w:r>
        <w:rPr>
          <w:rFonts w:ascii="黑体" w:hAnsi="黑体" w:eastAsia="黑体"/>
          <w:color w:val="auto"/>
          <w:sz w:val="28"/>
          <w:szCs w:val="28"/>
          <w:highlight w:val="none"/>
        </w:rPr>
        <w:t xml:space="preserve">1.2 </w:t>
      </w:r>
      <w:r>
        <w:rPr>
          <w:rFonts w:hint="eastAsia" w:ascii="黑体" w:hAnsi="黑体" w:eastAsia="黑体"/>
          <w:color w:val="auto"/>
          <w:sz w:val="28"/>
          <w:szCs w:val="28"/>
          <w:highlight w:val="none"/>
        </w:rPr>
        <w:t>评价依据</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14:paraId="12BA56E4">
      <w:pPr>
        <w:pStyle w:val="93"/>
        <w:numPr>
          <w:ilvl w:val="2"/>
          <w:numId w:val="1"/>
        </w:numPr>
        <w:adjustRightInd w:val="0"/>
        <w:snapToGrid w:val="0"/>
        <w:spacing w:beforeLines="0" w:afterLines="0" w:line="360" w:lineRule="auto"/>
        <w:ind w:left="0" w:firstLine="0" w:firstLineChars="0"/>
        <w:outlineLvl w:val="2"/>
        <w:rPr>
          <w:rFonts w:ascii="黑体" w:hAnsi="黑体" w:eastAsia="黑体" w:cs="Times New Roman"/>
          <w:b/>
          <w:color w:val="auto"/>
          <w:sz w:val="28"/>
          <w:szCs w:val="28"/>
          <w:highlight w:val="none"/>
        </w:rPr>
      </w:pPr>
      <w:bookmarkStart w:id="104" w:name="_Toc4704"/>
      <w:bookmarkStart w:id="105" w:name="_Toc22259"/>
      <w:bookmarkStart w:id="106" w:name="_Toc16374"/>
      <w:bookmarkStart w:id="107" w:name="_Toc7328"/>
      <w:bookmarkStart w:id="108" w:name="_Toc8425"/>
      <w:bookmarkStart w:id="109" w:name="_Toc227391587"/>
      <w:bookmarkStart w:id="110" w:name="_Toc30562"/>
      <w:bookmarkStart w:id="111" w:name="_Toc12474"/>
      <w:bookmarkStart w:id="112" w:name="_Toc10953"/>
      <w:bookmarkStart w:id="113" w:name="_Toc17571"/>
      <w:bookmarkStart w:id="114" w:name="_Toc498075552"/>
      <w:bookmarkStart w:id="115" w:name="_Toc60846567"/>
      <w:bookmarkStart w:id="116" w:name="_Toc5194"/>
      <w:bookmarkStart w:id="117" w:name="_Toc27828"/>
      <w:r>
        <w:rPr>
          <w:rFonts w:hint="eastAsia" w:ascii="黑体" w:hAnsi="黑体" w:eastAsia="黑体" w:cs="Times New Roman"/>
          <w:b/>
          <w:color w:val="auto"/>
          <w:sz w:val="28"/>
          <w:szCs w:val="28"/>
          <w:highlight w:val="none"/>
          <w:lang w:val="en-US" w:eastAsia="zh-CN"/>
        </w:rPr>
        <w:t xml:space="preserve"> </w:t>
      </w:r>
      <w:bookmarkStart w:id="118" w:name="_Toc17289"/>
      <w:bookmarkStart w:id="119" w:name="_Toc21876"/>
      <w:bookmarkStart w:id="120" w:name="_Toc15214"/>
      <w:bookmarkStart w:id="121" w:name="_Toc5347"/>
      <w:bookmarkStart w:id="122" w:name="_Toc21288"/>
      <w:bookmarkStart w:id="123" w:name="_Toc28480"/>
      <w:r>
        <w:rPr>
          <w:rFonts w:ascii="黑体" w:hAnsi="黑体" w:eastAsia="黑体" w:cs="Times New Roman"/>
          <w:b/>
          <w:color w:val="auto"/>
          <w:sz w:val="28"/>
          <w:szCs w:val="28"/>
          <w:highlight w:val="none"/>
        </w:rPr>
        <w:t>主要法律法规</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10562537">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《中华人民共和国安全生产法》主席令〔2002〕70号发布，主席令〔2009〕18号、主席令〔2014〕13号、主席令〔2021〕88号修正</w:t>
      </w:r>
    </w:p>
    <w:p w14:paraId="7E1E0787">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《中华人民共和国消防法》主席令</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2008</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6号</w:t>
      </w:r>
      <w:r>
        <w:rPr>
          <w:rFonts w:hint="eastAsia" w:ascii="宋体" w:hAnsi="宋体" w:cs="宋体"/>
          <w:color w:val="auto"/>
          <w:kern w:val="0"/>
          <w:sz w:val="28"/>
          <w:szCs w:val="28"/>
          <w:highlight w:val="none"/>
          <w:lang w:eastAsia="zh-CN"/>
        </w:rPr>
        <w:t>发布</w:t>
      </w:r>
      <w:r>
        <w:rPr>
          <w:rFonts w:hint="eastAsia" w:ascii="宋体" w:hAnsi="宋体" w:eastAsia="宋体" w:cs="宋体"/>
          <w:color w:val="auto"/>
          <w:kern w:val="0"/>
          <w:sz w:val="28"/>
          <w:szCs w:val="28"/>
          <w:highlight w:val="none"/>
        </w:rPr>
        <w:t>，主席令</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2019</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29号修改，主席令</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2021</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81号修改</w:t>
      </w:r>
    </w:p>
    <w:p w14:paraId="5CA72968">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《中华人民共和国特种设备安全法》主席令〔2014〕第4号</w:t>
      </w:r>
    </w:p>
    <w:p w14:paraId="433E59DF">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《特种设备安全监察条例》国务院令第549号</w:t>
      </w:r>
    </w:p>
    <w:p w14:paraId="307629AE">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《危险化学品安全管理条例》国务院令〔2011〕第591号，〔2013〕第645号修改</w:t>
      </w:r>
    </w:p>
    <w:p w14:paraId="0FAC7BC7">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w:t>
      </w:r>
      <w:r>
        <w:rPr>
          <w:rFonts w:hint="eastAsia" w:ascii="宋体" w:hAnsi="宋体" w:cs="宋体"/>
          <w:color w:val="auto"/>
          <w:kern w:val="0"/>
          <w:sz w:val="28"/>
          <w:szCs w:val="28"/>
          <w:highlight w:val="none"/>
        </w:rPr>
        <w:t>仓库防火安全管理规则</w:t>
      </w:r>
      <w:r>
        <w:rPr>
          <w:rFonts w:hint="eastAsia" w:ascii="宋体" w:hAnsi="宋体" w:cs="宋体"/>
          <w:color w:val="auto"/>
          <w:kern w:val="0"/>
          <w:sz w:val="28"/>
          <w:szCs w:val="28"/>
          <w:highlight w:val="none"/>
          <w:lang w:eastAsia="zh-CN"/>
        </w:rPr>
        <w:t>》</w:t>
      </w:r>
      <w:r>
        <w:rPr>
          <w:rFonts w:hint="eastAsia" w:ascii="宋体" w:hAnsi="宋体" w:cs="宋体"/>
          <w:color w:val="auto"/>
          <w:kern w:val="0"/>
          <w:sz w:val="28"/>
          <w:szCs w:val="28"/>
          <w:highlight w:val="none"/>
        </w:rPr>
        <w:t>公安部令</w:t>
      </w:r>
      <w:r>
        <w:rPr>
          <w:rFonts w:hint="eastAsia" w:ascii="宋体" w:hAnsi="宋体" w:eastAsia="宋体" w:cs="宋体"/>
          <w:color w:val="auto"/>
          <w:kern w:val="0"/>
          <w:sz w:val="28"/>
          <w:szCs w:val="28"/>
          <w:highlight w:val="none"/>
        </w:rPr>
        <w:t>〔</w:t>
      </w:r>
      <w:r>
        <w:rPr>
          <w:rFonts w:hint="eastAsia" w:ascii="宋体" w:hAnsi="宋体" w:cs="宋体"/>
          <w:color w:val="auto"/>
          <w:kern w:val="0"/>
          <w:sz w:val="28"/>
          <w:szCs w:val="28"/>
          <w:highlight w:val="none"/>
          <w:lang w:val="en-US" w:eastAsia="zh-CN"/>
        </w:rPr>
        <w:t>1990</w:t>
      </w:r>
      <w:r>
        <w:rPr>
          <w:rFonts w:hint="eastAsia" w:ascii="宋体" w:hAnsi="宋体" w:eastAsia="宋体" w:cs="宋体"/>
          <w:color w:val="auto"/>
          <w:kern w:val="0"/>
          <w:sz w:val="28"/>
          <w:szCs w:val="28"/>
          <w:highlight w:val="none"/>
        </w:rPr>
        <w:t>〕</w:t>
      </w:r>
      <w:r>
        <w:rPr>
          <w:rFonts w:hint="eastAsia" w:ascii="宋体" w:hAnsi="宋体" w:cs="宋体"/>
          <w:color w:val="auto"/>
          <w:kern w:val="0"/>
          <w:sz w:val="28"/>
          <w:szCs w:val="28"/>
          <w:highlight w:val="none"/>
        </w:rPr>
        <w:t>第6号</w:t>
      </w:r>
    </w:p>
    <w:p w14:paraId="2D1013BD">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《易制毒化学品管理条例》国务院令〔2005〕445号发布，国务院令〔2014〕653号、国务院令〔2016〕666号、国务院令〔2018〕703号修改，国办函〔2014〕40号、国办函〔2017〕120号、国办函〔2021〕58号增补修正</w:t>
      </w:r>
    </w:p>
    <w:p w14:paraId="420B7675">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《各类监控化学品名录》工业和信息化部令第52号</w:t>
      </w:r>
    </w:p>
    <w:p w14:paraId="7B499383">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《特别管控危险化学品目录（第一版）》应急管理部、工业和信息化部、公安部、交通运输部公告〔2020〕第3号</w:t>
      </w:r>
    </w:p>
    <w:p w14:paraId="35D5F97B">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《易制爆危险化学品治安管理办法》公安部令</w:t>
      </w:r>
      <w:r>
        <w:rPr>
          <w:rFonts w:hint="eastAsia" w:ascii="宋体" w:hAnsi="宋体" w:cs="宋体"/>
          <w:color w:val="auto"/>
          <w:kern w:val="0"/>
          <w:sz w:val="28"/>
          <w:szCs w:val="28"/>
          <w:highlight w:val="none"/>
        </w:rPr>
        <w:t>〔2019〕</w:t>
      </w:r>
      <w:r>
        <w:rPr>
          <w:rFonts w:hint="eastAsia" w:ascii="宋体" w:hAnsi="宋体" w:eastAsia="宋体" w:cs="宋体"/>
          <w:color w:val="auto"/>
          <w:kern w:val="0"/>
          <w:sz w:val="28"/>
          <w:szCs w:val="28"/>
          <w:highlight w:val="none"/>
        </w:rPr>
        <w:t>第154号</w:t>
      </w:r>
    </w:p>
    <w:p w14:paraId="4323C3DC">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《工贸企业重大事故隐患判定标准》应急管理部令第10号</w:t>
      </w:r>
    </w:p>
    <w:p w14:paraId="3EE1593E">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《国家安全监管总局关于公布首批重点监管的危险化学品名录的通知》安监总管三〔2011〕95号</w:t>
      </w:r>
    </w:p>
    <w:p w14:paraId="40EEB0F3">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《国家安全监管总局办公厅关于印发首批重点监管的危险化学品安全措施和应急处置原则的通知》安监总厅管三〔2011〕142号</w:t>
      </w:r>
    </w:p>
    <w:p w14:paraId="240154C3">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《国家安全监管总局关于公布第二批重点监管危险化学品名录的通知》安监总管三〔2013〕12号</w:t>
      </w:r>
    </w:p>
    <w:p w14:paraId="7DFF089E">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《生产安全事故应急预案管理办法》安监总局令〔2016〕88号发布，应急部令〔2019〕2号修正</w:t>
      </w:r>
    </w:p>
    <w:p w14:paraId="7728ECE4">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《生产经营单位安全培训规定》</w:t>
      </w:r>
      <w:r>
        <w:rPr>
          <w:rFonts w:hint="eastAsia" w:ascii="宋体" w:hAnsi="宋体" w:cs="宋体"/>
          <w:color w:val="auto"/>
          <w:kern w:val="0"/>
          <w:sz w:val="28"/>
          <w:szCs w:val="28"/>
          <w:highlight w:val="none"/>
        </w:rPr>
        <w:t>安监总局令〔2006〕3号发布，安监总局令〔2013〕63号、安监总局令〔2015〕80号修正</w:t>
      </w:r>
    </w:p>
    <w:p w14:paraId="0BB75AE0">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《安全生产培训管理办法》</w:t>
      </w:r>
      <w:r>
        <w:rPr>
          <w:rFonts w:hint="eastAsia" w:ascii="宋体" w:hAnsi="宋体" w:cs="宋体"/>
          <w:color w:val="auto"/>
          <w:kern w:val="0"/>
          <w:sz w:val="28"/>
          <w:szCs w:val="28"/>
          <w:highlight w:val="none"/>
        </w:rPr>
        <w:t>安监总局令〔2012〕44号发布，安监总局令〔2013〕63号、安监总局令〔2015〕80号修正</w:t>
      </w:r>
    </w:p>
    <w:p w14:paraId="6176D213">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《职业病危害因素分类目录》国卫疾控发〔2015〕92号令</w:t>
      </w:r>
    </w:p>
    <w:p w14:paraId="0E758339">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《危险化学品目录》（2015年版）</w:t>
      </w:r>
      <w:r>
        <w:rPr>
          <w:rFonts w:hint="eastAsia" w:ascii="宋体" w:hAnsi="宋体" w:cs="宋体"/>
          <w:color w:val="auto"/>
          <w:kern w:val="0"/>
          <w:sz w:val="28"/>
          <w:szCs w:val="28"/>
          <w:highlight w:val="none"/>
        </w:rPr>
        <w:t>安监总局</w:t>
      </w:r>
      <w:r>
        <w:rPr>
          <w:rFonts w:hint="eastAsia" w:ascii="宋体" w:hAnsi="宋体" w:eastAsia="宋体" w:cs="宋体"/>
          <w:color w:val="auto"/>
          <w:kern w:val="0"/>
          <w:sz w:val="28"/>
          <w:szCs w:val="28"/>
          <w:highlight w:val="none"/>
        </w:rPr>
        <w:t>等部局公告</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2015</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5号</w:t>
      </w:r>
      <w:r>
        <w:rPr>
          <w:rFonts w:hint="eastAsia" w:ascii="宋体" w:hAnsi="宋体" w:cs="宋体"/>
          <w:color w:val="auto"/>
          <w:kern w:val="0"/>
          <w:sz w:val="28"/>
          <w:szCs w:val="28"/>
          <w:highlight w:val="none"/>
          <w:lang w:eastAsia="zh-CN"/>
        </w:rPr>
        <w:t>发布</w:t>
      </w:r>
      <w:r>
        <w:rPr>
          <w:rFonts w:hint="eastAsia" w:ascii="宋体" w:hAnsi="宋体" w:eastAsia="宋体" w:cs="宋体"/>
          <w:color w:val="auto"/>
          <w:kern w:val="0"/>
          <w:sz w:val="28"/>
          <w:szCs w:val="28"/>
          <w:highlight w:val="none"/>
        </w:rPr>
        <w:t>，十部委公告</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2022</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8号修改</w:t>
      </w:r>
    </w:p>
    <w:p w14:paraId="6527653A">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《危险化学品目录（2015版）实施指南（试行）》安监总厅管三〔2015〕80号</w:t>
      </w:r>
      <w:r>
        <w:rPr>
          <w:rFonts w:hint="eastAsia" w:ascii="宋体" w:hAnsi="宋体" w:cs="宋体"/>
          <w:color w:val="auto"/>
          <w:kern w:val="0"/>
          <w:sz w:val="28"/>
          <w:szCs w:val="28"/>
          <w:highlight w:val="none"/>
          <w:lang w:eastAsia="zh-CN"/>
        </w:rPr>
        <w:t>发布</w:t>
      </w:r>
      <w:r>
        <w:rPr>
          <w:rFonts w:hint="eastAsia" w:ascii="宋体" w:hAnsi="宋体" w:eastAsia="宋体" w:cs="宋体"/>
          <w:color w:val="auto"/>
          <w:kern w:val="0"/>
          <w:sz w:val="28"/>
          <w:szCs w:val="28"/>
          <w:highlight w:val="none"/>
        </w:rPr>
        <w:t>，应急厅函〔2022〕300号修正</w:t>
      </w:r>
    </w:p>
    <w:p w14:paraId="72FF179D">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《高毒物品目录》卫法监发〔2003〕142号</w:t>
      </w:r>
    </w:p>
    <w:p w14:paraId="57E50256">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《易制爆危险化学品名录》（2017年版）</w:t>
      </w:r>
    </w:p>
    <w:p w14:paraId="09470EDD">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《浙江省应急管理厅关于印发〈浙江省工贸企业危险化学品使用安全管理指南（试行）〉的通知》浙应急基础〔2020〕75号</w:t>
      </w:r>
    </w:p>
    <w:p w14:paraId="0626A491">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《浙江省安全生产条例》浙江省</w:t>
      </w:r>
      <w:r>
        <w:rPr>
          <w:rFonts w:hint="eastAsia" w:ascii="宋体" w:hAnsi="宋体" w:cs="宋体"/>
          <w:color w:val="auto"/>
          <w:kern w:val="0"/>
          <w:sz w:val="28"/>
          <w:szCs w:val="28"/>
          <w:highlight w:val="none"/>
          <w:lang w:eastAsia="zh-CN"/>
        </w:rPr>
        <w:t>第十三届</w:t>
      </w:r>
      <w:r>
        <w:rPr>
          <w:rFonts w:hint="eastAsia" w:ascii="宋体" w:hAnsi="宋体" w:eastAsia="宋体" w:cs="宋体"/>
          <w:color w:val="auto"/>
          <w:kern w:val="0"/>
          <w:sz w:val="28"/>
          <w:szCs w:val="28"/>
          <w:highlight w:val="none"/>
        </w:rPr>
        <w:t>人民代表大会常务委员会公告〔2022〕第86号</w:t>
      </w:r>
    </w:p>
    <w:p w14:paraId="449598BA">
      <w:pPr>
        <w:numPr>
          <w:ilvl w:val="0"/>
          <w:numId w:val="2"/>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《浙江省雷电灾害防御和应急办法》</w:t>
      </w:r>
      <w:r>
        <w:rPr>
          <w:rFonts w:hint="eastAsia" w:ascii="宋体" w:hAnsi="宋体"/>
          <w:color w:val="auto"/>
          <w:sz w:val="28"/>
          <w:szCs w:val="28"/>
          <w:highlight w:val="none"/>
        </w:rPr>
        <w:t>浙政令〔2005〕190号发布，浙政令〔200</w:t>
      </w:r>
      <w:r>
        <w:rPr>
          <w:rFonts w:hint="eastAsia" w:ascii="宋体" w:hAnsi="宋体"/>
          <w:color w:val="auto"/>
          <w:sz w:val="28"/>
          <w:szCs w:val="28"/>
          <w:highlight w:val="none"/>
          <w:lang w:val="en-US" w:eastAsia="zh-CN"/>
        </w:rPr>
        <w:t>8</w:t>
      </w:r>
      <w:r>
        <w:rPr>
          <w:rFonts w:hint="eastAsia" w:ascii="宋体" w:hAnsi="宋体"/>
          <w:color w:val="auto"/>
          <w:sz w:val="28"/>
          <w:szCs w:val="28"/>
          <w:highlight w:val="none"/>
        </w:rPr>
        <w:t>〕246号第一次修订</w:t>
      </w:r>
      <w:r>
        <w:rPr>
          <w:rFonts w:hint="eastAsia" w:ascii="宋体" w:hAnsi="宋体"/>
          <w:color w:val="auto"/>
          <w:sz w:val="28"/>
          <w:szCs w:val="28"/>
          <w:highlight w:val="none"/>
          <w:lang w:eastAsia="zh-CN"/>
        </w:rPr>
        <w:t>，</w:t>
      </w:r>
      <w:r>
        <w:rPr>
          <w:rFonts w:hint="eastAsia" w:ascii="宋体" w:hAnsi="宋体"/>
          <w:color w:val="auto"/>
          <w:sz w:val="28"/>
          <w:szCs w:val="28"/>
          <w:highlight w:val="none"/>
        </w:rPr>
        <w:t>浙政令〔2018〕363号第二次修正</w:t>
      </w:r>
    </w:p>
    <w:p w14:paraId="750CB9F6">
      <w:pPr>
        <w:pStyle w:val="93"/>
        <w:numPr>
          <w:ilvl w:val="2"/>
          <w:numId w:val="1"/>
        </w:numPr>
        <w:adjustRightInd w:val="0"/>
        <w:snapToGrid w:val="0"/>
        <w:spacing w:beforeLines="0" w:afterLines="0" w:line="360" w:lineRule="auto"/>
        <w:ind w:left="0" w:firstLine="0" w:firstLineChars="0"/>
        <w:outlineLvl w:val="2"/>
        <w:rPr>
          <w:rFonts w:ascii="黑体" w:hAnsi="黑体" w:eastAsia="黑体" w:cs="Times New Roman"/>
          <w:b/>
          <w:color w:val="auto"/>
          <w:sz w:val="28"/>
          <w:szCs w:val="28"/>
          <w:highlight w:val="none"/>
        </w:rPr>
      </w:pPr>
      <w:bookmarkStart w:id="124" w:name="_Toc5537"/>
      <w:bookmarkStart w:id="125" w:name="_Toc7133"/>
      <w:bookmarkStart w:id="126" w:name="_Toc13531"/>
      <w:bookmarkStart w:id="127" w:name="_Toc2233"/>
      <w:bookmarkStart w:id="128" w:name="_Toc13481"/>
      <w:bookmarkStart w:id="129" w:name="_Toc498075553"/>
      <w:bookmarkStart w:id="130" w:name="_Toc5792"/>
      <w:bookmarkStart w:id="131" w:name="_Toc1070"/>
      <w:bookmarkStart w:id="132" w:name="_Toc15344"/>
      <w:bookmarkStart w:id="133" w:name="_Toc7265"/>
      <w:bookmarkStart w:id="134" w:name="_Toc60846568"/>
      <w:bookmarkStart w:id="135" w:name="_Toc10300"/>
      <w:bookmarkStart w:id="136" w:name="_Toc12425"/>
      <w:r>
        <w:rPr>
          <w:rFonts w:hint="eastAsia" w:ascii="黑体" w:hAnsi="黑体" w:eastAsia="黑体" w:cs="Times New Roman"/>
          <w:b/>
          <w:color w:val="auto"/>
          <w:sz w:val="28"/>
          <w:szCs w:val="28"/>
          <w:highlight w:val="none"/>
          <w:lang w:val="en-US" w:eastAsia="zh-CN"/>
        </w:rPr>
        <w:t xml:space="preserve"> </w:t>
      </w:r>
      <w:bookmarkStart w:id="137" w:name="_Toc16254"/>
      <w:bookmarkStart w:id="138" w:name="_Toc18059"/>
      <w:bookmarkStart w:id="139" w:name="_Toc27300"/>
      <w:bookmarkStart w:id="140" w:name="_Toc7472"/>
      <w:bookmarkStart w:id="141" w:name="_Toc18122"/>
      <w:bookmarkStart w:id="142" w:name="_Toc27571"/>
      <w:r>
        <w:rPr>
          <w:rFonts w:hint="eastAsia" w:ascii="黑体" w:hAnsi="黑体" w:eastAsia="黑体" w:cs="Times New Roman"/>
          <w:b/>
          <w:color w:val="auto"/>
          <w:sz w:val="28"/>
          <w:szCs w:val="28"/>
          <w:highlight w:val="none"/>
        </w:rPr>
        <w:t>主要标准规范</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14:paraId="145151C2">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bookmarkStart w:id="143" w:name="OLE_LINK11"/>
      <w:bookmarkStart w:id="144" w:name="OLE_LINK12"/>
      <w:r>
        <w:rPr>
          <w:rFonts w:hint="eastAsia" w:ascii="宋体" w:hAnsi="宋体" w:eastAsia="宋体" w:cs="宋体"/>
          <w:color w:val="auto"/>
          <w:kern w:val="0"/>
          <w:sz w:val="28"/>
          <w:szCs w:val="28"/>
          <w:highlight w:val="none"/>
        </w:rPr>
        <w:t>《消防设施通用规范》GB55036-2022</w:t>
      </w:r>
    </w:p>
    <w:p w14:paraId="387CFE9F">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rPr>
        <w:t>《建筑防火通用规范》GB55037</w:t>
      </w:r>
      <w:r>
        <w:rPr>
          <w:rFonts w:hint="eastAsia" w:ascii="宋体" w:hAnsi="宋体" w:eastAsia="宋体" w:cs="宋体"/>
          <w:color w:val="auto"/>
          <w:kern w:val="0"/>
          <w:sz w:val="28"/>
          <w:szCs w:val="28"/>
          <w:highlight w:val="none"/>
        </w:rPr>
        <w:t>-2022</w:t>
      </w:r>
    </w:p>
    <w:p w14:paraId="6A542E27">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《建筑设计防火规范》GB50016-2014（2018年版）</w:t>
      </w:r>
    </w:p>
    <w:p w14:paraId="58EB330C">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《工业企业总平面设计规范》GB50187-2012</w:t>
      </w:r>
    </w:p>
    <w:p w14:paraId="474F00F7">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《工业企业设计卫生标准》GBZ1-2010</w:t>
      </w:r>
    </w:p>
    <w:p w14:paraId="6E83DDE0">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《企业职工伤亡事故分类》GB6441-1986</w:t>
      </w:r>
    </w:p>
    <w:p w14:paraId="1958BFAA">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《工作场所有害因素职业接触限值第1部分：化学有害因素》GBZ2.1-2019</w:t>
      </w:r>
    </w:p>
    <w:p w14:paraId="70AA95A9">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《职业性接触毒物危害程度分级》GBZ/T230-2010</w:t>
      </w:r>
    </w:p>
    <w:p w14:paraId="0AF2980A">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《危险化学品重大危险源辨识》GB18218-2018</w:t>
      </w:r>
    </w:p>
    <w:p w14:paraId="2B359AD2">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《个体防护装备配备规范第1部分：总则》GB39800.1-2020</w:t>
      </w:r>
    </w:p>
    <w:p w14:paraId="4AA705F6">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《危险化学品仓库储存通则》GB15603-2022</w:t>
      </w:r>
    </w:p>
    <w:p w14:paraId="16FD3BA8">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《易燃易爆性商品储存养护技术条件》GB17914-2013</w:t>
      </w:r>
    </w:p>
    <w:p w14:paraId="70A3E6D1">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《腐蚀性商品储存养护技术条件》GB17915-2013</w:t>
      </w:r>
    </w:p>
    <w:p w14:paraId="64F0A663">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《危险化学品单位应急救援物资配备要求》GB30077-2013</w:t>
      </w:r>
    </w:p>
    <w:p w14:paraId="089563CE">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《爆炸危险环境电力装置设计规范》GB50058-2014</w:t>
      </w:r>
    </w:p>
    <w:p w14:paraId="32ED214A">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《危险场所电气防爆安全规范》AQ3009-2007</w:t>
      </w:r>
    </w:p>
    <w:p w14:paraId="6FA2E57A">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《工业企业厂内铁路、道路运输安全规程》GB4387-2008</w:t>
      </w:r>
    </w:p>
    <w:p w14:paraId="49BD6A33">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《石油化工可燃气体和有毒气体检测报警设计标准》GB/T50493-2019</w:t>
      </w:r>
    </w:p>
    <w:p w14:paraId="375B31CA">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《易制爆危险化学品储存场所治安防范要求》GA1511-2018</w:t>
      </w:r>
    </w:p>
    <w:p w14:paraId="1A0C4331">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《建筑灭火器配置设计规范》GB50140-2005</w:t>
      </w:r>
    </w:p>
    <w:p w14:paraId="7C33CE27">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《消防给水及消火栓系统技术规范》GB50974-2014</w:t>
      </w:r>
    </w:p>
    <w:p w14:paraId="29BD0C8F">
      <w:pPr>
        <w:numPr>
          <w:ilvl w:val="0"/>
          <w:numId w:val="3"/>
        </w:numPr>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《安全评价通则》AQ8001-2007</w:t>
      </w:r>
    </w:p>
    <w:bookmarkEnd w:id="143"/>
    <w:bookmarkEnd w:id="144"/>
    <w:p w14:paraId="48750217">
      <w:pPr>
        <w:pStyle w:val="93"/>
        <w:numPr>
          <w:ilvl w:val="2"/>
          <w:numId w:val="1"/>
        </w:numPr>
        <w:adjustRightInd w:val="0"/>
        <w:snapToGrid w:val="0"/>
        <w:spacing w:beforeLines="0" w:afterLines="0" w:line="360" w:lineRule="auto"/>
        <w:ind w:left="0" w:firstLine="0" w:firstLineChars="0"/>
        <w:outlineLvl w:val="2"/>
        <w:rPr>
          <w:rFonts w:ascii="黑体" w:hAnsi="黑体" w:eastAsia="黑体" w:cs="Times New Roman"/>
          <w:b/>
          <w:color w:val="auto"/>
          <w:sz w:val="28"/>
          <w:szCs w:val="28"/>
          <w:highlight w:val="none"/>
        </w:rPr>
      </w:pPr>
      <w:bookmarkStart w:id="145" w:name="_Toc29381"/>
      <w:bookmarkStart w:id="146" w:name="_Toc20857"/>
      <w:bookmarkStart w:id="147" w:name="_Toc425321278"/>
      <w:bookmarkStart w:id="148" w:name="_Toc27454"/>
      <w:bookmarkStart w:id="149" w:name="_Toc13207"/>
      <w:bookmarkStart w:id="150" w:name="_Toc15434"/>
      <w:bookmarkStart w:id="151" w:name="_Toc11318"/>
      <w:bookmarkStart w:id="152" w:name="_Toc14577"/>
      <w:bookmarkStart w:id="153" w:name="_Toc28690"/>
      <w:bookmarkStart w:id="154" w:name="_Toc13601"/>
      <w:bookmarkStart w:id="155" w:name="_Toc60846569"/>
      <w:bookmarkStart w:id="156" w:name="_Toc2010"/>
      <w:bookmarkStart w:id="157" w:name="_Toc498075554"/>
      <w:bookmarkStart w:id="158" w:name="_Toc30091"/>
      <w:r>
        <w:rPr>
          <w:rFonts w:hint="eastAsia" w:ascii="黑体" w:hAnsi="黑体" w:eastAsia="黑体" w:cs="Times New Roman"/>
          <w:b/>
          <w:color w:val="auto"/>
          <w:sz w:val="28"/>
          <w:szCs w:val="28"/>
          <w:highlight w:val="none"/>
          <w:lang w:val="en-US" w:eastAsia="zh-CN"/>
        </w:rPr>
        <w:t xml:space="preserve"> </w:t>
      </w:r>
      <w:bookmarkStart w:id="159" w:name="_Toc20735"/>
      <w:bookmarkStart w:id="160" w:name="_Toc25710"/>
      <w:bookmarkStart w:id="161" w:name="_Toc12707"/>
      <w:bookmarkStart w:id="162" w:name="_Toc29675"/>
      <w:bookmarkStart w:id="163" w:name="_Toc31663"/>
      <w:bookmarkStart w:id="164" w:name="_Toc32564"/>
      <w:r>
        <w:rPr>
          <w:rFonts w:ascii="黑体" w:hAnsi="黑体" w:eastAsia="黑体" w:cs="Times New Roman"/>
          <w:b/>
          <w:color w:val="auto"/>
          <w:sz w:val="28"/>
          <w:szCs w:val="28"/>
          <w:highlight w:val="none"/>
        </w:rPr>
        <w:t>其他资料</w:t>
      </w:r>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14:paraId="44468D11">
      <w:pPr>
        <w:pStyle w:val="93"/>
        <w:numPr>
          <w:ilvl w:val="0"/>
          <w:numId w:val="4"/>
        </w:numPr>
        <w:tabs>
          <w:tab w:val="left" w:pos="0"/>
        </w:tabs>
        <w:adjustRightInd w:val="0"/>
        <w:snapToGrid w:val="0"/>
        <w:spacing w:beforeLines="0" w:afterLines="0" w:line="360" w:lineRule="auto"/>
        <w:ind w:left="0" w:firstLine="420" w:firstLineChars="0"/>
        <w:rPr>
          <w:rFonts w:ascii="Times New Roman" w:hAnsi="宋体" w:cs="Times New Roman"/>
          <w:color w:val="auto"/>
          <w:sz w:val="28"/>
          <w:szCs w:val="28"/>
          <w:highlight w:val="none"/>
        </w:rPr>
      </w:pPr>
      <w:bookmarkStart w:id="165" w:name="_Toc320805292"/>
      <w:bookmarkStart w:id="166" w:name="_Toc347695672"/>
      <w:r>
        <w:rPr>
          <w:rFonts w:hint="eastAsia" w:ascii="Times New Roman" w:hAnsi="宋体" w:cs="Times New Roman"/>
          <w:color w:val="auto"/>
          <w:sz w:val="28"/>
          <w:szCs w:val="28"/>
          <w:highlight w:val="none"/>
        </w:rPr>
        <w:t>浙江伟星实业发展股份有限公司临海钮扣分公司危化品仓库相关基础资料</w:t>
      </w:r>
      <w:r>
        <w:rPr>
          <w:rFonts w:hint="eastAsia" w:ascii="Times New Roman" w:hAnsi="宋体" w:cs="Times New Roman"/>
          <w:color w:val="auto"/>
          <w:sz w:val="28"/>
          <w:szCs w:val="28"/>
          <w:highlight w:val="none"/>
          <w:lang w:eastAsia="zh-CN"/>
        </w:rPr>
        <w:t>。</w:t>
      </w:r>
    </w:p>
    <w:p w14:paraId="5FA3ECE5">
      <w:pPr>
        <w:pStyle w:val="93"/>
        <w:numPr>
          <w:ilvl w:val="0"/>
          <w:numId w:val="4"/>
        </w:numPr>
        <w:tabs>
          <w:tab w:val="left" w:pos="0"/>
        </w:tabs>
        <w:adjustRightInd w:val="0"/>
        <w:snapToGrid w:val="0"/>
        <w:spacing w:beforeLines="0" w:afterLines="0" w:line="360" w:lineRule="auto"/>
        <w:ind w:left="0" w:firstLine="420" w:firstLineChars="0"/>
        <w:rPr>
          <w:rFonts w:ascii="Times New Roman" w:hAnsi="宋体" w:cs="Times New Roman"/>
          <w:color w:val="auto"/>
          <w:sz w:val="28"/>
          <w:szCs w:val="28"/>
          <w:highlight w:val="none"/>
        </w:rPr>
      </w:pPr>
      <w:r>
        <w:rPr>
          <w:rFonts w:hint="eastAsia" w:ascii="Times New Roman" w:hAnsi="宋体" w:cs="Times New Roman"/>
          <w:color w:val="auto"/>
          <w:sz w:val="28"/>
          <w:szCs w:val="28"/>
          <w:highlight w:val="none"/>
          <w:lang w:eastAsia="zh-CN"/>
        </w:rPr>
        <w:t>山东实华安全技术有限公司</w:t>
      </w:r>
      <w:r>
        <w:rPr>
          <w:rFonts w:hint="eastAsia" w:ascii="Times New Roman" w:hAnsi="宋体" w:cs="Times New Roman"/>
          <w:color w:val="auto"/>
          <w:sz w:val="28"/>
          <w:szCs w:val="28"/>
          <w:highlight w:val="none"/>
        </w:rPr>
        <w:t>与浙江伟星实业发展股份有限公司临海钮扣分公司签订的安全现状评价技术服务合同。</w:t>
      </w:r>
    </w:p>
    <w:p w14:paraId="25493A08">
      <w:pPr>
        <w:pStyle w:val="89"/>
        <w:adjustRightInd w:val="0"/>
        <w:snapToGrid w:val="0"/>
        <w:spacing w:beforeLines="0" w:afterLines="0" w:line="360" w:lineRule="auto"/>
        <w:jc w:val="left"/>
        <w:rPr>
          <w:rFonts w:ascii="黑体" w:hAnsi="黑体" w:eastAsia="黑体" w:cs="Times New Roman"/>
          <w:bCs w:val="0"/>
          <w:color w:val="auto"/>
          <w:sz w:val="28"/>
          <w:szCs w:val="28"/>
          <w:highlight w:val="none"/>
        </w:rPr>
      </w:pPr>
      <w:bookmarkStart w:id="167" w:name="_Toc17062"/>
      <w:bookmarkStart w:id="168" w:name="_Toc4470"/>
      <w:bookmarkStart w:id="169" w:name="_Toc30798"/>
      <w:bookmarkStart w:id="170" w:name="_Toc15306"/>
      <w:bookmarkStart w:id="171" w:name="_Toc17191"/>
      <w:bookmarkStart w:id="172" w:name="_Toc21603"/>
      <w:bookmarkStart w:id="173" w:name="_Toc28094"/>
      <w:bookmarkStart w:id="174" w:name="_Toc2731"/>
      <w:bookmarkStart w:id="175" w:name="_Toc30029"/>
      <w:bookmarkStart w:id="176" w:name="_Toc11894"/>
      <w:bookmarkStart w:id="177" w:name="_Toc13331"/>
      <w:bookmarkStart w:id="178" w:name="_Toc14515"/>
      <w:bookmarkStart w:id="179" w:name="_Toc32408"/>
      <w:bookmarkStart w:id="180" w:name="_Toc17696"/>
      <w:bookmarkStart w:id="181" w:name="_Toc23252"/>
      <w:bookmarkStart w:id="182" w:name="_Toc5468"/>
      <w:bookmarkStart w:id="183" w:name="_Toc21979"/>
      <w:bookmarkStart w:id="184" w:name="_Toc30135"/>
      <w:bookmarkStart w:id="185" w:name="_Toc26318"/>
      <w:bookmarkStart w:id="186" w:name="_Toc30181"/>
      <w:bookmarkStart w:id="187" w:name="_Toc7821"/>
      <w:bookmarkStart w:id="188" w:name="_Toc12540"/>
      <w:bookmarkStart w:id="189" w:name="_Toc20660"/>
      <w:bookmarkStart w:id="190" w:name="_Toc7926"/>
      <w:bookmarkStart w:id="191" w:name="_Toc23381"/>
      <w:r>
        <w:rPr>
          <w:rFonts w:hint="default" w:ascii="黑体" w:hAnsi="黑体" w:eastAsia="黑体" w:cs="Times New Roman"/>
          <w:bCs w:val="0"/>
          <w:color w:val="auto"/>
          <w:sz w:val="28"/>
          <w:szCs w:val="28"/>
          <w:highlight w:val="none"/>
        </w:rPr>
        <w:t>1.3</w:t>
      </w:r>
      <w:r>
        <w:rPr>
          <w:rFonts w:hint="eastAsia" w:ascii="黑体" w:hAnsi="黑体" w:eastAsia="黑体" w:cs="Times New Roman"/>
          <w:bCs w:val="0"/>
          <w:color w:val="auto"/>
          <w:sz w:val="28"/>
          <w:szCs w:val="28"/>
          <w:highlight w:val="none"/>
          <w:lang w:val="en-US" w:eastAsia="zh-CN"/>
        </w:rPr>
        <w:t xml:space="preserve"> </w:t>
      </w:r>
      <w:r>
        <w:rPr>
          <w:rFonts w:hint="default" w:ascii="黑体" w:hAnsi="黑体" w:eastAsia="黑体" w:cs="Times New Roman"/>
          <w:bCs w:val="0"/>
          <w:color w:val="auto"/>
          <w:sz w:val="28"/>
          <w:szCs w:val="28"/>
          <w:highlight w:val="none"/>
        </w:rPr>
        <w:t>评价原则</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646C18AA">
      <w:pPr>
        <w:autoSpaceDE w:val="0"/>
        <w:autoSpaceDN w:val="0"/>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bookmarkStart w:id="192" w:name="_Toc190762530"/>
      <w:r>
        <w:rPr>
          <w:rFonts w:hint="eastAsia" w:ascii="宋体" w:hAnsi="宋体" w:eastAsia="宋体" w:cs="宋体"/>
          <w:color w:val="auto"/>
          <w:kern w:val="0"/>
          <w:sz w:val="28"/>
          <w:szCs w:val="28"/>
          <w:highlight w:val="none"/>
        </w:rPr>
        <w:t>（1）严格执行国家、地方与行业有关的</w:t>
      </w:r>
      <w:r>
        <w:rPr>
          <w:rFonts w:hint="eastAsia" w:ascii="宋体" w:hAnsi="宋体" w:eastAsia="宋体" w:cs="宋体"/>
          <w:color w:val="auto"/>
          <w:kern w:val="0"/>
          <w:sz w:val="28"/>
          <w:szCs w:val="28"/>
          <w:highlight w:val="none"/>
          <w:lang w:val="en-US"/>
        </w:rPr>
        <w:t>法律法规</w:t>
      </w:r>
      <w:r>
        <w:rPr>
          <w:rFonts w:hint="eastAsia" w:ascii="宋体" w:hAnsi="宋体" w:eastAsia="宋体" w:cs="宋体"/>
          <w:color w:val="auto"/>
          <w:kern w:val="0"/>
          <w:sz w:val="28"/>
          <w:szCs w:val="28"/>
          <w:highlight w:val="none"/>
        </w:rPr>
        <w:t>和标准，保证评价的科学性、公正性、合法性、针对性与权威性。</w:t>
      </w:r>
    </w:p>
    <w:p w14:paraId="44D94D83">
      <w:pPr>
        <w:autoSpaceDE w:val="0"/>
        <w:autoSpaceDN w:val="0"/>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（2）采用可靠、适用的评价技术，确保评价质量，突出重点。</w:t>
      </w:r>
    </w:p>
    <w:bookmarkEnd w:id="192"/>
    <w:p w14:paraId="2D1E1129">
      <w:pPr>
        <w:pStyle w:val="89"/>
        <w:adjustRightInd w:val="0"/>
        <w:snapToGrid w:val="0"/>
        <w:spacing w:beforeLines="0" w:afterLines="0" w:line="360" w:lineRule="auto"/>
        <w:jc w:val="left"/>
        <w:rPr>
          <w:rFonts w:ascii="黑体" w:hAnsi="黑体" w:eastAsia="黑体"/>
          <w:color w:val="auto"/>
          <w:sz w:val="28"/>
          <w:szCs w:val="28"/>
          <w:highlight w:val="none"/>
        </w:rPr>
      </w:pPr>
      <w:bookmarkStart w:id="193" w:name="_Toc32298"/>
      <w:bookmarkStart w:id="194" w:name="_Toc16716"/>
      <w:bookmarkStart w:id="195" w:name="_Toc8080"/>
      <w:bookmarkStart w:id="196" w:name="_Toc20486"/>
      <w:bookmarkStart w:id="197" w:name="_Toc31546"/>
      <w:bookmarkStart w:id="198" w:name="_Toc60846570"/>
      <w:bookmarkStart w:id="199" w:name="_Toc498075555"/>
      <w:bookmarkStart w:id="200" w:name="_Toc19577"/>
      <w:bookmarkStart w:id="201" w:name="_Toc15252"/>
      <w:bookmarkStart w:id="202" w:name="_Toc21245"/>
      <w:bookmarkStart w:id="203" w:name="_Toc30896"/>
      <w:bookmarkStart w:id="204" w:name="_Toc18171"/>
      <w:bookmarkStart w:id="205" w:name="_Toc27567"/>
      <w:bookmarkStart w:id="206" w:name="_Toc253"/>
      <w:bookmarkStart w:id="207" w:name="_Toc4651"/>
      <w:bookmarkStart w:id="208" w:name="_Toc22977"/>
      <w:bookmarkStart w:id="209" w:name="_Toc8802"/>
      <w:bookmarkStart w:id="210" w:name="_Toc13105"/>
      <w:bookmarkStart w:id="211" w:name="_Toc14278"/>
      <w:r>
        <w:rPr>
          <w:rFonts w:ascii="黑体" w:hAnsi="黑体" w:eastAsia="黑体"/>
          <w:color w:val="auto"/>
          <w:sz w:val="28"/>
          <w:szCs w:val="28"/>
          <w:highlight w:val="none"/>
        </w:rPr>
        <w:t>1.</w:t>
      </w:r>
      <w:r>
        <w:rPr>
          <w:rFonts w:hint="eastAsia" w:ascii="黑体" w:hAnsi="黑体" w:eastAsia="黑体"/>
          <w:color w:val="auto"/>
          <w:sz w:val="28"/>
          <w:szCs w:val="28"/>
          <w:highlight w:val="none"/>
          <w:lang w:val="en-US" w:eastAsia="zh-CN"/>
        </w:rPr>
        <w:t xml:space="preserve">4 </w:t>
      </w:r>
      <w:r>
        <w:rPr>
          <w:rFonts w:ascii="黑体" w:hAnsi="黑体" w:eastAsia="黑体"/>
          <w:color w:val="auto"/>
          <w:sz w:val="28"/>
          <w:szCs w:val="28"/>
          <w:highlight w:val="none"/>
        </w:rPr>
        <w:t>评价范围</w:t>
      </w:r>
      <w:bookmarkEnd w:id="165"/>
      <w:bookmarkEnd w:id="166"/>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14:paraId="7048B137">
      <w:pPr>
        <w:adjustRightInd w:val="0"/>
        <w:snapToGrid w:val="0"/>
        <w:spacing w:beforeLines="0" w:afterLines="0" w:line="360" w:lineRule="auto"/>
        <w:ind w:firstLine="560" w:firstLineChars="200"/>
        <w:rPr>
          <w:rFonts w:hint="eastAsia"/>
          <w:color w:val="auto"/>
          <w:kern w:val="0"/>
          <w:sz w:val="28"/>
          <w:szCs w:val="28"/>
          <w:highlight w:val="none"/>
        </w:rPr>
      </w:pPr>
      <w:bookmarkStart w:id="212" w:name="_Toc498075556"/>
      <w:bookmarkStart w:id="213" w:name="_Toc60846571"/>
      <w:r>
        <w:rPr>
          <w:color w:val="auto"/>
          <w:kern w:val="0"/>
          <w:sz w:val="28"/>
          <w:szCs w:val="28"/>
          <w:highlight w:val="none"/>
        </w:rPr>
        <w:t>本</w:t>
      </w:r>
      <w:r>
        <w:rPr>
          <w:rFonts w:hint="eastAsia"/>
          <w:color w:val="auto"/>
          <w:kern w:val="0"/>
          <w:sz w:val="28"/>
          <w:szCs w:val="28"/>
          <w:highlight w:val="none"/>
        </w:rPr>
        <w:t>次安全</w:t>
      </w:r>
      <w:r>
        <w:rPr>
          <w:color w:val="auto"/>
          <w:kern w:val="0"/>
          <w:sz w:val="28"/>
          <w:szCs w:val="28"/>
          <w:highlight w:val="none"/>
        </w:rPr>
        <w:t>评价范围</w:t>
      </w:r>
      <w:r>
        <w:rPr>
          <w:rFonts w:hint="eastAsia"/>
          <w:color w:val="auto"/>
          <w:kern w:val="0"/>
          <w:sz w:val="28"/>
          <w:szCs w:val="28"/>
          <w:highlight w:val="none"/>
        </w:rPr>
        <w:t>见下表。</w:t>
      </w:r>
    </w:p>
    <w:bookmarkEnd w:id="212"/>
    <w:bookmarkEnd w:id="213"/>
    <w:p w14:paraId="1567D4E0">
      <w:pPr>
        <w:pStyle w:val="16"/>
        <w:adjustRightInd w:val="0"/>
        <w:snapToGrid w:val="0"/>
        <w:spacing w:beforeLines="0" w:afterLines="0" w:line="360" w:lineRule="auto"/>
        <w:jc w:val="center"/>
        <w:rPr>
          <w:rFonts w:ascii="黑体" w:hAnsi="黑体" w:eastAsia="黑体" w:cs="黑体"/>
          <w:b/>
          <w:bCs/>
          <w:color w:val="auto"/>
          <w:kern w:val="0"/>
          <w:sz w:val="24"/>
          <w:szCs w:val="24"/>
          <w:highlight w:val="none"/>
        </w:rPr>
      </w:pPr>
      <w:r>
        <w:rPr>
          <w:rFonts w:hint="eastAsia" w:ascii="黑体" w:hAnsi="黑体" w:cs="黑体"/>
          <w:b/>
          <w:bCs/>
          <w:color w:val="auto"/>
          <w:sz w:val="24"/>
          <w:highlight w:val="none"/>
          <w:lang w:eastAsia="zh-CN"/>
        </w:rPr>
        <w:t>表</w:t>
      </w:r>
      <w:r>
        <w:rPr>
          <w:rFonts w:hint="eastAsia" w:ascii="黑体" w:hAnsi="黑体" w:cs="黑体"/>
          <w:b/>
          <w:bCs/>
          <w:color w:val="auto"/>
          <w:sz w:val="24"/>
          <w:highlight w:val="none"/>
          <w:lang w:val="en-US" w:eastAsia="zh-CN"/>
        </w:rPr>
        <w:t xml:space="preserve">1.4-1 </w:t>
      </w:r>
      <w:r>
        <w:rPr>
          <w:rFonts w:hint="eastAsia" w:ascii="黑体" w:hAnsi="黑体" w:eastAsia="黑体" w:cs="黑体"/>
          <w:b/>
          <w:bCs/>
          <w:color w:val="auto"/>
          <w:kern w:val="0"/>
          <w:sz w:val="24"/>
          <w:szCs w:val="24"/>
          <w:highlight w:val="none"/>
        </w:rPr>
        <w:t>安全评价范围一览表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1246"/>
        <w:gridCol w:w="1513"/>
        <w:gridCol w:w="3971"/>
        <w:gridCol w:w="1642"/>
      </w:tblGrid>
      <w:tr w14:paraId="221BF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noWrap/>
            <w:vAlign w:val="center"/>
          </w:tcPr>
          <w:p w14:paraId="364B15F3">
            <w:pPr>
              <w:adjustRightInd w:val="0"/>
              <w:snapToGrid w:val="0"/>
              <w:jc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序号</w:t>
            </w:r>
          </w:p>
        </w:tc>
        <w:tc>
          <w:tcPr>
            <w:tcW w:w="635" w:type="pct"/>
            <w:noWrap/>
            <w:vAlign w:val="center"/>
          </w:tcPr>
          <w:p w14:paraId="0B85A63D">
            <w:pPr>
              <w:adjustRightInd w:val="0"/>
              <w:snapToGrid w:val="0"/>
              <w:jc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建（构）筑物</w:t>
            </w:r>
          </w:p>
        </w:tc>
        <w:tc>
          <w:tcPr>
            <w:tcW w:w="789" w:type="pct"/>
            <w:noWrap/>
            <w:vAlign w:val="center"/>
          </w:tcPr>
          <w:p w14:paraId="6AB43C08">
            <w:pPr>
              <w:adjustRightInd w:val="0"/>
              <w:snapToGrid w:val="0"/>
              <w:jc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布置内容</w:t>
            </w:r>
          </w:p>
        </w:tc>
        <w:tc>
          <w:tcPr>
            <w:tcW w:w="2203" w:type="pct"/>
            <w:noWrap/>
            <w:vAlign w:val="center"/>
          </w:tcPr>
          <w:p w14:paraId="65F2D420">
            <w:pPr>
              <w:adjustRightInd w:val="0"/>
              <w:snapToGrid w:val="0"/>
              <w:jc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涉及的危险化学品</w:t>
            </w:r>
          </w:p>
        </w:tc>
        <w:tc>
          <w:tcPr>
            <w:tcW w:w="860" w:type="pct"/>
            <w:noWrap/>
            <w:vAlign w:val="center"/>
          </w:tcPr>
          <w:p w14:paraId="3C743834">
            <w:pPr>
              <w:adjustRightInd w:val="0"/>
              <w:snapToGrid w:val="0"/>
              <w:jc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备注</w:t>
            </w:r>
          </w:p>
        </w:tc>
      </w:tr>
      <w:tr w14:paraId="6304A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Merge w:val="restart"/>
            <w:noWrap/>
            <w:vAlign w:val="center"/>
          </w:tcPr>
          <w:p w14:paraId="542641AA">
            <w:pPr>
              <w:numPr>
                <w:ilvl w:val="0"/>
                <w:numId w:val="5"/>
              </w:numPr>
              <w:adjustRightInd w:val="0"/>
              <w:snapToGrid w:val="0"/>
              <w:jc w:val="center"/>
              <w:rPr>
                <w:rFonts w:ascii="宋体" w:hAnsi="宋体" w:cs="宋体"/>
                <w:color w:val="auto"/>
                <w:kern w:val="0"/>
                <w:sz w:val="21"/>
                <w:szCs w:val="21"/>
                <w:highlight w:val="none"/>
              </w:rPr>
            </w:pPr>
          </w:p>
        </w:tc>
        <w:tc>
          <w:tcPr>
            <w:tcW w:w="635" w:type="pct"/>
            <w:vMerge w:val="restart"/>
            <w:noWrap/>
            <w:vAlign w:val="center"/>
          </w:tcPr>
          <w:p w14:paraId="02B431B0">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危化品仓库</w:t>
            </w:r>
          </w:p>
        </w:tc>
        <w:tc>
          <w:tcPr>
            <w:tcW w:w="789" w:type="pct"/>
            <w:noWrap/>
            <w:vAlign w:val="center"/>
          </w:tcPr>
          <w:p w14:paraId="06FDC5F2">
            <w:pPr>
              <w:adjustRightInd w:val="0"/>
              <w:snapToGrid w:val="0"/>
              <w:spacing w:line="240" w:lineRule="auto"/>
              <w:jc w:val="center"/>
              <w:rPr>
                <w:rFonts w:ascii="宋体" w:hAnsi="宋体" w:cs="宋体"/>
                <w:color w:val="auto"/>
                <w:kern w:val="0"/>
                <w:sz w:val="21"/>
                <w:szCs w:val="21"/>
                <w:highlight w:val="none"/>
              </w:rPr>
            </w:pPr>
            <w:r>
              <w:rPr>
                <w:rFonts w:hint="eastAsia" w:ascii="宋体" w:hAnsi="宋体" w:cs="宋体"/>
                <w:color w:val="auto"/>
                <w:kern w:val="0"/>
                <w:szCs w:val="21"/>
                <w:highlight w:val="none"/>
                <w:lang w:val="en-US" w:eastAsia="zh-CN"/>
              </w:rPr>
              <w:t>1号仓储</w:t>
            </w:r>
          </w:p>
        </w:tc>
        <w:tc>
          <w:tcPr>
            <w:tcW w:w="2203" w:type="pct"/>
            <w:noWrap/>
            <w:vAlign w:val="center"/>
          </w:tcPr>
          <w:p w14:paraId="5EB41F09">
            <w:pPr>
              <w:adjustRightInd w:val="0"/>
              <w:snapToGrid w:val="0"/>
              <w:jc w:val="center"/>
              <w:rPr>
                <w:rFonts w:ascii="宋体" w:hAnsi="宋体" w:cs="宋体"/>
                <w:color w:val="auto"/>
                <w:kern w:val="0"/>
                <w:sz w:val="21"/>
                <w:szCs w:val="21"/>
                <w:highlight w:val="none"/>
              </w:rPr>
            </w:pPr>
            <w:r>
              <w:rPr>
                <w:rFonts w:hint="eastAsia" w:ascii="宋体" w:hAnsi="宋体" w:cs="宋体"/>
                <w:color w:val="auto"/>
                <w:kern w:val="0"/>
                <w:szCs w:val="21"/>
                <w:highlight w:val="none"/>
              </w:rPr>
              <w:t>盐酸</w:t>
            </w:r>
          </w:p>
        </w:tc>
        <w:tc>
          <w:tcPr>
            <w:tcW w:w="860" w:type="pct"/>
            <w:noWrap/>
            <w:vAlign w:val="center"/>
          </w:tcPr>
          <w:p w14:paraId="4F689F0A">
            <w:pPr>
              <w:adjustRightInd w:val="0"/>
              <w:snapToGrid w:val="0"/>
              <w:jc w:val="center"/>
              <w:rPr>
                <w:rFonts w:ascii="宋体" w:hAnsi="宋体" w:cs="宋体"/>
                <w:color w:val="auto"/>
                <w:kern w:val="0"/>
                <w:sz w:val="21"/>
                <w:szCs w:val="21"/>
                <w:highlight w:val="none"/>
              </w:rPr>
            </w:pPr>
            <w:r>
              <w:rPr>
                <w:rFonts w:hint="eastAsia" w:ascii="宋体" w:hAnsi="宋体" w:cs="宋体"/>
                <w:color w:val="auto"/>
                <w:kern w:val="0"/>
                <w:szCs w:val="21"/>
                <w:highlight w:val="none"/>
                <w:lang w:val="en-US" w:eastAsia="zh-CN"/>
              </w:rPr>
              <w:t>1号仓储为一个隔间</w:t>
            </w:r>
          </w:p>
        </w:tc>
      </w:tr>
      <w:tr w14:paraId="26CD4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Merge w:val="continue"/>
            <w:noWrap/>
            <w:vAlign w:val="center"/>
          </w:tcPr>
          <w:p w14:paraId="7810D9B6">
            <w:pPr>
              <w:adjustRightInd w:val="0"/>
              <w:snapToGrid w:val="0"/>
              <w:jc w:val="center"/>
              <w:rPr>
                <w:rFonts w:ascii="宋体" w:hAnsi="宋体" w:cs="宋体"/>
                <w:color w:val="auto"/>
                <w:kern w:val="0"/>
                <w:sz w:val="21"/>
                <w:szCs w:val="21"/>
                <w:highlight w:val="none"/>
              </w:rPr>
            </w:pPr>
          </w:p>
        </w:tc>
        <w:tc>
          <w:tcPr>
            <w:tcW w:w="635" w:type="pct"/>
            <w:vMerge w:val="continue"/>
            <w:noWrap/>
            <w:vAlign w:val="center"/>
          </w:tcPr>
          <w:p w14:paraId="42D830BC">
            <w:pPr>
              <w:adjustRightInd w:val="0"/>
              <w:snapToGrid w:val="0"/>
              <w:spacing w:line="240" w:lineRule="auto"/>
              <w:jc w:val="center"/>
              <w:rPr>
                <w:rFonts w:hint="eastAsia" w:ascii="宋体" w:hAnsi="宋体" w:cs="宋体"/>
                <w:color w:val="auto"/>
                <w:kern w:val="0"/>
                <w:sz w:val="21"/>
                <w:szCs w:val="21"/>
                <w:highlight w:val="none"/>
                <w:lang w:eastAsia="zh-CN"/>
              </w:rPr>
            </w:pPr>
          </w:p>
        </w:tc>
        <w:tc>
          <w:tcPr>
            <w:tcW w:w="789" w:type="pct"/>
            <w:noWrap/>
            <w:vAlign w:val="center"/>
          </w:tcPr>
          <w:p w14:paraId="12051470">
            <w:pPr>
              <w:adjustRightInd w:val="0"/>
              <w:snapToGrid w:val="0"/>
              <w:spacing w:line="240" w:lineRule="auto"/>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5号仓储</w:t>
            </w:r>
          </w:p>
        </w:tc>
        <w:tc>
          <w:tcPr>
            <w:tcW w:w="2203" w:type="pct"/>
            <w:noWrap/>
            <w:vAlign w:val="center"/>
          </w:tcPr>
          <w:p w14:paraId="6F9E4579">
            <w:pPr>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过氧化甲乙酮、过氧化二苯甲酰、双氧水</w:t>
            </w:r>
          </w:p>
        </w:tc>
        <w:tc>
          <w:tcPr>
            <w:tcW w:w="860" w:type="pct"/>
            <w:noWrap/>
            <w:vAlign w:val="center"/>
          </w:tcPr>
          <w:p w14:paraId="2EA7F09F">
            <w:pPr>
              <w:adjustRightInd w:val="0"/>
              <w:snapToGrid w:val="0"/>
              <w:jc w:val="center"/>
              <w:rPr>
                <w:rFonts w:ascii="宋体" w:hAnsi="宋体" w:cs="宋体"/>
                <w:color w:val="auto"/>
                <w:kern w:val="0"/>
                <w:sz w:val="21"/>
                <w:szCs w:val="21"/>
                <w:highlight w:val="none"/>
              </w:rPr>
            </w:pPr>
            <w:r>
              <w:rPr>
                <w:rFonts w:hint="eastAsia" w:ascii="宋体" w:hAnsi="宋体" w:cs="宋体"/>
                <w:color w:val="auto"/>
                <w:kern w:val="0"/>
                <w:szCs w:val="21"/>
                <w:highlight w:val="none"/>
                <w:lang w:val="en-US" w:eastAsia="zh-CN"/>
              </w:rPr>
              <w:t>5号仓储为一个隔间</w:t>
            </w:r>
          </w:p>
        </w:tc>
      </w:tr>
      <w:tr w14:paraId="4E61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Merge w:val="continue"/>
            <w:noWrap/>
            <w:vAlign w:val="center"/>
          </w:tcPr>
          <w:p w14:paraId="0A6CB5E9">
            <w:pPr>
              <w:adjustRightInd w:val="0"/>
              <w:snapToGrid w:val="0"/>
              <w:jc w:val="center"/>
              <w:rPr>
                <w:rFonts w:ascii="宋体" w:hAnsi="宋体" w:cs="宋体"/>
                <w:color w:val="auto"/>
                <w:kern w:val="0"/>
                <w:sz w:val="21"/>
                <w:szCs w:val="21"/>
                <w:highlight w:val="none"/>
              </w:rPr>
            </w:pPr>
          </w:p>
        </w:tc>
        <w:tc>
          <w:tcPr>
            <w:tcW w:w="635" w:type="pct"/>
            <w:vMerge w:val="continue"/>
            <w:noWrap/>
            <w:vAlign w:val="center"/>
          </w:tcPr>
          <w:p w14:paraId="1DE2E8F9">
            <w:pPr>
              <w:adjustRightInd w:val="0"/>
              <w:snapToGrid w:val="0"/>
              <w:spacing w:line="240" w:lineRule="auto"/>
              <w:jc w:val="center"/>
              <w:rPr>
                <w:rFonts w:hint="eastAsia" w:ascii="宋体" w:hAnsi="宋体" w:cs="宋体"/>
                <w:color w:val="auto"/>
                <w:kern w:val="0"/>
                <w:sz w:val="21"/>
                <w:szCs w:val="21"/>
                <w:highlight w:val="none"/>
                <w:lang w:eastAsia="zh-CN"/>
              </w:rPr>
            </w:pPr>
          </w:p>
        </w:tc>
        <w:tc>
          <w:tcPr>
            <w:tcW w:w="789" w:type="pct"/>
            <w:noWrap/>
            <w:vAlign w:val="center"/>
          </w:tcPr>
          <w:p w14:paraId="47E8CF09">
            <w:pPr>
              <w:adjustRightInd w:val="0"/>
              <w:snapToGrid w:val="0"/>
              <w:spacing w:line="240" w:lineRule="auto"/>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rPr>
              <w:t>2号仓储</w:t>
            </w:r>
          </w:p>
        </w:tc>
        <w:tc>
          <w:tcPr>
            <w:tcW w:w="2203" w:type="pct"/>
            <w:noWrap/>
            <w:vAlign w:val="center"/>
          </w:tcPr>
          <w:p w14:paraId="56717D6A">
            <w:pPr>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丙酮</w:t>
            </w:r>
          </w:p>
        </w:tc>
        <w:tc>
          <w:tcPr>
            <w:tcW w:w="860" w:type="pct"/>
            <w:vMerge w:val="restart"/>
            <w:noWrap/>
            <w:vAlign w:val="center"/>
          </w:tcPr>
          <w:p w14:paraId="57B8F377">
            <w:pPr>
              <w:adjustRightInd w:val="0"/>
              <w:snapToGrid w:val="0"/>
              <w:jc w:val="center"/>
              <w:rPr>
                <w:rFonts w:ascii="宋体" w:hAnsi="宋体" w:cs="宋体"/>
                <w:color w:val="auto"/>
                <w:kern w:val="0"/>
                <w:sz w:val="21"/>
                <w:szCs w:val="21"/>
                <w:highlight w:val="none"/>
              </w:rPr>
            </w:pPr>
            <w:r>
              <w:rPr>
                <w:rFonts w:hint="eastAsia" w:ascii="宋体" w:hAnsi="宋体" w:cs="宋体"/>
                <w:color w:val="auto"/>
                <w:kern w:val="0"/>
                <w:szCs w:val="21"/>
                <w:highlight w:val="none"/>
              </w:rPr>
              <w:t>2号、3号、4号和6号仓储</w:t>
            </w:r>
            <w:r>
              <w:rPr>
                <w:rFonts w:hint="eastAsia" w:ascii="宋体" w:hAnsi="宋体" w:cs="宋体"/>
                <w:color w:val="auto"/>
                <w:kern w:val="0"/>
                <w:szCs w:val="21"/>
                <w:highlight w:val="none"/>
                <w:lang w:val="en-US" w:eastAsia="zh-CN"/>
              </w:rPr>
              <w:t>为一个隔间</w:t>
            </w:r>
          </w:p>
        </w:tc>
      </w:tr>
      <w:tr w14:paraId="3060A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Merge w:val="continue"/>
            <w:noWrap/>
            <w:vAlign w:val="center"/>
          </w:tcPr>
          <w:p w14:paraId="365FFAB5">
            <w:pPr>
              <w:adjustRightInd w:val="0"/>
              <w:snapToGrid w:val="0"/>
              <w:jc w:val="center"/>
              <w:rPr>
                <w:rFonts w:ascii="宋体" w:hAnsi="宋体" w:cs="宋体"/>
                <w:color w:val="auto"/>
                <w:kern w:val="0"/>
                <w:sz w:val="21"/>
                <w:szCs w:val="21"/>
                <w:highlight w:val="none"/>
              </w:rPr>
            </w:pPr>
          </w:p>
        </w:tc>
        <w:tc>
          <w:tcPr>
            <w:tcW w:w="635" w:type="pct"/>
            <w:vMerge w:val="continue"/>
            <w:noWrap/>
            <w:vAlign w:val="center"/>
          </w:tcPr>
          <w:p w14:paraId="1AC548C7">
            <w:pPr>
              <w:adjustRightInd w:val="0"/>
              <w:snapToGrid w:val="0"/>
              <w:spacing w:line="240" w:lineRule="auto"/>
              <w:jc w:val="center"/>
              <w:rPr>
                <w:rFonts w:hint="eastAsia" w:ascii="宋体" w:hAnsi="宋体" w:cs="宋体"/>
                <w:color w:val="auto"/>
                <w:kern w:val="0"/>
                <w:sz w:val="21"/>
                <w:szCs w:val="21"/>
                <w:highlight w:val="none"/>
                <w:lang w:eastAsia="zh-CN"/>
              </w:rPr>
            </w:pPr>
          </w:p>
        </w:tc>
        <w:tc>
          <w:tcPr>
            <w:tcW w:w="789" w:type="pct"/>
            <w:noWrap/>
            <w:vAlign w:val="center"/>
          </w:tcPr>
          <w:p w14:paraId="6811293B">
            <w:pPr>
              <w:adjustRightInd w:val="0"/>
              <w:snapToGrid w:val="0"/>
              <w:spacing w:line="24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3号仓储</w:t>
            </w:r>
          </w:p>
        </w:tc>
        <w:tc>
          <w:tcPr>
            <w:tcW w:w="2203" w:type="pct"/>
            <w:noWrap/>
            <w:vAlign w:val="center"/>
          </w:tcPr>
          <w:p w14:paraId="7187E393">
            <w:pPr>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苯乙烯</w:t>
            </w:r>
          </w:p>
        </w:tc>
        <w:tc>
          <w:tcPr>
            <w:tcW w:w="860" w:type="pct"/>
            <w:vMerge w:val="continue"/>
            <w:noWrap/>
            <w:vAlign w:val="center"/>
          </w:tcPr>
          <w:p w14:paraId="67502EE2">
            <w:pPr>
              <w:adjustRightInd w:val="0"/>
              <w:snapToGrid w:val="0"/>
              <w:jc w:val="center"/>
              <w:rPr>
                <w:rFonts w:hint="eastAsia" w:ascii="宋体" w:hAnsi="宋体" w:cs="宋体"/>
                <w:color w:val="auto"/>
                <w:kern w:val="0"/>
                <w:szCs w:val="21"/>
                <w:highlight w:val="none"/>
              </w:rPr>
            </w:pPr>
          </w:p>
        </w:tc>
      </w:tr>
      <w:tr w14:paraId="3C8E6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Merge w:val="continue"/>
            <w:noWrap/>
            <w:vAlign w:val="center"/>
          </w:tcPr>
          <w:p w14:paraId="35FB0C81">
            <w:pPr>
              <w:adjustRightInd w:val="0"/>
              <w:snapToGrid w:val="0"/>
              <w:jc w:val="center"/>
              <w:rPr>
                <w:rFonts w:ascii="宋体" w:hAnsi="宋体" w:cs="宋体"/>
                <w:color w:val="auto"/>
                <w:kern w:val="0"/>
                <w:sz w:val="21"/>
                <w:szCs w:val="21"/>
                <w:highlight w:val="none"/>
              </w:rPr>
            </w:pPr>
          </w:p>
        </w:tc>
        <w:tc>
          <w:tcPr>
            <w:tcW w:w="635" w:type="pct"/>
            <w:vMerge w:val="continue"/>
            <w:noWrap/>
            <w:vAlign w:val="center"/>
          </w:tcPr>
          <w:p w14:paraId="277C8A8D">
            <w:pPr>
              <w:adjustRightInd w:val="0"/>
              <w:snapToGrid w:val="0"/>
              <w:spacing w:line="240" w:lineRule="auto"/>
              <w:jc w:val="center"/>
              <w:rPr>
                <w:rFonts w:hint="eastAsia" w:ascii="宋体" w:hAnsi="宋体" w:cs="宋体"/>
                <w:color w:val="auto"/>
                <w:kern w:val="0"/>
                <w:sz w:val="21"/>
                <w:szCs w:val="21"/>
                <w:highlight w:val="none"/>
                <w:lang w:eastAsia="zh-CN"/>
              </w:rPr>
            </w:pPr>
          </w:p>
        </w:tc>
        <w:tc>
          <w:tcPr>
            <w:tcW w:w="789" w:type="pct"/>
            <w:noWrap/>
            <w:vAlign w:val="center"/>
          </w:tcPr>
          <w:p w14:paraId="7FC43FA7">
            <w:pPr>
              <w:adjustRightInd w:val="0"/>
              <w:snapToGrid w:val="0"/>
              <w:spacing w:line="24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4号仓储</w:t>
            </w:r>
          </w:p>
        </w:tc>
        <w:tc>
          <w:tcPr>
            <w:tcW w:w="2203" w:type="pct"/>
            <w:noWrap/>
            <w:vAlign w:val="center"/>
          </w:tcPr>
          <w:p w14:paraId="473B25D8">
            <w:pPr>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钴盐（异辛酸盐，丁醇）</w:t>
            </w:r>
          </w:p>
        </w:tc>
        <w:tc>
          <w:tcPr>
            <w:tcW w:w="860" w:type="pct"/>
            <w:vMerge w:val="continue"/>
            <w:noWrap/>
            <w:vAlign w:val="center"/>
          </w:tcPr>
          <w:p w14:paraId="7D8025A2">
            <w:pPr>
              <w:adjustRightInd w:val="0"/>
              <w:snapToGrid w:val="0"/>
              <w:jc w:val="center"/>
              <w:rPr>
                <w:rFonts w:hint="eastAsia" w:ascii="宋体" w:hAnsi="宋体" w:cs="宋体"/>
                <w:color w:val="auto"/>
                <w:kern w:val="0"/>
                <w:szCs w:val="21"/>
                <w:highlight w:val="none"/>
              </w:rPr>
            </w:pPr>
          </w:p>
        </w:tc>
      </w:tr>
      <w:tr w14:paraId="3752B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Merge w:val="continue"/>
            <w:noWrap/>
            <w:vAlign w:val="center"/>
          </w:tcPr>
          <w:p w14:paraId="5353C956">
            <w:pPr>
              <w:adjustRightInd w:val="0"/>
              <w:snapToGrid w:val="0"/>
              <w:jc w:val="center"/>
              <w:rPr>
                <w:rFonts w:ascii="宋体" w:hAnsi="宋体" w:cs="宋体"/>
                <w:color w:val="auto"/>
                <w:kern w:val="0"/>
                <w:sz w:val="21"/>
                <w:szCs w:val="21"/>
                <w:highlight w:val="none"/>
              </w:rPr>
            </w:pPr>
          </w:p>
        </w:tc>
        <w:tc>
          <w:tcPr>
            <w:tcW w:w="635" w:type="pct"/>
            <w:vMerge w:val="continue"/>
            <w:noWrap/>
            <w:vAlign w:val="center"/>
          </w:tcPr>
          <w:p w14:paraId="11BF3B53">
            <w:pPr>
              <w:adjustRightInd w:val="0"/>
              <w:snapToGrid w:val="0"/>
              <w:spacing w:line="240" w:lineRule="auto"/>
              <w:jc w:val="center"/>
              <w:rPr>
                <w:rFonts w:hint="eastAsia" w:ascii="宋体" w:hAnsi="宋体" w:cs="宋体"/>
                <w:color w:val="auto"/>
                <w:kern w:val="0"/>
                <w:sz w:val="21"/>
                <w:szCs w:val="21"/>
                <w:highlight w:val="none"/>
                <w:lang w:eastAsia="zh-CN"/>
              </w:rPr>
            </w:pPr>
          </w:p>
        </w:tc>
        <w:tc>
          <w:tcPr>
            <w:tcW w:w="789" w:type="pct"/>
            <w:noWrap/>
            <w:vAlign w:val="center"/>
          </w:tcPr>
          <w:p w14:paraId="7FF9BC2F">
            <w:pPr>
              <w:adjustRightInd w:val="0"/>
              <w:snapToGrid w:val="0"/>
              <w:spacing w:line="24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6号仓储</w:t>
            </w:r>
          </w:p>
        </w:tc>
        <w:tc>
          <w:tcPr>
            <w:tcW w:w="2203" w:type="pct"/>
            <w:noWrap/>
            <w:vAlign w:val="center"/>
          </w:tcPr>
          <w:p w14:paraId="25237461">
            <w:pPr>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油漆、油漆稀释剂和油漆固化剂</w:t>
            </w:r>
          </w:p>
        </w:tc>
        <w:tc>
          <w:tcPr>
            <w:tcW w:w="860" w:type="pct"/>
            <w:vMerge w:val="continue"/>
            <w:noWrap/>
            <w:vAlign w:val="center"/>
          </w:tcPr>
          <w:p w14:paraId="43958153">
            <w:pPr>
              <w:adjustRightInd w:val="0"/>
              <w:snapToGrid w:val="0"/>
              <w:jc w:val="center"/>
              <w:rPr>
                <w:rFonts w:hint="eastAsia" w:ascii="宋体" w:hAnsi="宋体" w:cs="宋体"/>
                <w:color w:val="auto"/>
                <w:kern w:val="0"/>
                <w:szCs w:val="21"/>
                <w:highlight w:val="none"/>
              </w:rPr>
            </w:pPr>
          </w:p>
        </w:tc>
      </w:tr>
      <w:tr w14:paraId="45C6E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Merge w:val="continue"/>
            <w:noWrap/>
            <w:vAlign w:val="center"/>
          </w:tcPr>
          <w:p w14:paraId="6113BBB5">
            <w:pPr>
              <w:adjustRightInd w:val="0"/>
              <w:snapToGrid w:val="0"/>
              <w:jc w:val="center"/>
              <w:rPr>
                <w:rFonts w:ascii="宋体" w:hAnsi="宋体" w:cs="宋体"/>
                <w:color w:val="auto"/>
                <w:kern w:val="0"/>
                <w:sz w:val="21"/>
                <w:szCs w:val="21"/>
                <w:highlight w:val="none"/>
              </w:rPr>
            </w:pPr>
          </w:p>
        </w:tc>
        <w:tc>
          <w:tcPr>
            <w:tcW w:w="635" w:type="pct"/>
            <w:vMerge w:val="continue"/>
            <w:noWrap/>
            <w:vAlign w:val="center"/>
          </w:tcPr>
          <w:p w14:paraId="29343B02">
            <w:pPr>
              <w:adjustRightInd w:val="0"/>
              <w:snapToGrid w:val="0"/>
              <w:spacing w:line="240" w:lineRule="auto"/>
              <w:jc w:val="center"/>
              <w:rPr>
                <w:rFonts w:hint="eastAsia" w:ascii="宋体" w:hAnsi="宋体" w:cs="宋体"/>
                <w:color w:val="auto"/>
                <w:kern w:val="0"/>
                <w:sz w:val="21"/>
                <w:szCs w:val="21"/>
                <w:highlight w:val="none"/>
                <w:lang w:eastAsia="zh-CN"/>
              </w:rPr>
            </w:pPr>
          </w:p>
        </w:tc>
        <w:tc>
          <w:tcPr>
            <w:tcW w:w="789" w:type="pct"/>
            <w:noWrap/>
            <w:vAlign w:val="center"/>
          </w:tcPr>
          <w:p w14:paraId="1909F031">
            <w:pPr>
              <w:adjustRightInd w:val="0"/>
              <w:snapToGrid w:val="0"/>
              <w:spacing w:line="240" w:lineRule="auto"/>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7号</w:t>
            </w:r>
            <w:r>
              <w:rPr>
                <w:rFonts w:hint="eastAsia" w:ascii="宋体" w:hAnsi="宋体" w:cs="宋体"/>
                <w:color w:val="auto"/>
                <w:kern w:val="0"/>
                <w:szCs w:val="21"/>
                <w:highlight w:val="none"/>
              </w:rPr>
              <w:t>仓储</w:t>
            </w:r>
          </w:p>
        </w:tc>
        <w:tc>
          <w:tcPr>
            <w:tcW w:w="2203" w:type="pct"/>
            <w:noWrap/>
            <w:vAlign w:val="center"/>
          </w:tcPr>
          <w:p w14:paraId="09F2AAE8">
            <w:pPr>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 w:val="21"/>
                <w:szCs w:val="21"/>
                <w:highlight w:val="none"/>
              </w:rPr>
              <w:t>六亚甲基四胺</w:t>
            </w:r>
            <w:r>
              <w:rPr>
                <w:rFonts w:hint="eastAsia" w:ascii="宋体" w:hAnsi="宋体" w:cs="宋体"/>
                <w:color w:val="auto"/>
                <w:kern w:val="0"/>
                <w:sz w:val="21"/>
                <w:szCs w:val="21"/>
                <w:highlight w:val="none"/>
                <w:lang w:eastAsia="zh-CN"/>
              </w:rPr>
              <w:t>、</w:t>
            </w:r>
            <w:r>
              <w:rPr>
                <w:rFonts w:hint="eastAsia" w:ascii="宋体" w:hAnsi="宋体" w:cs="宋体"/>
                <w:color w:val="auto"/>
                <w:kern w:val="0"/>
                <w:szCs w:val="21"/>
                <w:highlight w:val="none"/>
              </w:rPr>
              <w:t>硝酸银</w:t>
            </w:r>
          </w:p>
        </w:tc>
        <w:tc>
          <w:tcPr>
            <w:tcW w:w="860" w:type="pct"/>
            <w:noWrap/>
            <w:vAlign w:val="center"/>
          </w:tcPr>
          <w:p w14:paraId="2DF482FE">
            <w:pPr>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7号仓储为一个隔间</w:t>
            </w:r>
          </w:p>
        </w:tc>
      </w:tr>
      <w:tr w14:paraId="1E407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noWrap/>
            <w:vAlign w:val="center"/>
          </w:tcPr>
          <w:p w14:paraId="4B882590">
            <w:pPr>
              <w:adjustRightInd w:val="0"/>
              <w:snapToGrid w:val="0"/>
              <w:ind w:firstLine="420" w:firstLineChars="200"/>
              <w:rPr>
                <w:rFonts w:ascii="宋体" w:hAnsi="宋体" w:cs="宋体"/>
                <w:color w:val="auto"/>
                <w:kern w:val="0"/>
                <w:sz w:val="21"/>
                <w:szCs w:val="21"/>
                <w:highlight w:val="none"/>
              </w:rPr>
            </w:pPr>
            <w:r>
              <w:rPr>
                <w:rFonts w:hint="eastAsia" w:ascii="宋体" w:hAnsi="宋体" w:cs="宋体"/>
                <w:color w:val="auto"/>
                <w:kern w:val="0"/>
                <w:sz w:val="21"/>
                <w:szCs w:val="21"/>
                <w:highlight w:val="none"/>
              </w:rPr>
              <w:t>注1：以下内容不在本评价范围之内：</w:t>
            </w:r>
          </w:p>
          <w:p w14:paraId="250EB0A6">
            <w:pPr>
              <w:numPr>
                <w:ilvl w:val="0"/>
                <w:numId w:val="6"/>
              </w:numPr>
              <w:adjustRightInd w:val="0"/>
              <w:snapToGrid w:val="0"/>
              <w:ind w:left="0" w:firstLine="420" w:firstLineChars="200"/>
              <w:rPr>
                <w:rFonts w:ascii="宋体" w:hAnsi="宋体" w:cs="宋体"/>
                <w:color w:val="auto"/>
                <w:kern w:val="0"/>
                <w:sz w:val="21"/>
                <w:szCs w:val="21"/>
                <w:highlight w:val="none"/>
              </w:rPr>
            </w:pPr>
            <w:r>
              <w:rPr>
                <w:rFonts w:hint="eastAsia" w:ascii="宋体" w:hAnsi="宋体" w:cs="宋体"/>
                <w:color w:val="auto"/>
                <w:kern w:val="0"/>
                <w:sz w:val="21"/>
                <w:szCs w:val="21"/>
                <w:highlight w:val="none"/>
              </w:rPr>
              <w:t>厂区内除本项目外的以及厂区外的各类</w:t>
            </w:r>
            <w:r>
              <w:rPr>
                <w:rFonts w:ascii="宋体" w:hAnsi="宋体" w:cs="宋体"/>
                <w:color w:val="auto"/>
                <w:kern w:val="0"/>
                <w:sz w:val="21"/>
                <w:szCs w:val="21"/>
                <w:highlight w:val="none"/>
              </w:rPr>
              <w:t>建（构）筑物</w:t>
            </w:r>
            <w:r>
              <w:rPr>
                <w:rFonts w:hint="eastAsia" w:ascii="宋体" w:hAnsi="宋体" w:cs="宋体"/>
                <w:color w:val="auto"/>
                <w:kern w:val="0"/>
                <w:sz w:val="21"/>
                <w:szCs w:val="21"/>
                <w:highlight w:val="none"/>
              </w:rPr>
              <w:t>和设施，厂外运输。</w:t>
            </w:r>
          </w:p>
          <w:p w14:paraId="7940D3E2">
            <w:pPr>
              <w:numPr>
                <w:ilvl w:val="0"/>
                <w:numId w:val="6"/>
              </w:numPr>
              <w:adjustRightInd w:val="0"/>
              <w:snapToGrid w:val="0"/>
              <w:ind w:left="0" w:firstLine="420" w:firstLineChars="200"/>
              <w:rPr>
                <w:rFonts w:ascii="宋体" w:hAnsi="宋体" w:cs="宋体"/>
                <w:color w:val="auto"/>
                <w:kern w:val="0"/>
                <w:sz w:val="21"/>
                <w:szCs w:val="21"/>
                <w:highlight w:val="none"/>
              </w:rPr>
            </w:pPr>
            <w:r>
              <w:rPr>
                <w:rFonts w:hint="eastAsia" w:ascii="宋体" w:hAnsi="宋体" w:cs="宋体"/>
                <w:color w:val="auto"/>
                <w:kern w:val="0"/>
                <w:szCs w:val="21"/>
                <w:highlight w:val="none"/>
              </w:rPr>
              <w:t>凡涉及本项目的环保、厂外运输等方面的内容，应按照国家有关标准和规定执行，本评价引用到的环保标准和相关法规与安全评价有一定的关联，环保应符合国家相关</w:t>
            </w:r>
            <w:r>
              <w:rPr>
                <w:rFonts w:hint="eastAsia" w:ascii="宋体" w:hAnsi="宋体" w:cs="宋体"/>
                <w:color w:val="auto"/>
                <w:kern w:val="0"/>
                <w:szCs w:val="21"/>
                <w:highlight w:val="none"/>
                <w:lang w:eastAsia="zh-CN"/>
              </w:rPr>
              <w:t>法律法规</w:t>
            </w:r>
            <w:r>
              <w:rPr>
                <w:rFonts w:hint="eastAsia" w:ascii="宋体" w:hAnsi="宋体" w:cs="宋体"/>
                <w:color w:val="auto"/>
                <w:kern w:val="0"/>
                <w:szCs w:val="21"/>
                <w:highlight w:val="none"/>
              </w:rPr>
              <w:t>的规定，本项目只进行一般性检查、评价，环境、消防的验收以其主管部门的意见为准</w:t>
            </w:r>
            <w:r>
              <w:rPr>
                <w:rFonts w:hint="eastAsia" w:ascii="宋体" w:hAnsi="宋体" w:cs="宋体"/>
                <w:color w:val="auto"/>
                <w:kern w:val="0"/>
                <w:szCs w:val="21"/>
                <w:highlight w:val="none"/>
                <w:lang w:eastAsia="zh-CN"/>
              </w:rPr>
              <w:t>；</w:t>
            </w:r>
          </w:p>
          <w:p w14:paraId="59DCD8D7">
            <w:pPr>
              <w:numPr>
                <w:ilvl w:val="0"/>
                <w:numId w:val="6"/>
              </w:numPr>
              <w:adjustRightInd w:val="0"/>
              <w:snapToGrid w:val="0"/>
              <w:ind w:left="0"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委托方因各种原因而主观上不愿或客观上不能提供准确的资料、信息而可能造成的危险、危害；</w:t>
            </w:r>
          </w:p>
          <w:p w14:paraId="7B59AB35">
            <w:pPr>
              <w:numPr>
                <w:ilvl w:val="0"/>
                <w:numId w:val="6"/>
              </w:numPr>
              <w:adjustRightInd w:val="0"/>
              <w:snapToGrid w:val="0"/>
              <w:ind w:left="0" w:firstLine="420" w:firstLineChars="200"/>
              <w:rPr>
                <w:rFonts w:ascii="宋体" w:hAnsi="宋体" w:cs="宋体"/>
                <w:color w:val="auto"/>
                <w:kern w:val="0"/>
                <w:sz w:val="21"/>
                <w:szCs w:val="21"/>
                <w:highlight w:val="none"/>
              </w:rPr>
            </w:pPr>
            <w:r>
              <w:rPr>
                <w:rFonts w:hint="eastAsia" w:ascii="宋体" w:hAnsi="宋体" w:cs="宋体"/>
                <w:color w:val="auto"/>
                <w:kern w:val="0"/>
                <w:szCs w:val="21"/>
                <w:highlight w:val="none"/>
              </w:rPr>
              <w:t>地震、台风、海啸、洪水等不可抗拒的自然灾害和不可预测因素造成的危险危害</w:t>
            </w:r>
            <w:r>
              <w:rPr>
                <w:rFonts w:hint="eastAsia" w:ascii="宋体" w:hAnsi="宋体" w:cs="宋体"/>
                <w:color w:val="auto"/>
                <w:kern w:val="0"/>
                <w:szCs w:val="21"/>
                <w:highlight w:val="none"/>
                <w:lang w:eastAsia="zh-CN"/>
              </w:rPr>
              <w:t>。</w:t>
            </w:r>
          </w:p>
          <w:p w14:paraId="5D5EE512">
            <w:pPr>
              <w:adjustRightInd w:val="0"/>
              <w:snapToGrid w:val="0"/>
              <w:ind w:firstLine="420" w:firstLineChars="200"/>
              <w:rPr>
                <w:rFonts w:ascii="宋体" w:hAnsi="宋体" w:cs="宋体"/>
                <w:color w:val="auto"/>
                <w:kern w:val="0"/>
                <w:sz w:val="21"/>
                <w:szCs w:val="21"/>
                <w:highlight w:val="none"/>
              </w:rPr>
            </w:pPr>
            <w:r>
              <w:rPr>
                <w:rFonts w:hint="eastAsia" w:ascii="宋体" w:hAnsi="宋体" w:cs="宋体"/>
                <w:color w:val="auto"/>
                <w:kern w:val="0"/>
                <w:sz w:val="21"/>
                <w:szCs w:val="21"/>
                <w:highlight w:val="none"/>
              </w:rPr>
              <w:t>注2：本评价报告是针对企业危化品</w:t>
            </w:r>
            <w:r>
              <w:rPr>
                <w:rFonts w:hint="eastAsia" w:ascii="宋体" w:hAnsi="宋体" w:cs="宋体"/>
                <w:color w:val="auto"/>
                <w:kern w:val="0"/>
                <w:sz w:val="21"/>
                <w:szCs w:val="21"/>
                <w:highlight w:val="none"/>
                <w:lang w:eastAsia="zh-CN"/>
              </w:rPr>
              <w:t>储存</w:t>
            </w:r>
            <w:r>
              <w:rPr>
                <w:rFonts w:hint="eastAsia" w:ascii="宋体" w:hAnsi="宋体" w:cs="宋体"/>
                <w:color w:val="auto"/>
                <w:kern w:val="0"/>
                <w:sz w:val="21"/>
                <w:szCs w:val="21"/>
                <w:highlight w:val="none"/>
              </w:rPr>
              <w:t>现状而作，一旦企业危化品</w:t>
            </w:r>
            <w:r>
              <w:rPr>
                <w:rFonts w:hint="eastAsia" w:ascii="宋体" w:hAnsi="宋体" w:cs="宋体"/>
                <w:color w:val="auto"/>
                <w:kern w:val="0"/>
                <w:sz w:val="21"/>
                <w:szCs w:val="21"/>
                <w:highlight w:val="none"/>
                <w:lang w:eastAsia="zh-CN"/>
              </w:rPr>
              <w:t>储存</w:t>
            </w:r>
            <w:r>
              <w:rPr>
                <w:rFonts w:hint="eastAsia" w:ascii="宋体" w:hAnsi="宋体" w:cs="宋体"/>
                <w:color w:val="auto"/>
                <w:kern w:val="0"/>
                <w:sz w:val="21"/>
                <w:szCs w:val="21"/>
                <w:highlight w:val="none"/>
              </w:rPr>
              <w:t>现状发生变化，应重新进行安全</w:t>
            </w:r>
            <w:r>
              <w:rPr>
                <w:rFonts w:hint="default" w:ascii="宋体" w:hAnsi="宋体" w:cs="宋体"/>
                <w:color w:val="auto"/>
                <w:kern w:val="0"/>
                <w:sz w:val="21"/>
                <w:szCs w:val="21"/>
                <w:highlight w:val="none"/>
                <w:lang w:val="en-US"/>
              </w:rPr>
              <w:t>评价</w:t>
            </w:r>
            <w:r>
              <w:rPr>
                <w:rFonts w:hint="eastAsia" w:ascii="宋体" w:hAnsi="宋体" w:cs="宋体"/>
                <w:color w:val="auto"/>
                <w:kern w:val="0"/>
                <w:sz w:val="21"/>
                <w:szCs w:val="21"/>
                <w:highlight w:val="none"/>
              </w:rPr>
              <w:t>。</w:t>
            </w:r>
          </w:p>
        </w:tc>
      </w:tr>
    </w:tbl>
    <w:p w14:paraId="7B9C8A80">
      <w:pPr>
        <w:adjustRightInd w:val="0"/>
        <w:snapToGrid w:val="0"/>
        <w:spacing w:beforeLines="50" w:afterLines="0" w:line="360" w:lineRule="auto"/>
        <w:outlineLvl w:val="1"/>
        <w:rPr>
          <w:rFonts w:ascii="黑体" w:hAnsi="黑体" w:eastAsia="黑体" w:cs="Times New Roman"/>
          <w:b/>
          <w:color w:val="auto"/>
          <w:sz w:val="28"/>
          <w:szCs w:val="28"/>
          <w:highlight w:val="none"/>
        </w:rPr>
      </w:pPr>
      <w:bookmarkStart w:id="214" w:name="_Toc498075558"/>
      <w:bookmarkStart w:id="215" w:name="_Toc4683"/>
      <w:bookmarkStart w:id="216" w:name="_Toc1391"/>
      <w:bookmarkStart w:id="217" w:name="_Toc60846573"/>
      <w:bookmarkStart w:id="218" w:name="_Toc7755"/>
      <w:bookmarkStart w:id="219" w:name="_Toc320805293"/>
      <w:bookmarkStart w:id="220" w:name="_Toc19571"/>
      <w:bookmarkStart w:id="221" w:name="_Toc4917"/>
      <w:bookmarkStart w:id="222" w:name="_Toc16861"/>
      <w:bookmarkStart w:id="223" w:name="_Toc17966"/>
      <w:bookmarkStart w:id="224" w:name="_Toc20367"/>
      <w:bookmarkStart w:id="225" w:name="_Toc17694"/>
      <w:bookmarkStart w:id="226" w:name="_Toc5918"/>
      <w:bookmarkStart w:id="227" w:name="_Toc25262"/>
      <w:bookmarkStart w:id="228" w:name="_Toc20320"/>
      <w:bookmarkStart w:id="229" w:name="_Toc5141"/>
      <w:bookmarkStart w:id="230" w:name="_Toc23885"/>
      <w:bookmarkStart w:id="231" w:name="_Toc347695673"/>
      <w:bookmarkStart w:id="232" w:name="_Toc17323"/>
      <w:bookmarkStart w:id="233" w:name="_Toc15330"/>
      <w:bookmarkStart w:id="234" w:name="_Toc70"/>
      <w:r>
        <w:rPr>
          <w:rFonts w:ascii="黑体" w:hAnsi="黑体" w:eastAsia="黑体" w:cs="Times New Roman"/>
          <w:b/>
          <w:color w:val="auto"/>
          <w:sz w:val="28"/>
          <w:szCs w:val="28"/>
          <w:highlight w:val="none"/>
        </w:rPr>
        <w:t>1.</w:t>
      </w:r>
      <w:r>
        <w:rPr>
          <w:rFonts w:hint="eastAsia" w:ascii="黑体" w:hAnsi="黑体" w:eastAsia="黑体" w:cs="Times New Roman"/>
          <w:b/>
          <w:color w:val="auto"/>
          <w:sz w:val="28"/>
          <w:szCs w:val="28"/>
          <w:highlight w:val="none"/>
          <w:lang w:val="en-US" w:eastAsia="zh-CN"/>
        </w:rPr>
        <w:t xml:space="preserve">5 </w:t>
      </w:r>
      <w:r>
        <w:rPr>
          <w:rFonts w:ascii="黑体" w:hAnsi="黑体" w:eastAsia="黑体" w:cs="Times New Roman"/>
          <w:b/>
          <w:color w:val="auto"/>
          <w:sz w:val="28"/>
          <w:szCs w:val="28"/>
          <w:highlight w:val="none"/>
        </w:rPr>
        <w:t>评价程序</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p w14:paraId="5FA03440">
      <w:pPr>
        <w:adjustRightInd w:val="0"/>
        <w:snapToGrid w:val="0"/>
        <w:spacing w:line="360" w:lineRule="auto"/>
        <w:ind w:firstLine="560" w:firstLineChars="200"/>
        <w:rPr>
          <w:rFonts w:hint="eastAsia"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rPr>
        <w:t>本安全评价</w:t>
      </w:r>
      <w:r>
        <w:rPr>
          <w:rFonts w:hint="eastAsia" w:ascii="Times New Roman" w:hAnsi="Times New Roman" w:cs="Times New Roman"/>
          <w:color w:val="auto"/>
          <w:sz w:val="28"/>
          <w:szCs w:val="28"/>
          <w:highlight w:val="none"/>
          <w:lang w:eastAsia="zh-CN"/>
        </w:rPr>
        <w:t>报告</w:t>
      </w:r>
      <w:r>
        <w:rPr>
          <w:rFonts w:hint="eastAsia" w:ascii="Times New Roman" w:hAnsi="Times New Roman" w:cs="Times New Roman"/>
          <w:color w:val="auto"/>
          <w:sz w:val="28"/>
          <w:szCs w:val="28"/>
          <w:highlight w:val="none"/>
        </w:rPr>
        <w:t>采用的评价程序见</w:t>
      </w:r>
      <w:r>
        <w:rPr>
          <w:rFonts w:hint="eastAsia" w:ascii="Times New Roman" w:hAnsi="Times New Roman" w:cs="Times New Roman"/>
          <w:color w:val="auto"/>
          <w:sz w:val="28"/>
          <w:szCs w:val="28"/>
          <w:highlight w:val="none"/>
          <w:lang w:eastAsia="zh-CN"/>
        </w:rPr>
        <w:t>下图</w:t>
      </w:r>
      <w:r>
        <w:rPr>
          <w:rFonts w:hint="eastAsia" w:ascii="Times New Roman" w:hAnsi="Times New Roman" w:cs="Times New Roman"/>
          <w:color w:val="auto"/>
          <w:sz w:val="28"/>
          <w:szCs w:val="28"/>
          <w:highlight w:val="none"/>
        </w:rPr>
        <w:t>。</w:t>
      </w:r>
    </w:p>
    <w:p w14:paraId="41C57CAD">
      <w:pPr>
        <w:widowControl/>
        <w:adjustRightInd w:val="0"/>
        <w:snapToGrid w:val="0"/>
        <w:ind w:left="852"/>
        <w:jc w:val="center"/>
        <w:rPr>
          <w:color w:val="auto"/>
          <w:kern w:val="0"/>
          <w:highlight w:val="none"/>
        </w:rPr>
      </w:pPr>
    </w:p>
    <w:p w14:paraId="1D189AA2">
      <w:pPr>
        <w:widowControl/>
        <w:adjustRightInd w:val="0"/>
        <w:snapToGrid w:val="0"/>
        <w:ind w:left="852"/>
        <w:jc w:val="center"/>
        <w:rPr>
          <w:color w:val="auto"/>
          <w:kern w:val="0"/>
          <w:highlight w:val="none"/>
        </w:rPr>
      </w:pPr>
      <w:r>
        <w:rPr>
          <w:color w:val="auto"/>
          <w:kern w:val="0"/>
          <w:highlight w:val="none"/>
        </w:rPr>
        <w:pict>
          <v:group id="_x0000_s1041" o:spid="_x0000_s1041" o:spt="203" style="position:absolute;left:0pt;margin-left:128.9pt;margin-top:9.25pt;height:402.9pt;width:208.75pt;z-index:251659264;mso-width-relative:page;mso-height-relative:page;" coordorigin="4011,1996" coordsize="3675,7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">
            <o:lock v:ext="edit" aspectratio="t"/>
            <v:rect id="矩形 1549" o:spid="_x0000_s1042" o:spt="1" style="position:absolute;left:4011;top:1996;height:468;width:367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">
              <v:path/>
              <v:fill on="t" color2="#FFFFFF" focussize="0,0"/>
              <v:stroke color="#000000" joinstyle="miter"/>
              <v:imagedata o:title=""/>
              <o:lock v:ext="edit" text="t" aspectratio="t"/>
              <v:textbox>
                <w:txbxContent>
                  <w:p w14:paraId="7885A75F">
                    <w:pPr>
                      <w:jc w:val="center"/>
                      <w:rPr>
                        <w:szCs w:val="21"/>
                      </w:rPr>
                    </w:pPr>
                    <w:r>
                      <w:rPr>
                        <w:rFonts w:hint="eastAsia"/>
                        <w:szCs w:val="21"/>
                      </w:rPr>
                      <w:t>前期准备</w:t>
                    </w:r>
                  </w:p>
                </w:txbxContent>
              </v:textbox>
            </v:rect>
            <v:rect id="矩形 1550" o:spid="_x0000_s1043" o:spt="1" style="position:absolute;left:4011;top:3088;height:468;width:367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">
              <v:path/>
              <v:fill on="t" color2="#FFFFFF" focussize="0,0"/>
              <v:stroke color="#000000" joinstyle="miter"/>
              <v:imagedata o:title=""/>
              <o:lock v:ext="edit" text="t" aspectratio="t"/>
              <v:textbox>
                <w:txbxContent>
                  <w:p w14:paraId="02F2BEA2">
                    <w:pPr>
                      <w:jc w:val="center"/>
                      <w:rPr>
                        <w:szCs w:val="21"/>
                      </w:rPr>
                    </w:pPr>
                    <w:r>
                      <w:rPr>
                        <w:rFonts w:hint="eastAsia"/>
                        <w:szCs w:val="21"/>
                      </w:rPr>
                      <w:t>辨识与分析危险、有害因素</w:t>
                    </w:r>
                  </w:p>
                </w:txbxContent>
              </v:textbox>
            </v:rect>
            <v:rect id="矩形 1551" o:spid="_x0000_s1044" o:spt="1" style="position:absolute;left:4011;top:4336;height:468;width:367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">
              <v:path/>
              <v:fill on="t" color2="#FFFFFF" focussize="0,0"/>
              <v:stroke color="#000000" joinstyle="miter"/>
              <v:imagedata o:title=""/>
              <o:lock v:ext="edit" text="t" aspectratio="t"/>
              <v:textbox>
                <w:txbxContent>
                  <w:p w14:paraId="7F97655B">
                    <w:pPr>
                      <w:jc w:val="center"/>
                      <w:rPr>
                        <w:szCs w:val="21"/>
                      </w:rPr>
                    </w:pPr>
                    <w:r>
                      <w:rPr>
                        <w:rFonts w:hint="eastAsia"/>
                        <w:szCs w:val="21"/>
                      </w:rPr>
                      <w:t>划分评价单元</w:t>
                    </w:r>
                  </w:p>
                </w:txbxContent>
              </v:textbox>
            </v:rect>
            <v:line id="直线 1552" o:spid="_x0000_s1045" o:spt="20" style="position:absolute;left:5841;top:2464;height:624;width: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">
              <v:path arrowok="t"/>
              <v:fill on="f" focussize="0,0"/>
              <v:stroke color="#000000" endarrow="block"/>
              <v:imagedata o:title=""/>
              <o:lock v:ext="edit" aspectratio="t"/>
            </v:line>
            <v:line id="直线 1553" o:spid="_x0000_s1046" o:spt="20" style="position:absolute;left:5841;top:3556;height:780;width: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">
              <v:path arrowok="t"/>
              <v:fill on="f" focussize="0,0"/>
              <v:stroke color="#000000" endarrow="block"/>
              <v:imagedata o:title=""/>
              <o:lock v:ext="edit" aspectratio="t"/>
            </v:line>
            <v:group id="组合 1554" o:spid="_x0000_s1047" o:spt="203" style="position:absolute;left:4011;top:4796;height:4680;width:3675;" coordorigin="4011,6052" coordsize="3675,4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">
              <o:lock v:ext="edit" aspectratio="t"/>
              <v:rect id="矩形 1555" o:spid="_x0000_s1048" o:spt="1" style="position:absolute;left:4011;top:6676;height:468;width:367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">
                <v:path/>
                <v:fill on="t" color2="#FFFFFF" focussize="0,0"/>
                <v:stroke color="#000000" joinstyle="miter"/>
                <v:imagedata o:title=""/>
                <o:lock v:ext="edit" text="t" aspectratio="t"/>
                <v:textbox>
                  <w:txbxContent>
                    <w:p w14:paraId="6CC555A7">
                      <w:pPr>
                        <w:jc w:val="center"/>
                        <w:rPr>
                          <w:szCs w:val="21"/>
                        </w:rPr>
                      </w:pPr>
                      <w:r>
                        <w:rPr>
                          <w:rFonts w:hint="eastAsia"/>
                          <w:szCs w:val="21"/>
                          <w:lang w:eastAsia="zh-CN"/>
                        </w:rPr>
                        <w:t>安全</w:t>
                      </w:r>
                      <w:r>
                        <w:rPr>
                          <w:rFonts w:hint="eastAsia"/>
                          <w:szCs w:val="21"/>
                        </w:rPr>
                        <w:t>评价</w:t>
                      </w:r>
                    </w:p>
                  </w:txbxContent>
                </v:textbox>
              </v:rect>
              <v:rect id="矩形 1556" o:spid="_x0000_s1049" o:spt="1" style="position:absolute;left:4011;top:7924;height:468;width:367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">
                <v:path/>
                <v:fill on="t" color2="#FFFFFF" focussize="0,0"/>
                <v:stroke color="#000000" joinstyle="miter"/>
                <v:imagedata o:title=""/>
                <o:lock v:ext="edit" text="t" aspectratio="t"/>
                <v:textbox>
                  <w:txbxContent>
                    <w:p w14:paraId="4CFED79F">
                      <w:pPr>
                        <w:jc w:val="center"/>
                        <w:rPr>
                          <w:szCs w:val="21"/>
                        </w:rPr>
                      </w:pPr>
                      <w:r>
                        <w:rPr>
                          <w:rFonts w:hint="eastAsia"/>
                          <w:szCs w:val="21"/>
                        </w:rPr>
                        <w:t>提出安全对策措施建议</w:t>
                      </w:r>
                    </w:p>
                  </w:txbxContent>
                </v:textbox>
              </v:rect>
              <v:rect id="矩形 1557" o:spid="_x0000_s1050" o:spt="1" style="position:absolute;left:4011;top:9172;height:468;width:367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">
                <v:path/>
                <v:fill on="t" color2="#FFFFFF" focussize="0,0"/>
                <v:stroke color="#000000" joinstyle="miter"/>
                <v:imagedata o:title=""/>
                <o:lock v:ext="edit" text="t" aspectratio="t"/>
                <v:textbox>
                  <w:txbxContent>
                    <w:p w14:paraId="3A135A55">
                      <w:pPr>
                        <w:jc w:val="center"/>
                        <w:rPr>
                          <w:szCs w:val="21"/>
                        </w:rPr>
                      </w:pPr>
                      <w:r>
                        <w:rPr>
                          <w:rFonts w:hint="eastAsia"/>
                          <w:szCs w:val="21"/>
                        </w:rPr>
                        <w:t>做出评价结论</w:t>
                      </w:r>
                    </w:p>
                  </w:txbxContent>
                </v:textbox>
              </v:rect>
              <v:rect id="矩形 1558" o:spid="_x0000_s1051" o:spt="1" style="position:absolute;left:4011;top:10264;height:468;width:367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">
                <v:path/>
                <v:fill on="t" color2="#FFFFFF" focussize="0,0"/>
                <v:stroke color="#000000" joinstyle="miter"/>
                <v:imagedata o:title=""/>
                <o:lock v:ext="edit" text="t" aspectratio="t"/>
                <v:textbox>
                  <w:txbxContent>
                    <w:p w14:paraId="508C6C53">
                      <w:pPr>
                        <w:jc w:val="center"/>
                        <w:rPr>
                          <w:szCs w:val="21"/>
                        </w:rPr>
                      </w:pPr>
                      <w:r>
                        <w:rPr>
                          <w:rFonts w:hint="eastAsia"/>
                          <w:szCs w:val="21"/>
                        </w:rPr>
                        <w:t>编制专项评价报告</w:t>
                      </w:r>
                    </w:p>
                  </w:txbxContent>
                </v:textbox>
              </v:rect>
              <v:line id="直线 1559" o:spid="_x0000_s1052" o:spt="20" style="position:absolute;left:5841;top:6052;height:624;width: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">
                <v:path arrowok="t"/>
                <v:fill on="f" focussize="0,0"/>
                <v:stroke color="#000000" endarrow="block"/>
                <v:imagedata o:title=""/>
                <o:lock v:ext="edit" aspectratio="t"/>
              </v:line>
              <v:line id="直线 1560" o:spid="_x0000_s1053" o:spt="20" style="position:absolute;left:5841;top:7144;height:780;width: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">
                <v:path arrowok="t"/>
                <v:fill on="f" focussize="0,0"/>
                <v:stroke color="#000000" endarrow="block"/>
                <v:imagedata o:title=""/>
                <o:lock v:ext="edit" aspectratio="t"/>
              </v:line>
              <v:line id="直线 1561" o:spid="_x0000_s1054" o:spt="20" style="position:absolute;left:5841;top:8392;height:780;width: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">
                <v:path arrowok="t"/>
                <v:fill on="f" focussize="0,0"/>
                <v:stroke color="#000000" endarrow="block"/>
                <v:imagedata o:title=""/>
                <o:lock v:ext="edit" aspectratio="t"/>
              </v:line>
              <v:line id="直线 1562" o:spid="_x0000_s1055" o:spt="20" style="position:absolute;left:5841;top:9640;height:624;width: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">
                <v:path arrowok="t"/>
                <v:fill on="f" focussize="0,0"/>
                <v:stroke color="#000000" endarrow="block"/>
                <v:imagedata o:title=""/>
                <o:lock v:ext="edit" aspectratio="t"/>
              </v:line>
            </v:group>
          </v:group>
        </w:pict>
      </w:r>
    </w:p>
    <w:p w14:paraId="1E327B1D">
      <w:pPr>
        <w:widowControl/>
        <w:adjustRightInd w:val="0"/>
        <w:snapToGrid w:val="0"/>
        <w:ind w:left="852"/>
        <w:jc w:val="center"/>
        <w:rPr>
          <w:color w:val="auto"/>
          <w:kern w:val="0"/>
          <w:highlight w:val="none"/>
        </w:rPr>
      </w:pPr>
    </w:p>
    <w:p w14:paraId="527D169D">
      <w:pPr>
        <w:widowControl/>
        <w:adjustRightInd w:val="0"/>
        <w:snapToGrid w:val="0"/>
        <w:ind w:left="852"/>
        <w:jc w:val="center"/>
        <w:rPr>
          <w:color w:val="auto"/>
          <w:kern w:val="0"/>
          <w:highlight w:val="none"/>
        </w:rPr>
      </w:pPr>
    </w:p>
    <w:p w14:paraId="0A037D16">
      <w:pPr>
        <w:widowControl/>
        <w:adjustRightInd w:val="0"/>
        <w:snapToGrid w:val="0"/>
        <w:ind w:left="852"/>
        <w:jc w:val="center"/>
        <w:rPr>
          <w:color w:val="auto"/>
          <w:kern w:val="0"/>
          <w:highlight w:val="none"/>
        </w:rPr>
      </w:pPr>
    </w:p>
    <w:p w14:paraId="2A80335F">
      <w:pPr>
        <w:widowControl/>
        <w:adjustRightInd w:val="0"/>
        <w:snapToGrid w:val="0"/>
        <w:ind w:left="852"/>
        <w:jc w:val="center"/>
        <w:rPr>
          <w:color w:val="auto"/>
          <w:kern w:val="0"/>
          <w:highlight w:val="none"/>
        </w:rPr>
      </w:pPr>
    </w:p>
    <w:p w14:paraId="0D62C0B9">
      <w:pPr>
        <w:widowControl/>
        <w:adjustRightInd w:val="0"/>
        <w:snapToGrid w:val="0"/>
        <w:ind w:left="852"/>
        <w:jc w:val="center"/>
        <w:rPr>
          <w:color w:val="auto"/>
          <w:kern w:val="0"/>
          <w:highlight w:val="none"/>
        </w:rPr>
      </w:pPr>
    </w:p>
    <w:p w14:paraId="55A4D768">
      <w:pPr>
        <w:widowControl/>
        <w:adjustRightInd w:val="0"/>
        <w:snapToGrid w:val="0"/>
        <w:ind w:left="852"/>
        <w:jc w:val="center"/>
        <w:rPr>
          <w:color w:val="auto"/>
          <w:kern w:val="0"/>
          <w:highlight w:val="none"/>
        </w:rPr>
      </w:pPr>
    </w:p>
    <w:p w14:paraId="659A2491">
      <w:pPr>
        <w:widowControl/>
        <w:adjustRightInd w:val="0"/>
        <w:snapToGrid w:val="0"/>
        <w:ind w:left="852"/>
        <w:jc w:val="center"/>
        <w:rPr>
          <w:color w:val="auto"/>
          <w:kern w:val="0"/>
          <w:highlight w:val="none"/>
        </w:rPr>
      </w:pPr>
    </w:p>
    <w:p w14:paraId="64CF1F66">
      <w:pPr>
        <w:widowControl/>
        <w:adjustRightInd w:val="0"/>
        <w:snapToGrid w:val="0"/>
        <w:ind w:left="852"/>
        <w:jc w:val="center"/>
        <w:rPr>
          <w:color w:val="auto"/>
          <w:kern w:val="0"/>
          <w:highlight w:val="none"/>
        </w:rPr>
      </w:pPr>
    </w:p>
    <w:p w14:paraId="4D609065">
      <w:pPr>
        <w:widowControl/>
        <w:adjustRightInd w:val="0"/>
        <w:snapToGrid w:val="0"/>
        <w:ind w:left="852"/>
        <w:jc w:val="center"/>
        <w:rPr>
          <w:color w:val="auto"/>
          <w:kern w:val="0"/>
          <w:highlight w:val="none"/>
        </w:rPr>
      </w:pPr>
    </w:p>
    <w:p w14:paraId="0CACA349">
      <w:pPr>
        <w:widowControl/>
        <w:adjustRightInd w:val="0"/>
        <w:snapToGrid w:val="0"/>
        <w:ind w:left="852"/>
        <w:jc w:val="center"/>
        <w:rPr>
          <w:color w:val="auto"/>
          <w:kern w:val="0"/>
          <w:highlight w:val="none"/>
        </w:rPr>
      </w:pPr>
    </w:p>
    <w:p w14:paraId="17AE82D1">
      <w:pPr>
        <w:widowControl/>
        <w:adjustRightInd w:val="0"/>
        <w:snapToGrid w:val="0"/>
        <w:ind w:left="852"/>
        <w:jc w:val="center"/>
        <w:rPr>
          <w:color w:val="auto"/>
          <w:kern w:val="0"/>
          <w:highlight w:val="none"/>
        </w:rPr>
      </w:pPr>
    </w:p>
    <w:p w14:paraId="1EB2E25F">
      <w:pPr>
        <w:widowControl/>
        <w:adjustRightInd w:val="0"/>
        <w:snapToGrid w:val="0"/>
        <w:ind w:left="852"/>
        <w:jc w:val="center"/>
        <w:rPr>
          <w:color w:val="auto"/>
          <w:kern w:val="0"/>
          <w:highlight w:val="none"/>
        </w:rPr>
      </w:pPr>
    </w:p>
    <w:p w14:paraId="06CD0E68">
      <w:pPr>
        <w:widowControl/>
        <w:adjustRightInd w:val="0"/>
        <w:snapToGrid w:val="0"/>
        <w:ind w:left="852"/>
        <w:jc w:val="center"/>
        <w:rPr>
          <w:color w:val="auto"/>
          <w:kern w:val="0"/>
          <w:highlight w:val="none"/>
        </w:rPr>
      </w:pPr>
    </w:p>
    <w:p w14:paraId="6DD05C43">
      <w:pPr>
        <w:widowControl/>
        <w:adjustRightInd w:val="0"/>
        <w:snapToGrid w:val="0"/>
        <w:ind w:left="852"/>
        <w:jc w:val="center"/>
        <w:rPr>
          <w:color w:val="auto"/>
          <w:kern w:val="0"/>
          <w:highlight w:val="none"/>
        </w:rPr>
      </w:pPr>
    </w:p>
    <w:p w14:paraId="4FE0F754">
      <w:pPr>
        <w:widowControl/>
        <w:adjustRightInd w:val="0"/>
        <w:snapToGrid w:val="0"/>
        <w:ind w:left="852"/>
        <w:jc w:val="center"/>
        <w:rPr>
          <w:color w:val="auto"/>
          <w:kern w:val="0"/>
          <w:highlight w:val="none"/>
        </w:rPr>
      </w:pPr>
    </w:p>
    <w:p w14:paraId="4BE4EB1C">
      <w:pPr>
        <w:widowControl/>
        <w:adjustRightInd w:val="0"/>
        <w:snapToGrid w:val="0"/>
        <w:ind w:left="852"/>
        <w:jc w:val="center"/>
        <w:rPr>
          <w:color w:val="auto"/>
          <w:kern w:val="0"/>
          <w:highlight w:val="none"/>
        </w:rPr>
      </w:pPr>
    </w:p>
    <w:p w14:paraId="0385EE1A">
      <w:pPr>
        <w:widowControl/>
        <w:adjustRightInd w:val="0"/>
        <w:snapToGrid w:val="0"/>
        <w:ind w:left="852"/>
        <w:jc w:val="center"/>
        <w:rPr>
          <w:color w:val="auto"/>
          <w:kern w:val="0"/>
          <w:highlight w:val="none"/>
        </w:rPr>
      </w:pPr>
    </w:p>
    <w:p w14:paraId="2CEE2487">
      <w:pPr>
        <w:widowControl/>
        <w:adjustRightInd w:val="0"/>
        <w:snapToGrid w:val="0"/>
        <w:ind w:left="852"/>
        <w:jc w:val="center"/>
        <w:rPr>
          <w:color w:val="auto"/>
          <w:kern w:val="0"/>
          <w:highlight w:val="none"/>
        </w:rPr>
      </w:pPr>
    </w:p>
    <w:p w14:paraId="38EDC2AE">
      <w:pPr>
        <w:widowControl/>
        <w:adjustRightInd w:val="0"/>
        <w:snapToGrid w:val="0"/>
        <w:ind w:left="852"/>
        <w:jc w:val="center"/>
        <w:rPr>
          <w:color w:val="auto"/>
          <w:kern w:val="0"/>
          <w:highlight w:val="none"/>
        </w:rPr>
      </w:pPr>
    </w:p>
    <w:p w14:paraId="410A2771">
      <w:pPr>
        <w:widowControl/>
        <w:adjustRightInd w:val="0"/>
        <w:snapToGrid w:val="0"/>
        <w:ind w:left="852"/>
        <w:jc w:val="center"/>
        <w:rPr>
          <w:color w:val="auto"/>
          <w:kern w:val="0"/>
          <w:highlight w:val="none"/>
        </w:rPr>
      </w:pPr>
    </w:p>
    <w:p w14:paraId="475D0004">
      <w:pPr>
        <w:widowControl/>
        <w:adjustRightInd w:val="0"/>
        <w:snapToGrid w:val="0"/>
        <w:ind w:left="852"/>
        <w:jc w:val="center"/>
        <w:rPr>
          <w:color w:val="auto"/>
          <w:kern w:val="0"/>
          <w:highlight w:val="none"/>
        </w:rPr>
      </w:pPr>
    </w:p>
    <w:p w14:paraId="6FF7E9B0">
      <w:pPr>
        <w:widowControl/>
        <w:adjustRightInd w:val="0"/>
        <w:snapToGrid w:val="0"/>
        <w:ind w:left="852"/>
        <w:jc w:val="center"/>
        <w:rPr>
          <w:color w:val="auto"/>
          <w:kern w:val="0"/>
          <w:highlight w:val="none"/>
        </w:rPr>
      </w:pPr>
    </w:p>
    <w:p w14:paraId="0A0CC051">
      <w:pPr>
        <w:widowControl/>
        <w:adjustRightInd w:val="0"/>
        <w:snapToGrid w:val="0"/>
        <w:ind w:left="852"/>
        <w:jc w:val="center"/>
        <w:rPr>
          <w:color w:val="auto"/>
          <w:kern w:val="0"/>
          <w:highlight w:val="none"/>
        </w:rPr>
      </w:pPr>
    </w:p>
    <w:p w14:paraId="70ECE4BE">
      <w:pPr>
        <w:widowControl/>
        <w:adjustRightInd w:val="0"/>
        <w:snapToGrid w:val="0"/>
        <w:ind w:left="852"/>
        <w:jc w:val="center"/>
        <w:rPr>
          <w:color w:val="auto"/>
          <w:kern w:val="0"/>
          <w:highlight w:val="none"/>
        </w:rPr>
      </w:pPr>
    </w:p>
    <w:p w14:paraId="4F5B25D2">
      <w:pPr>
        <w:widowControl/>
        <w:adjustRightInd w:val="0"/>
        <w:snapToGrid w:val="0"/>
        <w:ind w:left="852"/>
        <w:jc w:val="center"/>
        <w:rPr>
          <w:color w:val="auto"/>
          <w:kern w:val="0"/>
          <w:highlight w:val="none"/>
        </w:rPr>
      </w:pPr>
    </w:p>
    <w:p w14:paraId="7049A64B">
      <w:pPr>
        <w:widowControl/>
        <w:adjustRightInd w:val="0"/>
        <w:snapToGrid w:val="0"/>
        <w:ind w:left="852"/>
        <w:jc w:val="center"/>
        <w:rPr>
          <w:color w:val="auto"/>
          <w:kern w:val="0"/>
          <w:highlight w:val="none"/>
        </w:rPr>
      </w:pPr>
    </w:p>
    <w:p w14:paraId="1B542A5F">
      <w:pPr>
        <w:widowControl/>
        <w:adjustRightInd w:val="0"/>
        <w:snapToGrid w:val="0"/>
        <w:ind w:left="852"/>
        <w:jc w:val="center"/>
        <w:rPr>
          <w:color w:val="auto"/>
          <w:kern w:val="0"/>
          <w:highlight w:val="none"/>
        </w:rPr>
      </w:pPr>
    </w:p>
    <w:p w14:paraId="74534939">
      <w:pPr>
        <w:widowControl/>
        <w:adjustRightInd w:val="0"/>
        <w:snapToGrid w:val="0"/>
        <w:ind w:left="852"/>
        <w:jc w:val="center"/>
        <w:rPr>
          <w:color w:val="auto"/>
          <w:kern w:val="0"/>
          <w:highlight w:val="none"/>
        </w:rPr>
      </w:pPr>
    </w:p>
    <w:p w14:paraId="38246422">
      <w:pPr>
        <w:pStyle w:val="16"/>
        <w:adjustRightInd w:val="0"/>
        <w:snapToGrid w:val="0"/>
        <w:rPr>
          <w:color w:val="auto"/>
          <w:kern w:val="0"/>
          <w:highlight w:val="none"/>
        </w:rPr>
      </w:pPr>
    </w:p>
    <w:p w14:paraId="5C8B9E52">
      <w:pPr>
        <w:widowControl/>
        <w:adjustRightInd w:val="0"/>
        <w:snapToGrid w:val="0"/>
        <w:ind w:left="852"/>
        <w:jc w:val="center"/>
        <w:rPr>
          <w:color w:val="auto"/>
          <w:kern w:val="0"/>
          <w:highlight w:val="none"/>
        </w:rPr>
      </w:pPr>
    </w:p>
    <w:p w14:paraId="10DBEB23">
      <w:pPr>
        <w:widowControl/>
        <w:adjustRightInd w:val="0"/>
        <w:snapToGrid w:val="0"/>
        <w:ind w:left="852"/>
        <w:jc w:val="center"/>
        <w:rPr>
          <w:color w:val="auto"/>
          <w:kern w:val="0"/>
          <w:highlight w:val="none"/>
        </w:rPr>
      </w:pPr>
    </w:p>
    <w:p w14:paraId="03F67729">
      <w:pPr>
        <w:widowControl/>
        <w:adjustRightInd w:val="0"/>
        <w:snapToGrid w:val="0"/>
        <w:ind w:left="852"/>
        <w:jc w:val="center"/>
        <w:rPr>
          <w:color w:val="auto"/>
          <w:kern w:val="0"/>
          <w:highlight w:val="none"/>
        </w:rPr>
      </w:pPr>
    </w:p>
    <w:p w14:paraId="55B4AA49">
      <w:pPr>
        <w:widowControl/>
        <w:adjustRightInd w:val="0"/>
        <w:snapToGrid w:val="0"/>
        <w:ind w:left="852"/>
        <w:jc w:val="center"/>
        <w:rPr>
          <w:color w:val="auto"/>
          <w:kern w:val="0"/>
          <w:highlight w:val="none"/>
        </w:rPr>
      </w:pPr>
    </w:p>
    <w:p w14:paraId="44D03CD0">
      <w:pPr>
        <w:widowControl/>
        <w:adjustRightInd w:val="0"/>
        <w:snapToGrid w:val="0"/>
        <w:ind w:left="0" w:firstLine="0" w:firstLineChars="0"/>
        <w:jc w:val="both"/>
        <w:rPr>
          <w:color w:val="auto"/>
          <w:kern w:val="0"/>
          <w:highlight w:val="none"/>
        </w:rPr>
      </w:pPr>
    </w:p>
    <w:p w14:paraId="7AACF063">
      <w:pPr>
        <w:pStyle w:val="16"/>
        <w:adjustRightInd w:val="0"/>
        <w:snapToGrid w:val="0"/>
        <w:spacing w:line="360" w:lineRule="auto"/>
        <w:ind w:firstLine="0" w:firstLineChars="0"/>
        <w:jc w:val="center"/>
        <w:rPr>
          <w:rFonts w:hint="eastAsia" w:ascii="黑体" w:hAnsi="黑体" w:eastAsia="黑体" w:cs="黑体"/>
          <w:b/>
          <w:bCs/>
          <w:color w:val="auto"/>
          <w:sz w:val="24"/>
          <w:szCs w:val="24"/>
          <w:highlight w:val="none"/>
        </w:rPr>
      </w:pPr>
      <w:r>
        <w:rPr>
          <w:rFonts w:hint="eastAsia" w:ascii="黑体" w:hAnsi="黑体" w:cs="黑体"/>
          <w:b/>
          <w:bCs/>
          <w:color w:val="auto"/>
          <w:sz w:val="24"/>
          <w:highlight w:val="none"/>
          <w:lang w:eastAsia="zh-CN"/>
        </w:rPr>
        <w:t>图</w:t>
      </w:r>
      <w:r>
        <w:rPr>
          <w:rFonts w:hint="eastAsia" w:ascii="黑体" w:hAnsi="黑体" w:cs="黑体"/>
          <w:b/>
          <w:bCs/>
          <w:color w:val="auto"/>
          <w:sz w:val="24"/>
          <w:highlight w:val="none"/>
          <w:lang w:val="en-US" w:eastAsia="zh-CN"/>
        </w:rPr>
        <w:t xml:space="preserve">1.5-1 </w:t>
      </w:r>
      <w:r>
        <w:rPr>
          <w:rFonts w:hint="eastAsia" w:ascii="黑体" w:hAnsi="黑体" w:eastAsia="黑体" w:cs="黑体"/>
          <w:b/>
          <w:bCs/>
          <w:color w:val="auto"/>
          <w:sz w:val="24"/>
          <w:szCs w:val="24"/>
          <w:highlight w:val="none"/>
        </w:rPr>
        <w:t>安全评价程序框图</w:t>
      </w:r>
    </w:p>
    <w:p w14:paraId="4F17E7C3">
      <w:pPr>
        <w:adjustRightInd w:val="0"/>
        <w:snapToGrid w:val="0"/>
        <w:spacing w:line="560" w:lineRule="exact"/>
        <w:rPr>
          <w:rFonts w:ascii="宋体" w:hAnsi="宋体" w:cs="Times New Roman"/>
          <w:color w:val="auto"/>
          <w:sz w:val="28"/>
          <w:szCs w:val="28"/>
          <w:highlight w:val="none"/>
        </w:rPr>
      </w:pPr>
    </w:p>
    <w:p w14:paraId="3809BE49">
      <w:pPr>
        <w:adjustRightInd w:val="0"/>
        <w:snapToGrid w:val="0"/>
        <w:spacing w:line="560" w:lineRule="exact"/>
        <w:rPr>
          <w:rFonts w:ascii="宋体" w:hAnsi="宋体" w:cs="Times New Roman"/>
          <w:color w:val="auto"/>
          <w:sz w:val="28"/>
          <w:szCs w:val="28"/>
          <w:highlight w:val="none"/>
        </w:rPr>
      </w:pPr>
    </w:p>
    <w:p w14:paraId="5262897C">
      <w:pPr>
        <w:adjustRightInd w:val="0"/>
        <w:snapToGrid w:val="0"/>
        <w:spacing w:line="560" w:lineRule="exact"/>
        <w:rPr>
          <w:rFonts w:ascii="宋体" w:hAnsi="宋体" w:cs="Times New Roman"/>
          <w:color w:val="auto"/>
          <w:sz w:val="28"/>
          <w:szCs w:val="28"/>
          <w:highlight w:val="none"/>
        </w:rPr>
      </w:pPr>
    </w:p>
    <w:p w14:paraId="3F415984">
      <w:pPr>
        <w:adjustRightInd w:val="0"/>
        <w:snapToGrid w:val="0"/>
        <w:spacing w:line="560" w:lineRule="exact"/>
        <w:rPr>
          <w:rFonts w:ascii="宋体" w:hAnsi="宋体" w:cs="Times New Roman"/>
          <w:color w:val="auto"/>
          <w:sz w:val="28"/>
          <w:szCs w:val="28"/>
          <w:highlight w:val="none"/>
        </w:rPr>
      </w:pPr>
    </w:p>
    <w:p w14:paraId="3407AF73">
      <w:pPr>
        <w:adjustRightInd w:val="0"/>
        <w:snapToGrid w:val="0"/>
        <w:spacing w:line="560" w:lineRule="exact"/>
        <w:rPr>
          <w:rFonts w:ascii="宋体" w:hAnsi="宋体" w:cs="Times New Roman"/>
          <w:color w:val="auto"/>
          <w:sz w:val="28"/>
          <w:szCs w:val="28"/>
          <w:highlight w:val="none"/>
        </w:rPr>
      </w:pPr>
    </w:p>
    <w:p w14:paraId="7607061A">
      <w:pPr>
        <w:pStyle w:val="98"/>
        <w:spacing w:before="240" w:after="240" w:line="360" w:lineRule="auto"/>
        <w:rPr>
          <w:rFonts w:hint="eastAsia" w:ascii="黑体" w:hAnsi="黑体" w:cs="黑体"/>
          <w:color w:val="auto"/>
          <w:highlight w:val="none"/>
        </w:rPr>
      </w:pPr>
      <w:bookmarkStart w:id="235" w:name="_Toc22139"/>
      <w:bookmarkStart w:id="236" w:name="_Toc57535544"/>
      <w:bookmarkStart w:id="237" w:name="_Toc72470308"/>
      <w:bookmarkStart w:id="238" w:name="_Toc29341"/>
      <w:bookmarkStart w:id="239" w:name="_Toc40073964"/>
      <w:bookmarkStart w:id="240" w:name="_Toc498075561"/>
      <w:bookmarkStart w:id="241" w:name="_Toc43866958"/>
      <w:bookmarkStart w:id="242" w:name="_Toc17230"/>
      <w:bookmarkStart w:id="243" w:name="_Toc56226574"/>
      <w:bookmarkStart w:id="244" w:name="_Toc28804"/>
      <w:bookmarkStart w:id="245" w:name="_Toc72640684"/>
      <w:bookmarkStart w:id="246" w:name="_Toc57535639"/>
      <w:bookmarkStart w:id="247" w:name="_Toc10028"/>
      <w:bookmarkStart w:id="248" w:name="_Toc482351096"/>
      <w:bookmarkStart w:id="249" w:name="_Toc18003"/>
      <w:bookmarkStart w:id="250" w:name="_Toc26537"/>
      <w:bookmarkStart w:id="251" w:name="_Toc30869"/>
      <w:bookmarkStart w:id="252" w:name="_Toc60846576"/>
      <w:bookmarkStart w:id="253" w:name="_Toc38181539"/>
      <w:bookmarkStart w:id="254" w:name="_Toc8930"/>
      <w:bookmarkStart w:id="255" w:name="_Toc4006"/>
      <w:bookmarkStart w:id="256" w:name="_Toc482456040"/>
      <w:bookmarkStart w:id="257" w:name="_Toc223505160"/>
      <w:bookmarkStart w:id="258" w:name="_Toc330991131"/>
      <w:bookmarkStart w:id="259" w:name="_Toc56396144"/>
      <w:bookmarkStart w:id="260" w:name="_Toc14117"/>
      <w:bookmarkStart w:id="261" w:name="_Toc9295"/>
      <w:bookmarkStart w:id="262" w:name="_Toc3051"/>
      <w:bookmarkStart w:id="263" w:name="_Toc43867277"/>
      <w:bookmarkStart w:id="264" w:name="_Toc47849915"/>
      <w:bookmarkStart w:id="265" w:name="_Toc69024739"/>
      <w:bookmarkStart w:id="266" w:name="_Toc4837"/>
      <w:bookmarkStart w:id="267" w:name="_Toc20832"/>
      <w:bookmarkStart w:id="268" w:name="_Toc37574631"/>
      <w:bookmarkStart w:id="269" w:name="_Toc26599"/>
      <w:bookmarkStart w:id="270" w:name="_Toc48710205"/>
      <w:bookmarkStart w:id="271" w:name="_Toc37492153"/>
      <w:bookmarkStart w:id="272" w:name="_Toc24568"/>
      <w:r>
        <w:rPr>
          <w:rFonts w:hint="eastAsia" w:ascii="黑体" w:hAnsi="黑体" w:cs="黑体"/>
          <w:color w:val="auto"/>
          <w:highlight w:val="none"/>
        </w:rPr>
        <w:t>2 项目概况</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14:paraId="326EA77C">
      <w:pPr>
        <w:adjustRightInd w:val="0"/>
        <w:snapToGrid w:val="0"/>
        <w:spacing w:beforeLines="0" w:afterLines="0" w:line="360" w:lineRule="auto"/>
        <w:jc w:val="left"/>
        <w:outlineLvl w:val="1"/>
        <w:rPr>
          <w:rFonts w:ascii="黑体" w:hAnsi="黑体" w:eastAsia="黑体" w:cs="Times New Roman"/>
          <w:b/>
          <w:color w:val="auto"/>
          <w:sz w:val="28"/>
          <w:szCs w:val="28"/>
          <w:highlight w:val="none"/>
        </w:rPr>
      </w:pPr>
      <w:bookmarkStart w:id="273" w:name="_Toc6363"/>
      <w:bookmarkStart w:id="274" w:name="_Toc498075562"/>
      <w:bookmarkStart w:id="275" w:name="_Toc26626"/>
      <w:bookmarkStart w:id="276" w:name="_Toc12323"/>
      <w:bookmarkStart w:id="277" w:name="_Toc25626"/>
      <w:bookmarkStart w:id="278" w:name="_Toc31223"/>
      <w:bookmarkStart w:id="279" w:name="_Toc22598"/>
      <w:bookmarkStart w:id="280" w:name="_Toc16480"/>
      <w:bookmarkStart w:id="281" w:name="_Toc18873"/>
      <w:bookmarkStart w:id="282" w:name="_Toc7981"/>
      <w:bookmarkStart w:id="283" w:name="_Toc21470"/>
      <w:bookmarkStart w:id="284" w:name="_Toc26423"/>
      <w:bookmarkStart w:id="285" w:name="_Toc14276"/>
      <w:bookmarkStart w:id="286" w:name="_Toc60846577"/>
      <w:bookmarkStart w:id="287" w:name="_Toc2584"/>
      <w:bookmarkStart w:id="288" w:name="_Toc5980"/>
      <w:bookmarkStart w:id="289" w:name="_Toc25428"/>
      <w:bookmarkStart w:id="290" w:name="_Toc31744"/>
      <w:bookmarkStart w:id="291" w:name="_Toc23871"/>
      <w:r>
        <w:rPr>
          <w:rFonts w:ascii="黑体" w:hAnsi="黑体" w:eastAsia="黑体" w:cs="Times New Roman"/>
          <w:b/>
          <w:color w:val="auto"/>
          <w:sz w:val="28"/>
          <w:szCs w:val="28"/>
          <w:highlight w:val="none"/>
        </w:rPr>
        <w:t>2.1 企业简介</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14:paraId="6191A9F4">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伟星临海钮扣分公司位于临海市尤溪镇左桥村，</w:t>
      </w:r>
      <w:r>
        <w:rPr>
          <w:rFonts w:hint="eastAsia" w:ascii="宋体" w:hAnsi="宋体" w:cs="宋体"/>
          <w:color w:val="auto"/>
          <w:sz w:val="28"/>
          <w:szCs w:val="28"/>
          <w:highlight w:val="none"/>
        </w:rPr>
        <w:t>始创于1976年，</w:t>
      </w:r>
      <w:r>
        <w:rPr>
          <w:rFonts w:hint="eastAsia" w:ascii="宋体" w:hAnsi="宋体" w:eastAsia="宋体" w:cs="宋体"/>
          <w:color w:val="auto"/>
          <w:sz w:val="28"/>
          <w:szCs w:val="28"/>
          <w:highlight w:val="none"/>
        </w:rPr>
        <w:t>占地100余亩。专业从事树脂扣、果实扣、真贝扣、牛角扣、尿素扣、曼哈顿扣等各类中高档钮扣，</w:t>
      </w:r>
      <w:r>
        <w:rPr>
          <w:rFonts w:hint="eastAsia" w:ascii="宋体" w:hAnsi="宋体" w:eastAsia="宋体" w:cs="宋体"/>
          <w:color w:val="auto"/>
          <w:kern w:val="0"/>
          <w:sz w:val="28"/>
          <w:szCs w:val="28"/>
          <w:highlight w:val="none"/>
        </w:rPr>
        <w:t>现有员工</w:t>
      </w:r>
      <w:r>
        <w:rPr>
          <w:rFonts w:hint="eastAsia" w:ascii="宋体" w:hAnsi="宋体" w:cs="宋体"/>
          <w:color w:val="auto"/>
          <w:kern w:val="0"/>
          <w:sz w:val="28"/>
          <w:szCs w:val="28"/>
          <w:highlight w:val="none"/>
          <w:lang w:val="en-US" w:eastAsia="zh-CN"/>
        </w:rPr>
        <w:t>831</w:t>
      </w:r>
      <w:r>
        <w:rPr>
          <w:rFonts w:hint="eastAsia" w:ascii="宋体" w:hAnsi="宋体" w:eastAsia="宋体" w:cs="宋体"/>
          <w:color w:val="auto"/>
          <w:kern w:val="0"/>
          <w:sz w:val="28"/>
          <w:szCs w:val="28"/>
          <w:highlight w:val="none"/>
        </w:rPr>
        <w:t>人</w:t>
      </w:r>
      <w:r>
        <w:rPr>
          <w:rFonts w:hint="eastAsia" w:ascii="宋体" w:hAnsi="宋体" w:eastAsia="宋体" w:cs="宋体"/>
          <w:color w:val="auto"/>
          <w:sz w:val="28"/>
          <w:szCs w:val="28"/>
          <w:highlight w:val="none"/>
        </w:rPr>
        <w:t>。</w:t>
      </w:r>
    </w:p>
    <w:p w14:paraId="1A87A7E8">
      <w:pPr>
        <w:pStyle w:val="16"/>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color w:val="auto"/>
          <w:sz w:val="28"/>
          <w:szCs w:val="28"/>
          <w:highlight w:val="none"/>
        </w:rPr>
        <w:t>伟星临海钮扣分公司</w:t>
      </w:r>
      <w:r>
        <w:rPr>
          <w:rFonts w:hint="eastAsia" w:ascii="宋体" w:hAnsi="宋体" w:eastAsia="宋体" w:cs="宋体"/>
          <w:bCs/>
          <w:color w:val="auto"/>
          <w:sz w:val="28"/>
          <w:szCs w:val="28"/>
          <w:highlight w:val="none"/>
        </w:rPr>
        <w:t>基本情况见</w:t>
      </w:r>
      <w:r>
        <w:rPr>
          <w:rFonts w:hint="eastAsia" w:ascii="宋体" w:hAnsi="宋体" w:eastAsia="宋体" w:cs="宋体"/>
          <w:bCs/>
          <w:color w:val="auto"/>
          <w:sz w:val="28"/>
          <w:szCs w:val="28"/>
          <w:highlight w:val="none"/>
          <w:lang w:eastAsia="zh-CN"/>
        </w:rPr>
        <w:t>下表</w:t>
      </w:r>
      <w:r>
        <w:rPr>
          <w:rFonts w:hint="eastAsia" w:ascii="宋体" w:hAnsi="宋体" w:eastAsia="宋体" w:cs="宋体"/>
          <w:bCs/>
          <w:color w:val="auto"/>
          <w:sz w:val="28"/>
          <w:szCs w:val="28"/>
          <w:highlight w:val="none"/>
        </w:rPr>
        <w:t>，营业执照见附件。</w:t>
      </w:r>
    </w:p>
    <w:p w14:paraId="0F7375BA">
      <w:pPr>
        <w:pStyle w:val="16"/>
        <w:adjustRightInd w:val="0"/>
        <w:snapToGrid w:val="0"/>
        <w:spacing w:line="360" w:lineRule="auto"/>
        <w:ind w:firstLine="0" w:firstLineChars="0"/>
        <w:jc w:val="center"/>
        <w:rPr>
          <w:rFonts w:hint="eastAsia" w:ascii="黑体" w:hAnsi="黑体" w:eastAsia="黑体" w:cs="黑体"/>
          <w:b/>
          <w:bCs/>
          <w:color w:val="auto"/>
          <w:sz w:val="24"/>
          <w:szCs w:val="24"/>
          <w:highlight w:val="none"/>
        </w:rPr>
      </w:pPr>
      <w:r>
        <w:rPr>
          <w:rFonts w:hint="eastAsia" w:ascii="黑体" w:hAnsi="黑体" w:cs="黑体"/>
          <w:b/>
          <w:bCs/>
          <w:color w:val="auto"/>
          <w:sz w:val="24"/>
          <w:highlight w:val="none"/>
          <w:lang w:eastAsia="zh-CN"/>
        </w:rPr>
        <w:t>表</w:t>
      </w:r>
      <w:r>
        <w:rPr>
          <w:rFonts w:hint="eastAsia" w:ascii="黑体" w:hAnsi="黑体" w:cs="黑体"/>
          <w:b/>
          <w:bCs/>
          <w:color w:val="auto"/>
          <w:sz w:val="24"/>
          <w:highlight w:val="none"/>
          <w:lang w:val="en-US" w:eastAsia="zh-CN"/>
        </w:rPr>
        <w:t xml:space="preserve">2.1-1 </w:t>
      </w:r>
      <w:r>
        <w:rPr>
          <w:rFonts w:hint="eastAsia" w:ascii="黑体" w:hAnsi="黑体" w:eastAsia="黑体" w:cs="黑体"/>
          <w:b/>
          <w:bCs/>
          <w:color w:val="auto"/>
          <w:sz w:val="24"/>
          <w:szCs w:val="24"/>
          <w:highlight w:val="none"/>
        </w:rPr>
        <w:t>企业基本情况一览表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3845"/>
        <w:gridCol w:w="1356"/>
        <w:gridCol w:w="2894"/>
      </w:tblGrid>
      <w:tr w14:paraId="7770E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4" w:type="pct"/>
            <w:vAlign w:val="center"/>
          </w:tcPr>
          <w:p w14:paraId="262EC0E6">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企业名称</w:t>
            </w:r>
          </w:p>
        </w:tc>
        <w:tc>
          <w:tcPr>
            <w:tcW w:w="2045" w:type="pct"/>
            <w:vAlign w:val="center"/>
          </w:tcPr>
          <w:p w14:paraId="4ED9F129">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浙江伟星实业发展股份有限公司</w:t>
            </w:r>
          </w:p>
          <w:p w14:paraId="57D8DC22">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临海钮扣分公司</w:t>
            </w:r>
          </w:p>
        </w:tc>
        <w:tc>
          <w:tcPr>
            <w:tcW w:w="721" w:type="pct"/>
            <w:vAlign w:val="center"/>
          </w:tcPr>
          <w:p w14:paraId="428FC232">
            <w:pPr>
              <w:adjustRightInd w:val="0"/>
              <w:snapToGrid w:val="0"/>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营业场所</w:t>
            </w:r>
          </w:p>
        </w:tc>
        <w:tc>
          <w:tcPr>
            <w:tcW w:w="1539" w:type="pct"/>
            <w:vAlign w:val="center"/>
          </w:tcPr>
          <w:p w14:paraId="0F3974B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临海市尤溪镇左桥村</w:t>
            </w:r>
          </w:p>
        </w:tc>
      </w:tr>
      <w:tr w14:paraId="7776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4" w:type="pct"/>
            <w:vAlign w:val="center"/>
          </w:tcPr>
          <w:p w14:paraId="1B7AB6AE">
            <w:pPr>
              <w:adjustRightInd w:val="0"/>
              <w:snapToGrid w:val="0"/>
              <w:jc w:val="center"/>
              <w:rPr>
                <w:rFonts w:hint="eastAsia" w:ascii="宋体" w:hAnsi="宋体" w:eastAsia="宋体" w:cs="宋体"/>
                <w:color w:val="auto"/>
                <w:szCs w:val="21"/>
                <w:highlight w:val="none"/>
              </w:rPr>
            </w:pPr>
            <w:r>
              <w:rPr>
                <w:rFonts w:hint="eastAsia" w:ascii="宋体" w:hAnsi="宋体" w:cs="宋体"/>
                <w:color w:val="auto"/>
                <w:szCs w:val="21"/>
                <w:highlight w:val="none"/>
              </w:rPr>
              <w:t>统一社会信用代码</w:t>
            </w:r>
          </w:p>
        </w:tc>
        <w:tc>
          <w:tcPr>
            <w:tcW w:w="2045" w:type="pct"/>
            <w:vAlign w:val="center"/>
          </w:tcPr>
          <w:p w14:paraId="76E4C059">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91331082MA28HG610P</w:t>
            </w:r>
          </w:p>
        </w:tc>
        <w:tc>
          <w:tcPr>
            <w:tcW w:w="721" w:type="pct"/>
            <w:vAlign w:val="center"/>
          </w:tcPr>
          <w:p w14:paraId="191A4DCF">
            <w:pPr>
              <w:adjustRightInd w:val="0"/>
              <w:snapToGrid w:val="0"/>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成立日期</w:t>
            </w:r>
          </w:p>
        </w:tc>
        <w:tc>
          <w:tcPr>
            <w:tcW w:w="1539" w:type="pct"/>
            <w:vAlign w:val="center"/>
          </w:tcPr>
          <w:p w14:paraId="1F60607F">
            <w:pPr>
              <w:adjustRightInd w:val="0"/>
              <w:snapToGrid w:val="0"/>
              <w:jc w:val="center"/>
              <w:rPr>
                <w:rFonts w:hint="eastAsia" w:ascii="宋体" w:hAnsi="宋体" w:eastAsia="宋体" w:cs="宋体"/>
                <w:color w:val="auto"/>
                <w:szCs w:val="21"/>
                <w:highlight w:val="none"/>
              </w:rPr>
            </w:pPr>
            <w:r>
              <w:rPr>
                <w:rFonts w:hint="eastAsia" w:ascii="宋体" w:hAnsi="宋体" w:cs="宋体"/>
                <w:color w:val="auto"/>
                <w:szCs w:val="21"/>
                <w:highlight w:val="none"/>
              </w:rPr>
              <w:t>2017年1月16日</w:t>
            </w:r>
          </w:p>
        </w:tc>
      </w:tr>
      <w:tr w14:paraId="28280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4" w:type="pct"/>
            <w:vAlign w:val="center"/>
          </w:tcPr>
          <w:p w14:paraId="769DCB85">
            <w:pPr>
              <w:adjustRightInd w:val="0"/>
              <w:snapToGrid w:val="0"/>
              <w:spacing w:line="240"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企业</w:t>
            </w:r>
            <w:r>
              <w:rPr>
                <w:rFonts w:hint="eastAsia" w:ascii="宋体" w:hAnsi="宋体" w:cs="宋体"/>
                <w:color w:val="auto"/>
                <w:szCs w:val="21"/>
                <w:highlight w:val="none"/>
                <w:lang w:eastAsia="zh-CN"/>
              </w:rPr>
              <w:t>类型</w:t>
            </w:r>
          </w:p>
        </w:tc>
        <w:tc>
          <w:tcPr>
            <w:tcW w:w="2045" w:type="pct"/>
            <w:vAlign w:val="center"/>
          </w:tcPr>
          <w:p w14:paraId="24958BF9">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股份有限公司分公司（上市</w:t>
            </w:r>
            <w:r>
              <w:rPr>
                <w:rFonts w:hint="eastAsia" w:ascii="宋体" w:hAnsi="宋体" w:cs="宋体"/>
                <w:color w:val="auto"/>
                <w:szCs w:val="21"/>
                <w:highlight w:val="none"/>
                <w:lang w:eastAsia="zh-CN"/>
              </w:rPr>
              <w:t>、自然人投资或控股</w:t>
            </w:r>
            <w:r>
              <w:rPr>
                <w:rFonts w:hint="eastAsia" w:ascii="宋体" w:hAnsi="宋体" w:eastAsia="宋体" w:cs="宋体"/>
                <w:color w:val="auto"/>
                <w:szCs w:val="21"/>
                <w:highlight w:val="none"/>
              </w:rPr>
              <w:t>）</w:t>
            </w:r>
          </w:p>
        </w:tc>
        <w:tc>
          <w:tcPr>
            <w:tcW w:w="721" w:type="pct"/>
            <w:vAlign w:val="center"/>
          </w:tcPr>
          <w:p w14:paraId="22000FA3">
            <w:pPr>
              <w:adjustRightInd w:val="0"/>
              <w:snapToGrid w:val="0"/>
              <w:jc w:val="center"/>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负责人</w:t>
            </w:r>
          </w:p>
        </w:tc>
        <w:tc>
          <w:tcPr>
            <w:tcW w:w="1539" w:type="pct"/>
            <w:vAlign w:val="center"/>
          </w:tcPr>
          <w:p w14:paraId="0406CCC4">
            <w:pPr>
              <w:adjustRightInd w:val="0"/>
              <w:snapToGrid w:val="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徐明照</w:t>
            </w:r>
          </w:p>
        </w:tc>
      </w:tr>
      <w:tr w14:paraId="7FAAE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4" w:type="pct"/>
            <w:vAlign w:val="center"/>
          </w:tcPr>
          <w:p w14:paraId="28FFE080">
            <w:pPr>
              <w:adjustRightInd w:val="0"/>
              <w:snapToGrid w:val="0"/>
              <w:jc w:val="center"/>
              <w:rPr>
                <w:rFonts w:hint="eastAsia" w:ascii="宋体" w:hAnsi="宋体" w:eastAsia="宋体" w:cs="宋体"/>
                <w:color w:val="auto"/>
                <w:szCs w:val="21"/>
                <w:highlight w:val="none"/>
              </w:rPr>
            </w:pPr>
            <w:bookmarkStart w:id="292" w:name="_Toc498075563"/>
            <w:bookmarkStart w:id="293" w:name="_Toc60846578"/>
            <w:r>
              <w:rPr>
                <w:rFonts w:hint="eastAsia" w:ascii="宋体" w:hAnsi="宋体" w:eastAsia="宋体" w:cs="宋体"/>
                <w:color w:val="auto"/>
                <w:szCs w:val="21"/>
                <w:highlight w:val="none"/>
              </w:rPr>
              <w:t>经营范围</w:t>
            </w:r>
          </w:p>
        </w:tc>
        <w:tc>
          <w:tcPr>
            <w:tcW w:w="4305" w:type="pct"/>
            <w:gridSpan w:val="3"/>
            <w:vAlign w:val="center"/>
          </w:tcPr>
          <w:p w14:paraId="3EB5C5B2">
            <w:pPr>
              <w:adjustRightInd w:val="0"/>
              <w:snapToGrid w:val="0"/>
              <w:jc w:val="left"/>
              <w:rPr>
                <w:rFonts w:hint="eastAsia" w:ascii="宋体" w:hAnsi="宋体" w:eastAsia="宋体" w:cs="宋体"/>
                <w:color w:val="auto"/>
                <w:szCs w:val="21"/>
                <w:highlight w:val="none"/>
              </w:rPr>
            </w:pPr>
            <w:r>
              <w:rPr>
                <w:rFonts w:hint="eastAsia" w:ascii="宋体" w:hAnsi="宋体" w:cs="宋体"/>
                <w:color w:val="auto"/>
                <w:szCs w:val="21"/>
                <w:highlight w:val="none"/>
              </w:rPr>
              <w:t>一般项目：日用杂品制造；模具制造；日用木制品制造；工艺美术品及礼仪用品制造（象牙及其制品除外）；日用品生产专用设备制造；涂料制造（不含危险化学品）；新型建筑材料制造（不含危险化学品）；产业用纺织制成品生产；箱包制造；服装制造；皮革制品制造；羽毛（绒）及制品制造；服装辅料销售；模具销售；工程塑料及合成树脂销售；日用木制品销售；第二类医疗器械销售；日用杂品销售；产业用纺织制成品销售；日用口罩（非医用）销售；建筑材料销售；劳动保护用品销售；羽毛（绒）及制品销售；箱包销售；皮革销售；皮革制品销售；珠宝首饰批发；医护人员防护用品批发；医用口罩批发；服装服饰批发；医用口罩零售；医护人员防护用品零售；服装服饰零售；技术服务、技术开发、技术咨询、技术交流、技术转让、技术推广（除依法须经批准的项目外，凭营业执照依法自主开展经营活动）。（在总公司经营范围内从事经营活动）</w:t>
            </w:r>
          </w:p>
        </w:tc>
      </w:tr>
    </w:tbl>
    <w:p w14:paraId="4DAD820D">
      <w:pPr>
        <w:adjustRightInd w:val="0"/>
        <w:snapToGrid w:val="0"/>
        <w:spacing w:beforeLines="50" w:afterLines="0" w:line="360" w:lineRule="auto"/>
        <w:jc w:val="left"/>
        <w:outlineLvl w:val="1"/>
        <w:rPr>
          <w:rFonts w:hint="eastAsia" w:ascii="黑体" w:hAnsi="黑体" w:eastAsia="黑体" w:cs="Times New Roman"/>
          <w:b/>
          <w:color w:val="auto"/>
          <w:sz w:val="28"/>
          <w:szCs w:val="28"/>
          <w:highlight w:val="none"/>
        </w:rPr>
      </w:pPr>
      <w:bookmarkStart w:id="294" w:name="_Toc31125"/>
      <w:bookmarkStart w:id="295" w:name="_Toc2403"/>
      <w:bookmarkStart w:id="296" w:name="_Toc13999"/>
      <w:bookmarkStart w:id="297" w:name="_Toc26634"/>
      <w:bookmarkStart w:id="298" w:name="_Toc7168"/>
      <w:bookmarkStart w:id="299" w:name="_Toc28817"/>
      <w:bookmarkStart w:id="300" w:name="_Toc7192"/>
      <w:bookmarkStart w:id="301" w:name="_Toc24655"/>
      <w:bookmarkStart w:id="302" w:name="_Toc7875"/>
      <w:bookmarkStart w:id="303" w:name="_Toc5341"/>
      <w:bookmarkStart w:id="304" w:name="_Toc25888"/>
      <w:bookmarkStart w:id="305" w:name="_Toc12076"/>
      <w:bookmarkStart w:id="306" w:name="_Toc5027"/>
      <w:bookmarkStart w:id="307" w:name="_Toc31832"/>
      <w:bookmarkStart w:id="308" w:name="_Toc8289"/>
      <w:bookmarkStart w:id="309" w:name="_Toc17700"/>
      <w:bookmarkStart w:id="310" w:name="_Toc30854"/>
      <w:r>
        <w:rPr>
          <w:rFonts w:ascii="黑体" w:hAnsi="黑体" w:eastAsia="黑体" w:cs="Times New Roman"/>
          <w:b/>
          <w:color w:val="auto"/>
          <w:sz w:val="28"/>
          <w:szCs w:val="28"/>
          <w:highlight w:val="none"/>
        </w:rPr>
        <w:t xml:space="preserve">2.2 </w:t>
      </w:r>
      <w:r>
        <w:rPr>
          <w:rFonts w:hint="eastAsia" w:ascii="黑体" w:hAnsi="黑体" w:eastAsia="黑体" w:cs="Times New Roman"/>
          <w:b/>
          <w:color w:val="auto"/>
          <w:sz w:val="28"/>
          <w:szCs w:val="28"/>
          <w:highlight w:val="none"/>
        </w:rPr>
        <w:t>地理位置</w:t>
      </w:r>
      <w:r>
        <w:rPr>
          <w:rFonts w:hint="eastAsia" w:ascii="黑体" w:hAnsi="黑体" w:eastAsia="黑体" w:cs="Times New Roman"/>
          <w:b/>
          <w:color w:val="auto"/>
          <w:sz w:val="28"/>
          <w:szCs w:val="28"/>
          <w:highlight w:val="none"/>
          <w:lang w:eastAsia="zh-CN"/>
        </w:rPr>
        <w:t>、周边环境</w:t>
      </w:r>
      <w:bookmarkEnd w:id="292"/>
      <w:bookmarkEnd w:id="293"/>
      <w:r>
        <w:rPr>
          <w:rFonts w:hint="eastAsia" w:ascii="黑体" w:hAnsi="黑体" w:eastAsia="黑体" w:cs="Times New Roman"/>
          <w:b/>
          <w:color w:val="auto"/>
          <w:sz w:val="28"/>
          <w:szCs w:val="28"/>
          <w:highlight w:val="none"/>
          <w:lang w:eastAsia="zh-CN"/>
        </w:rPr>
        <w:t>和</w:t>
      </w:r>
      <w:r>
        <w:rPr>
          <w:rFonts w:hint="eastAsia" w:ascii="黑体" w:hAnsi="黑体" w:eastAsia="黑体" w:cs="Times New Roman"/>
          <w:b/>
          <w:color w:val="auto"/>
          <w:sz w:val="28"/>
          <w:szCs w:val="28"/>
          <w:highlight w:val="none"/>
        </w:rPr>
        <w:t>自然条件</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14:paraId="75FB1757">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311" w:name="_Toc22053"/>
      <w:bookmarkStart w:id="312" w:name="_Toc21059"/>
      <w:bookmarkStart w:id="313" w:name="_Toc1766"/>
      <w:bookmarkStart w:id="314" w:name="_Toc23950"/>
      <w:bookmarkStart w:id="315" w:name="_Toc7014"/>
      <w:bookmarkStart w:id="316" w:name="_Toc3428"/>
      <w:bookmarkStart w:id="317" w:name="_Toc1126"/>
      <w:bookmarkStart w:id="318" w:name="_Toc21115"/>
      <w:bookmarkStart w:id="319" w:name="_Toc31818"/>
      <w:bookmarkStart w:id="320" w:name="_Toc16309"/>
      <w:bookmarkStart w:id="321" w:name="_Toc22169"/>
      <w:bookmarkStart w:id="322" w:name="_Toc498075564"/>
      <w:bookmarkStart w:id="323" w:name="_Toc7073"/>
      <w:bookmarkStart w:id="324" w:name="_Toc28961"/>
      <w:bookmarkStart w:id="325" w:name="_Toc2677"/>
      <w:bookmarkStart w:id="326" w:name="_Toc18166"/>
      <w:bookmarkStart w:id="327" w:name="_Toc60846579"/>
      <w:bookmarkStart w:id="328" w:name="_Toc18428"/>
      <w:bookmarkStart w:id="329" w:name="_Toc29902"/>
      <w:r>
        <w:rPr>
          <w:rFonts w:ascii="黑体" w:hAnsi="黑体" w:eastAsia="黑体" w:cs="Times New Roman"/>
          <w:b/>
          <w:color w:val="auto"/>
          <w:sz w:val="28"/>
          <w:szCs w:val="28"/>
          <w:highlight w:val="none"/>
        </w:rPr>
        <w:t xml:space="preserve">2.2.1 </w:t>
      </w:r>
      <w:r>
        <w:rPr>
          <w:rFonts w:hint="eastAsia" w:ascii="黑体" w:hAnsi="黑体" w:eastAsia="黑体" w:cs="Times New Roman"/>
          <w:b/>
          <w:color w:val="auto"/>
          <w:sz w:val="28"/>
          <w:szCs w:val="28"/>
          <w:highlight w:val="none"/>
        </w:rPr>
        <w:t>地理位置</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439DDA22">
      <w:pPr>
        <w:pStyle w:val="16"/>
        <w:adjustRightInd w:val="0"/>
        <w:snapToGrid w:val="0"/>
        <w:ind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伟星临海钮扣分公司位于临海市尤溪镇左桥村。</w:t>
      </w:r>
    </w:p>
    <w:p w14:paraId="7DD33507">
      <w:pPr>
        <w:adjustRightInd w:val="0"/>
        <w:snapToGrid w:val="0"/>
        <w:rPr>
          <w:rFonts w:hint="eastAsia"/>
          <w:color w:val="auto"/>
          <w:highlight w:val="none"/>
        </w:rPr>
      </w:pPr>
    </w:p>
    <w:p w14:paraId="31AC471D">
      <w:pPr>
        <w:widowControl/>
        <w:adjustRightInd w:val="0"/>
        <w:snapToGrid w:val="0"/>
        <w:spacing w:line="360" w:lineRule="auto"/>
        <w:jc w:val="center"/>
        <w:rPr>
          <w:rFonts w:ascii="宋体" w:hAnsi="宋体" w:cs="宋体"/>
          <w:color w:val="auto"/>
          <w:kern w:val="0"/>
          <w:sz w:val="24"/>
          <w:highlight w:val="none"/>
        </w:rPr>
      </w:pPr>
      <w:r>
        <w:rPr>
          <w:color w:val="auto"/>
          <w:sz w:val="28"/>
          <w:highlight w:val="none"/>
        </w:rPr>
        <w:pict>
          <v:shape id="_x0000_s1106" o:spid="_x0000_s1106" o:spt="68" type="#_x0000_t68" style="position:absolute;left:0pt;margin-left:375.25pt;margin-top:24.05pt;height:57.75pt;width:11.25pt;z-index:251678720;mso-width-relative:page;mso-height-relative:page;" fillcolor="#FFFFFF" filled="t" stroked="t" coordsize="21600,21600" adj="5400,5400">
            <v:path/>
            <v:fill on="t" color2="#FFFFFF" focussize="0,0"/>
            <v:stroke color="#000000"/>
            <v:imagedata o:title=""/>
            <o:lock v:ext="edit" aspectratio="f"/>
          </v:shape>
        </w:pict>
      </w:r>
      <w:r>
        <w:rPr>
          <w:color w:val="auto"/>
          <w:sz w:val="28"/>
          <w:highlight w:val="none"/>
        </w:rPr>
        <w:pict>
          <v:rect id="_x0000_s1107" o:spid="_x0000_s1107" o:spt="1" style="position:absolute;left:0pt;margin-left:375.25pt;margin-top:44.3pt;height:20.25pt;width:33pt;z-index:251679744;mso-width-relative:page;mso-height-relative:page;" filled="f" stroked="f" coordsize="21600,21600">
            <v:path/>
            <v:fill on="f" focussize="0,0"/>
            <v:stroke on="f"/>
            <v:imagedata o:title=""/>
            <o:lock v:ext="edit" aspectratio="f"/>
            <v:textbox>
              <w:txbxContent>
                <w:p w14:paraId="6F646B8D">
                  <w:pPr>
                    <w:jc w:val="center"/>
                    <w:rPr>
                      <w:rFonts w:hint="eastAsia" w:eastAsia="宋体"/>
                      <w:b/>
                      <w:bCs/>
                      <w:lang w:eastAsia="zh-CN"/>
                    </w:rPr>
                  </w:pPr>
                  <w:r>
                    <w:rPr>
                      <w:rFonts w:hint="eastAsia"/>
                      <w:b/>
                      <w:bCs/>
                      <w:lang w:eastAsia="zh-CN"/>
                    </w:rPr>
                    <w:t>北</w:t>
                  </w:r>
                </w:p>
              </w:txbxContent>
            </v:textbox>
          </v:rect>
        </w:pict>
      </w:r>
      <w:r>
        <w:rPr>
          <w:color w:val="auto"/>
          <w:sz w:val="28"/>
          <w:highlight w:val="none"/>
        </w:rPr>
        <w:pict>
          <v:shape id="_x0000_s1056" o:spid="_x0000_s1056" o:spt="61" type="#_x0000_t61" style="position:absolute;left:0pt;margin-left:276.15pt;margin-top:127.45pt;height:34.25pt;width:70pt;z-index:251660288;mso-width-relative:page;mso-height-relative:page;" filled="f" stroked="t" coordsize="21600,21600" adj="-22772,25384">
            <v:path/>
            <v:fill on="f" focussize="0,0"/>
            <v:stroke color="#000000"/>
            <v:imagedata o:title=""/>
            <o:lock v:ext="edit" aspectratio="f"/>
            <v:textbox>
              <w:txbxContent>
                <w:p w14:paraId="293460CC">
                  <w:pPr>
                    <w:jc w:val="center"/>
                    <w:rPr>
                      <w:szCs w:val="21"/>
                    </w:rPr>
                  </w:pPr>
                  <w:r>
                    <w:rPr>
                      <w:rFonts w:hint="eastAsia" w:ascii="宋体" w:hAnsi="宋体" w:eastAsia="宋体" w:cs="宋体"/>
                      <w:color w:val="00B050"/>
                      <w:sz w:val="21"/>
                      <w:szCs w:val="21"/>
                    </w:rPr>
                    <w:t>伟星临海钮扣分公司</w:t>
                  </w:r>
                </w:p>
              </w:txbxContent>
            </v:textbox>
          </v:shape>
        </w:pict>
      </w:r>
      <w:r>
        <w:rPr>
          <w:color w:val="auto"/>
          <w:highlight w:val="none"/>
        </w:rPr>
        <w:drawing>
          <wp:inline distT="0" distB="0" distL="114300" distR="114300">
            <wp:extent cx="5829300" cy="4039870"/>
            <wp:effectExtent l="0" t="0" r="0" b="1778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18"/>
                    <a:stretch>
                      <a:fillRect/>
                    </a:stretch>
                  </pic:blipFill>
                  <pic:spPr>
                    <a:xfrm>
                      <a:off x="0" y="0"/>
                      <a:ext cx="5829300" cy="4039870"/>
                    </a:xfrm>
                    <a:prstGeom prst="rect">
                      <a:avLst/>
                    </a:prstGeom>
                    <a:noFill/>
                    <a:ln>
                      <a:noFill/>
                    </a:ln>
                  </pic:spPr>
                </pic:pic>
              </a:graphicData>
            </a:graphic>
          </wp:inline>
        </w:drawing>
      </w:r>
    </w:p>
    <w:p w14:paraId="7C70B785">
      <w:pPr>
        <w:pStyle w:val="16"/>
        <w:adjustRightInd w:val="0"/>
        <w:snapToGrid w:val="0"/>
        <w:spacing w:line="360" w:lineRule="auto"/>
        <w:jc w:val="center"/>
        <w:rPr>
          <w:rFonts w:hint="eastAsia" w:ascii="黑体" w:hAnsi="黑体" w:eastAsia="黑体" w:cs="黑体"/>
          <w:b/>
          <w:bCs/>
          <w:color w:val="auto"/>
          <w:sz w:val="24"/>
          <w:szCs w:val="24"/>
          <w:highlight w:val="none"/>
        </w:rPr>
      </w:pPr>
      <w:r>
        <w:rPr>
          <w:rFonts w:hint="eastAsia" w:ascii="黑体" w:hAnsi="黑体" w:cs="黑体"/>
          <w:b/>
          <w:bCs/>
          <w:color w:val="auto"/>
          <w:sz w:val="24"/>
          <w:highlight w:val="none"/>
          <w:lang w:eastAsia="zh-CN"/>
        </w:rPr>
        <w:t>图</w:t>
      </w:r>
      <w:r>
        <w:rPr>
          <w:rFonts w:hint="eastAsia" w:ascii="黑体" w:hAnsi="黑体" w:cs="黑体"/>
          <w:b/>
          <w:bCs/>
          <w:color w:val="auto"/>
          <w:sz w:val="24"/>
          <w:highlight w:val="none"/>
          <w:lang w:val="en-US" w:eastAsia="zh-CN"/>
        </w:rPr>
        <w:t xml:space="preserve">2.2-1 </w:t>
      </w:r>
      <w:r>
        <w:rPr>
          <w:rFonts w:hint="eastAsia" w:ascii="黑体" w:hAnsi="黑体" w:eastAsia="黑体" w:cs="黑体"/>
          <w:b/>
          <w:bCs/>
          <w:color w:val="auto"/>
          <w:sz w:val="24"/>
          <w:szCs w:val="24"/>
          <w:highlight w:val="none"/>
        </w:rPr>
        <w:t>企业位置示意图</w:t>
      </w:r>
    </w:p>
    <w:p w14:paraId="4ED69F2D">
      <w:pPr>
        <w:adjustRightInd w:val="0"/>
        <w:snapToGrid w:val="0"/>
        <w:spacing w:beforeLines="0" w:afterLines="0" w:line="360" w:lineRule="auto"/>
        <w:jc w:val="left"/>
        <w:outlineLvl w:val="2"/>
        <w:rPr>
          <w:rFonts w:ascii="黑体" w:hAnsi="黑体" w:eastAsia="黑体" w:cs="Times New Roman"/>
          <w:b/>
          <w:color w:val="auto"/>
          <w:sz w:val="28"/>
          <w:szCs w:val="28"/>
          <w:highlight w:val="none"/>
        </w:rPr>
      </w:pPr>
      <w:bookmarkStart w:id="330" w:name="_Toc308179083"/>
      <w:bookmarkStart w:id="331" w:name="_Toc498075566"/>
      <w:bookmarkStart w:id="332" w:name="_Toc330991136"/>
      <w:bookmarkStart w:id="333" w:name="_Toc6526"/>
      <w:bookmarkStart w:id="334" w:name="_Toc25075"/>
      <w:bookmarkStart w:id="335" w:name="_Toc13372"/>
      <w:bookmarkStart w:id="336" w:name="_Toc30482"/>
      <w:bookmarkStart w:id="337" w:name="_Toc19821"/>
      <w:bookmarkStart w:id="338" w:name="_Toc12543"/>
      <w:bookmarkStart w:id="339" w:name="_Toc17491"/>
      <w:bookmarkStart w:id="340" w:name="_Toc21138"/>
      <w:bookmarkStart w:id="341" w:name="_Toc15588"/>
      <w:bookmarkStart w:id="342" w:name="_Toc9730"/>
      <w:bookmarkStart w:id="343" w:name="_Toc1363"/>
      <w:bookmarkStart w:id="344" w:name="_Toc60846581"/>
      <w:bookmarkStart w:id="345" w:name="_Toc31319"/>
      <w:bookmarkStart w:id="346" w:name="_Toc24499"/>
      <w:bookmarkStart w:id="347" w:name="_Toc22133"/>
      <w:bookmarkStart w:id="348" w:name="_Toc2450"/>
      <w:bookmarkStart w:id="349" w:name="_Toc28670"/>
      <w:bookmarkStart w:id="350" w:name="_Toc16203"/>
      <w:bookmarkStart w:id="351" w:name="_Toc303672135"/>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2.2</w:t>
      </w:r>
      <w:r>
        <w:rPr>
          <w:rFonts w:ascii="黑体" w:hAnsi="黑体" w:eastAsia="黑体" w:cs="Times New Roman"/>
          <w:b/>
          <w:color w:val="auto"/>
          <w:sz w:val="28"/>
          <w:szCs w:val="28"/>
          <w:highlight w:val="none"/>
        </w:rPr>
        <w:t xml:space="preserve"> </w:t>
      </w:r>
      <w:bookmarkEnd w:id="330"/>
      <w:bookmarkEnd w:id="331"/>
      <w:bookmarkEnd w:id="332"/>
      <w:r>
        <w:rPr>
          <w:rFonts w:hint="default" w:ascii="黑体" w:hAnsi="黑体" w:eastAsia="黑体" w:cs="Times New Roman"/>
          <w:b/>
          <w:color w:val="auto"/>
          <w:sz w:val="28"/>
          <w:szCs w:val="28"/>
          <w:highlight w:val="none"/>
        </w:rPr>
        <w:t>周边环境</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bookmarkEnd w:id="351"/>
    <w:p w14:paraId="471C68C7">
      <w:pPr>
        <w:pStyle w:val="16"/>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以下</w:t>
      </w:r>
      <w:r>
        <w:rPr>
          <w:rFonts w:hint="eastAsia" w:ascii="宋体" w:hAnsi="宋体" w:eastAsia="宋体" w:cs="宋体"/>
          <w:color w:val="auto"/>
          <w:sz w:val="28"/>
          <w:szCs w:val="28"/>
          <w:highlight w:val="none"/>
        </w:rPr>
        <w:t>均以建北方向表述</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伟星临海钮扣分公司东面为国家电网</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尤溪供电服务站</w:t>
      </w:r>
      <w:r>
        <w:rPr>
          <w:rFonts w:hint="eastAsia" w:ascii="宋体" w:hAnsi="宋体" w:eastAsia="宋体" w:cs="宋体"/>
          <w:color w:val="auto"/>
          <w:sz w:val="28"/>
          <w:szCs w:val="28"/>
          <w:highlight w:val="none"/>
          <w:lang w:eastAsia="zh-CN"/>
        </w:rPr>
        <w:t>）和</w:t>
      </w:r>
      <w:r>
        <w:rPr>
          <w:rFonts w:hint="eastAsia" w:ascii="宋体" w:hAnsi="宋体" w:eastAsia="宋体" w:cs="宋体"/>
          <w:color w:val="auto"/>
          <w:sz w:val="28"/>
          <w:szCs w:val="28"/>
          <w:highlight w:val="none"/>
        </w:rPr>
        <w:t>左桥村</w:t>
      </w:r>
      <w:r>
        <w:rPr>
          <w:rFonts w:hint="eastAsia" w:ascii="宋体" w:hAnsi="宋体" w:eastAsia="宋体" w:cs="宋体"/>
          <w:color w:val="auto"/>
          <w:sz w:val="28"/>
          <w:szCs w:val="28"/>
          <w:highlight w:val="none"/>
          <w:lang w:eastAsia="zh-CN"/>
        </w:rPr>
        <w:t>民房，南</w:t>
      </w:r>
      <w:r>
        <w:rPr>
          <w:rFonts w:hint="eastAsia" w:ascii="宋体" w:hAnsi="宋体" w:eastAsia="宋体" w:cs="宋体"/>
          <w:color w:val="auto"/>
          <w:sz w:val="28"/>
          <w:szCs w:val="28"/>
          <w:highlight w:val="none"/>
        </w:rPr>
        <w:t>面为左桥村</w:t>
      </w:r>
      <w:r>
        <w:rPr>
          <w:rFonts w:hint="eastAsia" w:ascii="宋体" w:hAnsi="宋体" w:eastAsia="宋体" w:cs="宋体"/>
          <w:color w:val="auto"/>
          <w:sz w:val="28"/>
          <w:szCs w:val="28"/>
          <w:highlight w:val="none"/>
          <w:lang w:eastAsia="zh-CN"/>
        </w:rPr>
        <w:t>民房和农田</w:t>
      </w:r>
      <w:r>
        <w:rPr>
          <w:rFonts w:hint="eastAsia" w:ascii="宋体" w:hAnsi="宋体" w:eastAsia="宋体" w:cs="宋体"/>
          <w:color w:val="auto"/>
          <w:sz w:val="28"/>
          <w:szCs w:val="28"/>
          <w:highlight w:val="none"/>
        </w:rPr>
        <w:t>；西</w:t>
      </w:r>
      <w:r>
        <w:rPr>
          <w:rFonts w:hint="eastAsia" w:ascii="宋体" w:hAnsi="宋体" w:eastAsia="宋体" w:cs="宋体"/>
          <w:color w:val="auto"/>
          <w:sz w:val="28"/>
          <w:szCs w:val="28"/>
          <w:highlight w:val="none"/>
          <w:lang w:eastAsia="zh-CN"/>
        </w:rPr>
        <w:t>北</w:t>
      </w:r>
      <w:r>
        <w:rPr>
          <w:rFonts w:hint="eastAsia" w:ascii="宋体" w:hAnsi="宋体" w:eastAsia="宋体" w:cs="宋体"/>
          <w:color w:val="auto"/>
          <w:sz w:val="28"/>
          <w:szCs w:val="28"/>
          <w:highlight w:val="none"/>
        </w:rPr>
        <w:t>面为临海市尤溪中学；</w:t>
      </w:r>
      <w:r>
        <w:rPr>
          <w:rFonts w:hint="eastAsia" w:ascii="宋体" w:hAnsi="宋体" w:eastAsia="宋体" w:cs="宋体"/>
          <w:color w:val="auto"/>
          <w:sz w:val="28"/>
          <w:szCs w:val="28"/>
          <w:highlight w:val="none"/>
          <w:lang w:eastAsia="zh-CN"/>
        </w:rPr>
        <w:t>西面为尤溪镇</w:t>
      </w:r>
      <w:r>
        <w:rPr>
          <w:rFonts w:hint="eastAsia" w:ascii="宋体" w:hAnsi="宋体" w:eastAsia="宋体" w:cs="宋体"/>
          <w:color w:val="auto"/>
          <w:sz w:val="28"/>
          <w:szCs w:val="28"/>
          <w:highlight w:val="none"/>
        </w:rPr>
        <w:t>；北面为山体</w:t>
      </w:r>
      <w:r>
        <w:rPr>
          <w:rFonts w:hint="eastAsia" w:ascii="宋体" w:hAnsi="宋体" w:eastAsia="宋体" w:cs="宋体"/>
          <w:color w:val="auto"/>
          <w:sz w:val="28"/>
          <w:szCs w:val="28"/>
          <w:highlight w:val="none"/>
          <w:lang w:eastAsia="zh-CN"/>
        </w:rPr>
        <w:t>。</w:t>
      </w:r>
    </w:p>
    <w:p w14:paraId="1F7121D2">
      <w:pPr>
        <w:adjustRightInd w:val="0"/>
        <w:snapToGrid w:val="0"/>
        <w:spacing w:line="360" w:lineRule="auto"/>
        <w:ind w:firstLine="0" w:firstLineChars="0"/>
        <w:rPr>
          <w:color w:val="auto"/>
          <w:highlight w:val="none"/>
        </w:rPr>
      </w:pPr>
      <w:r>
        <w:rPr>
          <w:color w:val="auto"/>
          <w:sz w:val="28"/>
          <w:highlight w:val="none"/>
        </w:rPr>
        <w:pict>
          <v:rect id="_x0000_s1109" o:spid="_x0000_s1109" o:spt="1" style="position:absolute;left:0pt;margin-left:415pt;margin-top:21.05pt;height:20.25pt;width:33pt;z-index:251681792;mso-width-relative:page;mso-height-relative:page;" filled="f" stroked="f" coordsize="21600,21600">
            <v:path/>
            <v:fill on="f" focussize="0,0"/>
            <v:stroke on="f"/>
            <v:imagedata o:title=""/>
            <o:lock v:ext="edit" aspectratio="f"/>
            <v:textbox>
              <w:txbxContent>
                <w:p w14:paraId="5C6AAA57">
                  <w:pPr>
                    <w:jc w:val="center"/>
                    <w:rPr>
                      <w:rFonts w:hint="eastAsia" w:eastAsia="宋体"/>
                      <w:b/>
                      <w:bCs/>
                      <w:lang w:eastAsia="zh-CN"/>
                    </w:rPr>
                  </w:pPr>
                  <w:r>
                    <w:rPr>
                      <w:rFonts w:hint="eastAsia"/>
                      <w:b/>
                      <w:bCs/>
                      <w:lang w:eastAsia="zh-CN"/>
                    </w:rPr>
                    <w:t>北</w:t>
                  </w:r>
                </w:p>
              </w:txbxContent>
            </v:textbox>
          </v:rect>
        </w:pict>
      </w:r>
      <w:r>
        <w:rPr>
          <w:color w:val="auto"/>
          <w:sz w:val="28"/>
          <w:highlight w:val="none"/>
        </w:rPr>
        <w:pict>
          <v:shape id="_x0000_s1108" o:spid="_x0000_s1108" o:spt="68" type="#_x0000_t68" style="position:absolute;left:0pt;margin-left:405.25pt;margin-top:0.8pt;height:57.75pt;width:11.25pt;z-index:251680768;mso-width-relative:page;mso-height-relative:page;" fillcolor="#FFFFFF" filled="t" stroked="t" coordsize="21600,21600" adj="5400,5400">
            <v:path/>
            <v:fill on="t" color2="#FFFFFF" focussize="0,0"/>
            <v:stroke color="#000000"/>
            <v:imagedata o:title=""/>
            <o:lock v:ext="edit" aspectratio="f"/>
          </v:shape>
        </w:pict>
      </w:r>
      <w:r>
        <w:rPr>
          <w:color w:val="auto"/>
          <w:sz w:val="21"/>
          <w:highlight w:val="none"/>
        </w:rPr>
        <w:pict>
          <v:shape id="_x0000_s1075" o:spid="_x0000_s1075" o:spt="61" type="#_x0000_t61" style="position:absolute;left:0pt;margin-left:249.7pt;margin-top:10.5pt;height:24pt;width:74.2pt;z-index:251668480;mso-width-relative:page;mso-height-relative:page;" filled="f" stroked="t" coordsize="21600,21600" adj="21789,34290">
            <v:path/>
            <v:fill on="f" focussize="0,0"/>
            <v:stroke color="#000000" joinstyle="miter"/>
            <v:imagedata o:title=""/>
            <o:lock v:ext="edit" aspectratio="f"/>
            <v:textbox>
              <w:txbxContent>
                <w:p w14:paraId="42812632">
                  <w:pPr>
                    <w:jc w:val="center"/>
                    <w:rPr>
                      <w:rFonts w:hint="eastAsia" w:eastAsia="宋体"/>
                      <w:szCs w:val="21"/>
                      <w:lang w:val="en-US" w:eastAsia="zh-CN"/>
                    </w:rPr>
                  </w:pPr>
                  <w:r>
                    <w:rPr>
                      <w:rFonts w:hint="eastAsia"/>
                      <w:szCs w:val="21"/>
                      <w:lang w:val="en-US" w:eastAsia="zh-CN"/>
                    </w:rPr>
                    <w:t>义城路</w:t>
                  </w:r>
                </w:p>
              </w:txbxContent>
            </v:textbox>
          </v:shape>
        </w:pict>
      </w:r>
      <w:r>
        <w:rPr>
          <w:color w:val="auto"/>
          <w:sz w:val="21"/>
          <w:highlight w:val="none"/>
        </w:rPr>
        <w:pict>
          <v:rect id="_x0000_s1073" o:spid="_x0000_s1073" o:spt="1" style="position:absolute;left:0pt;margin-left:283.05pt;margin-top:210pt;height:24.75pt;width:60pt;z-index:251666432;mso-width-relative:page;mso-height-relative:page;" filled="f" stroked="t" coordsize="21600,21600">
            <v:path/>
            <v:fill on="f" focussize="0,0"/>
            <v:stroke color="#000000"/>
            <v:imagedata o:title=""/>
            <o:lock v:ext="edit" aspectratio="f"/>
            <v:textbox>
              <w:txbxContent>
                <w:p w14:paraId="7080CED3">
                  <w:pPr>
                    <w:jc w:val="center"/>
                    <w:rPr>
                      <w:rFonts w:hint="eastAsia" w:eastAsia="宋体"/>
                      <w:lang w:eastAsia="zh-CN"/>
                    </w:rPr>
                  </w:pPr>
                  <w:r>
                    <w:rPr>
                      <w:rFonts w:hint="eastAsia"/>
                      <w:lang w:eastAsia="zh-CN"/>
                    </w:rPr>
                    <w:t>左桥村</w:t>
                  </w:r>
                </w:p>
              </w:txbxContent>
            </v:textbox>
          </v:rect>
        </w:pict>
      </w:r>
      <w:r>
        <w:rPr>
          <w:color w:val="auto"/>
          <w:sz w:val="21"/>
          <w:highlight w:val="none"/>
        </w:rPr>
        <w:pict>
          <v:line id="_x0000_s1105" o:spid="_x0000_s1105" o:spt="20" style="position:absolute;left:0pt;margin-left:145.4pt;margin-top:126.8pt;height:69.75pt;width:100.5pt;z-index:251677696;mso-width-relative:page;mso-height-relative:page;" fillcolor="#FFFFFF" filled="t" stroked="t" coordsize="21600,21600">
            <v:path arrowok="t"/>
            <v:fill on="t" color2="#FFFFFF" focussize="0,0"/>
            <v:stroke color="#000000"/>
            <v:imagedata o:title=""/>
            <o:lock v:ext="edit" aspectratio="f"/>
          </v:line>
        </w:pict>
      </w:r>
      <w:r>
        <w:rPr>
          <w:color w:val="auto"/>
          <w:sz w:val="21"/>
          <w:highlight w:val="none"/>
        </w:rPr>
        <w:pict>
          <v:line id="_x0000_s1104" o:spid="_x0000_s1104" o:spt="20" style="position:absolute;left:0pt;margin-left:182.15pt;margin-top:126.8pt;height:12pt;width:19.5pt;z-index:251676672;mso-width-relative:page;mso-height-relative:page;" fillcolor="#FFFFFF" filled="t" stroked="t" coordsize="21600,21600">
            <v:path arrowok="t"/>
            <v:fill on="t" color2="#FFFFFF" focussize="0,0"/>
            <v:stroke color="#000000"/>
            <v:imagedata o:title=""/>
            <o:lock v:ext="edit" aspectratio="f"/>
          </v:line>
        </w:pict>
      </w:r>
      <w:r>
        <w:rPr>
          <w:color w:val="auto"/>
          <w:sz w:val="21"/>
          <w:highlight w:val="none"/>
        </w:rPr>
        <w:pict>
          <v:line id="_x0000_s1103" o:spid="_x0000_s1103" o:spt="20" style="position:absolute;left:0pt;margin-left:181.4pt;margin-top:107.3pt;height:40.5pt;width:96pt;z-index:251675648;mso-width-relative:page;mso-height-relative:page;" fillcolor="#FFFFFF" filled="t" stroked="t" coordsize="21600,21600">
            <v:path arrowok="t"/>
            <v:fill on="t" color2="#FFFFFF" focussize="0,0"/>
            <v:stroke color="#000000"/>
            <v:imagedata o:title=""/>
            <o:lock v:ext="edit" aspectratio="f"/>
          </v:line>
        </w:pict>
      </w:r>
      <w:r>
        <w:rPr>
          <w:color w:val="auto"/>
          <w:sz w:val="21"/>
          <w:highlight w:val="none"/>
        </w:rPr>
        <w:pict>
          <v:rect id="_x0000_s1102" o:spid="_x0000_s1102" o:spt="1" style="position:absolute;left:0pt;margin-left:104.9pt;margin-top:89.3pt;height:36.75pt;width:76.45pt;z-index:251674624;mso-width-relative:page;mso-height-relative:page;" filled="f" stroked="t" coordsize="21600,21600">
            <v:path/>
            <v:fill on="f" focussize="0,0"/>
            <v:stroke color="#000000"/>
            <v:imagedata o:title=""/>
            <o:lock v:ext="edit" aspectratio="f"/>
            <v:textbox>
              <w:txbxContent>
                <w:p w14:paraId="7EF55675">
                  <w:pPr>
                    <w:jc w:val="center"/>
                    <w:rPr>
                      <w:szCs w:val="21"/>
                    </w:rPr>
                  </w:pPr>
                  <w:r>
                    <w:rPr>
                      <w:rFonts w:hint="eastAsia" w:ascii="宋体" w:hAnsi="宋体" w:eastAsia="宋体" w:cs="宋体"/>
                      <w:color w:val="00B050"/>
                      <w:sz w:val="21"/>
                      <w:szCs w:val="21"/>
                    </w:rPr>
                    <w:t>伟星临海钮扣分公司</w:t>
                  </w:r>
                </w:p>
                <w:p w14:paraId="3B8C9498"/>
              </w:txbxContent>
            </v:textbox>
          </v:rect>
        </w:pict>
      </w:r>
      <w:r>
        <w:rPr>
          <w:color w:val="auto"/>
          <w:sz w:val="21"/>
          <w:highlight w:val="none"/>
        </w:rPr>
        <w:pict>
          <v:shape id="_x0000_s1074" o:spid="_x0000_s1074" o:spt="61" type="#_x0000_t61" style="position:absolute;left:0pt;margin-left:143.95pt;margin-top:21pt;height:37.5pt;width:87.7pt;z-index:251667456;mso-width-relative:page;mso-height-relative:page;" filled="f" stroked="t" coordsize="21600,21600" adj="30726,51408">
            <v:path/>
            <v:fill on="f" focussize="0,0"/>
            <v:stroke color="#000000" joinstyle="miter"/>
            <v:imagedata o:title=""/>
            <o:lock v:ext="edit" aspectratio="f"/>
            <v:textbox>
              <w:txbxContent>
                <w:p w14:paraId="634FEBEE">
                  <w:pPr>
                    <w:jc w:val="center"/>
                    <w:rPr>
                      <w:rFonts w:hint="eastAsia" w:ascii="宋体" w:hAnsi="宋体" w:cs="宋体"/>
                      <w:color w:val="00B050"/>
                      <w:szCs w:val="21"/>
                    </w:rPr>
                  </w:pPr>
                  <w:r>
                    <w:rPr>
                      <w:rFonts w:hint="eastAsia" w:ascii="宋体" w:hAnsi="宋体" w:cs="宋体"/>
                      <w:color w:val="00B050"/>
                      <w:szCs w:val="21"/>
                    </w:rPr>
                    <w:t>国家电网(尤溪供电服务站)</w:t>
                  </w:r>
                </w:p>
              </w:txbxContent>
            </v:textbox>
          </v:shape>
        </w:pict>
      </w:r>
      <w:r>
        <w:rPr>
          <w:color w:val="auto"/>
          <w:sz w:val="21"/>
          <w:highlight w:val="none"/>
        </w:rPr>
        <w:pict>
          <v:shape id="_x0000_s1070" o:spid="_x0000_s1070" o:spt="61" type="#_x0000_t61" style="position:absolute;left:0pt;margin-left:87.7pt;margin-top:161.25pt;height:24pt;width:74.2pt;z-index:251663360;mso-width-relative:page;mso-height-relative:page;" filled="f" stroked="t" coordsize="21600,21600" adj="31599,46395">
            <v:path/>
            <v:fill on="f" focussize="0,0"/>
            <v:stroke color="#000000" joinstyle="miter"/>
            <v:imagedata o:title=""/>
            <o:lock v:ext="edit" aspectratio="f"/>
            <v:textbox>
              <w:txbxContent>
                <w:p w14:paraId="474D0CFA">
                  <w:pPr>
                    <w:jc w:val="center"/>
                    <w:rPr>
                      <w:rFonts w:hint="eastAsia" w:eastAsia="宋体"/>
                      <w:szCs w:val="21"/>
                      <w:lang w:eastAsia="zh-CN"/>
                    </w:rPr>
                  </w:pPr>
                  <w:r>
                    <w:rPr>
                      <w:rFonts w:hint="eastAsia" w:ascii="宋体" w:hAnsi="宋体" w:cs="宋体"/>
                      <w:color w:val="00B050"/>
                      <w:sz w:val="21"/>
                      <w:szCs w:val="21"/>
                      <w:lang w:eastAsia="zh-CN"/>
                    </w:rPr>
                    <w:t>危化品仓库</w:t>
                  </w:r>
                </w:p>
              </w:txbxContent>
            </v:textbox>
          </v:shape>
        </w:pict>
      </w:r>
      <w:r>
        <w:rPr>
          <w:color w:val="auto"/>
          <w:sz w:val="21"/>
          <w:highlight w:val="none"/>
        </w:rPr>
        <w:pict>
          <v:line id="_x0000_s1096" o:spid="_x0000_s1096" o:spt="20" style="position:absolute;left:0pt;flip:x;margin-left:282.25pt;margin-top:161.5pt;height:38.4pt;width:21.6pt;z-index:251672576;mso-width-relative:page;mso-height-relative:page;" fillcolor="#FFFFFF" filled="t" stroked="t" coordsize="21600,21600">
            <v:path arrowok="t"/>
            <v:fill on="t" color2="#FFFFFF" focussize="0,0"/>
            <v:stroke color="#FF0000"/>
            <v:imagedata o:title=""/>
            <o:lock v:ext="edit" aspectratio="f"/>
          </v:line>
        </w:pict>
      </w:r>
      <w:r>
        <w:rPr>
          <w:color w:val="auto"/>
          <w:sz w:val="21"/>
          <w:highlight w:val="none"/>
        </w:rPr>
        <w:pict>
          <v:group id="_x0000_s1068" o:spid="_x0000_s1068" o:spt="203" style="position:absolute;left:0pt;margin-left:140.9pt;margin-top:117.45pt;height:167.25pt;width:137.25pt;z-index:251662336;mso-width-relative:page;mso-height-relative:page;" coordorigin="7395,384840" coordsize="2745,3345">
            <o:lock v:ext="edit" aspectratio="f"/>
            <v:shape id="_x0000_s1061" o:spid="_x0000_s1061" style="position:absolute;left:8289;top:384840;height:1986;width:921;" filled="f" stroked="t" coordsize="921,1986" path="m921,0hbc858,28,702,63,576,180hbc450,297,381,393,291,585hbc201,777,159,897,126,1140hbc93,1383,147,1638,126,1800hbc105,1962,42,1914,21,1950hbc0,1986,19,1977,21,1980hbe">
              <v:path arrowok="t"/>
              <v:fill on="f" focussize="0,0"/>
              <v:stroke color="#FF0000"/>
              <v:imagedata o:title=""/>
              <o:lock v:ext="edit" aspectratio="f"/>
            </v:shape>
            <v:shape id="_x0000_s1063" o:spid="_x0000_s1063" style="position:absolute;left:7395;top:386682;height:528;width:840;" filled="f" stroked="t" coordsize="840,528" path="m840,138hbc708,117,330,0,165,78hbc0,156,31,437,15,528hbe">
              <v:path arrowok="t"/>
              <v:fill on="f" focussize="0,0"/>
              <v:stroke color="#FF0000"/>
              <v:imagedata o:title=""/>
              <o:lock v:ext="edit" aspectratio="f"/>
            </v:shape>
            <v:shape id="_x0000_s1065" o:spid="_x0000_s1065" style="position:absolute;left:7440;top:387195;height:960;width:735;" filled="f" stroked="t" coordsize="735,960" path="m0,0hbc32,43,105,165,180,225hbc255,285,324,231,375,300hbc426,369,363,438,435,570hbc507,702,676,887,735,960hbe">
              <v:path arrowok="t"/>
              <v:fill on="f" focussize="0,0"/>
              <v:stroke color="#FF0000"/>
              <v:imagedata o:title=""/>
              <o:lock v:ext="edit" aspectratio="f"/>
            </v:shape>
            <v:line id="_x0000_s1066" o:spid="_x0000_s1066" o:spt="20" style="position:absolute;left:8190;top:385035;flip:y;height:3150;width:1951;" fillcolor="#FFFFFF" filled="t" stroked="t" coordsize="21600,21600">
              <v:path arrowok="t"/>
              <v:fill on="t" color2="#FFFFFF" focussize="0,0"/>
              <v:stroke color="#FF0000"/>
              <v:imagedata o:title=""/>
              <o:lock v:ext="edit" aspectratio="f"/>
            </v:line>
            <v:line id="_x0000_s1067" o:spid="_x0000_s1067" o:spt="20" style="position:absolute;left:9315;top:384840;flip:x y;height:195;width:780;" fillcolor="#FFFFFF" filled="t" stroked="t" coordsize="21600,21600">
              <v:path arrowok="t"/>
              <v:fill on="t" color2="#FFFFFF" focussize="0,0"/>
              <v:stroke color="#FF0000"/>
              <v:imagedata o:title=""/>
              <o:lock v:ext="edit" aspectratio="f"/>
            </v:line>
          </v:group>
        </w:pict>
      </w:r>
      <w:r>
        <w:rPr>
          <w:color w:val="auto"/>
          <w:sz w:val="21"/>
          <w:highlight w:val="none"/>
        </w:rPr>
        <w:pict>
          <v:group id="_x0000_s1099" o:spid="_x0000_s1099" o:spt="203" style="position:absolute;left:0pt;margin-left:267.85pt;margin-top:137.25pt;height:59.1pt;width:33.8pt;z-index:251673600;mso-width-relative:page;mso-height-relative:page;" coordorigin="12732,385296" coordsize="676,1182">
            <o:lock v:ext="edit" aspectratio="f"/>
            <v:line id="_x0000_s1091" o:spid="_x0000_s1091" o:spt="20" style="position:absolute;left:12769;top:385334;flip:x;height:412;width:207;" fillcolor="#FFFFFF" filled="t" stroked="t" coordsize="21600,21600">
              <v:path arrowok="t"/>
              <v:fill on="t" color2="#FFFFFF" focussize="0,0"/>
              <v:stroke color="#FF0000"/>
              <v:imagedata o:title=""/>
              <o:lock v:ext="edit" aspectratio="f"/>
            </v:line>
            <v:line id="_x0000_s1092" o:spid="_x0000_s1092" o:spt="20" style="position:absolute;left:13013;top:385296;height:150;width:244;" fillcolor="#FFFFFF" filled="t" stroked="t" coordsize="21600,21600">
              <v:path arrowok="t"/>
              <v:fill on="t" color2="#FFFFFF" focussize="0,0"/>
              <v:stroke color="#FF0000"/>
              <v:imagedata o:title=""/>
              <o:lock v:ext="edit" aspectratio="f"/>
            </v:line>
            <v:line id="_x0000_s1093" o:spid="_x0000_s1093" o:spt="20" style="position:absolute;left:13218;top:385503;flip:x;height:207;width:76;" fillcolor="#FFFFFF" filled="t" stroked="t" coordsize="21600,21600">
              <v:path arrowok="t"/>
              <v:fill on="t" color2="#FFFFFF" focussize="0,0"/>
              <v:stroke color="#FF0000"/>
              <v:imagedata o:title=""/>
              <o:lock v:ext="edit" aspectratio="f"/>
            </v:line>
            <v:line id="_x0000_s1094" o:spid="_x0000_s1094" o:spt="20" style="position:absolute;left:12788;top:385709;height:169;width:281;" fillcolor="#FFFFFF" filled="t" stroked="t" coordsize="21600,21600">
              <v:path arrowok="t"/>
              <v:fill on="t" color2="#FFFFFF" focussize="0,0"/>
              <v:stroke color="#FF0000"/>
              <v:imagedata o:title=""/>
              <o:lock v:ext="edit" aspectratio="f"/>
            </v:line>
            <v:line id="_x0000_s1095" o:spid="_x0000_s1095" o:spt="20" style="position:absolute;left:13238;top:385708;height:76;width:171;" fillcolor="#FFFFFF" filled="t" stroked="t" coordsize="21600,21600">
              <v:path arrowok="t"/>
              <v:fill on="t" color2="#FFFFFF" focussize="0,0"/>
              <v:stroke color="#FF0000"/>
              <v:imagedata o:title=""/>
              <o:lock v:ext="edit" aspectratio="f"/>
            </v:line>
            <v:line id="_x0000_s1097" o:spid="_x0000_s1097" o:spt="20" style="position:absolute;left:12751;top:386346;height:132;width:225;" fillcolor="#FFFFFF" filled="t" stroked="t" coordsize="21600,21600">
              <v:path arrowok="t"/>
              <v:fill on="t" color2="#FFFFFF" focussize="0,0"/>
              <v:stroke color="#FF0000"/>
              <v:imagedata o:title=""/>
              <o:lock v:ext="edit" aspectratio="f"/>
            </v:line>
            <v:line id="_x0000_s1098" o:spid="_x0000_s1098" o:spt="20" style="position:absolute;left:12732;top:385840;flip:y;height:488;width:262;" fillcolor="#FFFFFF" filled="t" stroked="t" coordsize="21600,21600">
              <v:path arrowok="t"/>
              <v:fill on="t" color2="#FFFFFF" focussize="0,0"/>
              <v:stroke color="#FF0000"/>
              <v:imagedata o:title=""/>
              <o:lock v:ext="edit" aspectratio="f"/>
            </v:line>
          </v:group>
        </w:pict>
      </w:r>
      <w:r>
        <w:rPr>
          <w:color w:val="auto"/>
          <w:sz w:val="21"/>
          <w:highlight w:val="none"/>
        </w:rPr>
        <w:pict>
          <v:group id="_x0000_s1090" o:spid="_x0000_s1090" o:spt="203" style="position:absolute;left:0pt;margin-left:230.55pt;margin-top:193.35pt;height:37.5pt;width:44.95pt;z-index:251671552;mso-width-relative:page;mso-height-relative:page;" coordorigin="11926,386403" coordsize="899,750">
            <o:lock v:ext="edit" aspectratio="f"/>
            <v:line id="_x0000_s1083" o:spid="_x0000_s1083" o:spt="20" style="position:absolute;left:11982;top:386440;flip:y;height:525;width:281;" fillcolor="#FFFFFF" filled="t" stroked="t" coordsize="21600,21600">
              <v:path arrowok="t"/>
              <v:fill on="t" color2="#FFFFFF" focussize="0,0"/>
              <v:stroke color="#FF0000"/>
              <v:imagedata o:title=""/>
              <o:lock v:ext="edit" aspectratio="f"/>
            </v:line>
            <v:line id="_x0000_s1084" o:spid="_x0000_s1084" o:spt="20" style="position:absolute;left:11926;top:386965;height:188;width:393;" fillcolor="#FFFFFF" filled="t" stroked="t" coordsize="21600,21600">
              <v:path arrowok="t"/>
              <v:fill on="t" color2="#FFFFFF" focussize="0,0"/>
              <v:stroke color="#FF0000"/>
              <v:imagedata o:title=""/>
              <o:lock v:ext="edit" aspectratio="f"/>
            </v:line>
            <v:line id="_x0000_s1085" o:spid="_x0000_s1085" o:spt="20" style="position:absolute;left:12301;top:386703;flip:y;height:450;width:262;" fillcolor="#FFFFFF" filled="t" stroked="t" coordsize="21600,21600">
              <v:path arrowok="t"/>
              <v:fill on="t" color2="#FFFFFF" focussize="0,0"/>
              <v:stroke color="#FF0000"/>
              <v:imagedata o:title=""/>
              <o:lock v:ext="edit" aspectratio="f"/>
            </v:line>
            <v:line id="_x0000_s1086" o:spid="_x0000_s1086" o:spt="20" style="position:absolute;left:12582;top:386571;flip:y;height:188;width:225;" fillcolor="#FFFFFF" filled="t" stroked="t" coordsize="21600,21600">
              <v:path arrowok="t"/>
              <v:fill on="t" color2="#FFFFFF" focussize="0,0"/>
              <v:stroke color="#FF0000"/>
              <v:imagedata o:title=""/>
              <o:lock v:ext="edit" aspectratio="f"/>
            </v:line>
            <v:line id="_x0000_s1087" o:spid="_x0000_s1087" o:spt="20" style="position:absolute;left:12713;top:386421;flip:x y;height:113;width:113;" fillcolor="#FFFFFF" filled="t" stroked="t" coordsize="21600,21600">
              <v:path arrowok="t"/>
              <v:fill on="t" color2="#FFFFFF" focussize="0,0"/>
              <v:stroke color="#FF0000"/>
              <v:imagedata o:title=""/>
              <o:lock v:ext="edit" aspectratio="f"/>
            </v:line>
            <v:line id="_x0000_s1088" o:spid="_x0000_s1088" o:spt="20" style="position:absolute;left:12263;top:386440;height:113;width:244;" fillcolor="#FFFFFF" filled="t" stroked="t" coordsize="21600,21600">
              <v:path arrowok="t"/>
              <v:fill on="t" color2="#FFFFFF" focussize="0,0"/>
              <v:stroke color="#FF0000"/>
              <v:imagedata o:title=""/>
              <o:lock v:ext="edit" aspectratio="f"/>
            </v:line>
            <v:line id="_x0000_s1089" o:spid="_x0000_s1089" o:spt="20" style="position:absolute;left:12488;top:386403;flip:y;height:112;width:188;" fillcolor="#FFFFFF" filled="t" stroked="t" coordsize="21600,21600">
              <v:path arrowok="t"/>
              <v:fill on="t" color2="#FFFFFF" focussize="0,0"/>
              <v:stroke color="#FF0000"/>
              <v:imagedata o:title=""/>
              <o:lock v:ext="edit" aspectratio="f"/>
            </v:line>
          </v:group>
        </w:pict>
      </w:r>
      <w:r>
        <w:rPr>
          <w:color w:val="auto"/>
          <w:sz w:val="21"/>
          <w:highlight w:val="none"/>
        </w:rPr>
        <w:pict>
          <v:rect id="_x0000_s1072" o:spid="_x0000_s1072" o:spt="1" style="position:absolute;left:0pt;margin-left:71.15pt;margin-top:351.75pt;height:24.75pt;width:60pt;z-index:251665408;mso-width-relative:page;mso-height-relative:page;" filled="f" stroked="t" coordsize="21600,21600">
            <v:path/>
            <v:fill on="f" focussize="0,0"/>
            <v:stroke color="#000000"/>
            <v:imagedata o:title=""/>
            <o:lock v:ext="edit" aspectratio="f"/>
            <v:textbox>
              <w:txbxContent>
                <w:p w14:paraId="6515432D">
                  <w:pPr>
                    <w:jc w:val="center"/>
                    <w:rPr>
                      <w:rFonts w:hint="eastAsia" w:eastAsia="宋体"/>
                      <w:lang w:eastAsia="zh-CN"/>
                    </w:rPr>
                  </w:pPr>
                  <w:r>
                    <w:rPr>
                      <w:rFonts w:hint="eastAsia"/>
                      <w:lang w:eastAsia="zh-CN"/>
                    </w:rPr>
                    <w:t>尤溪镇</w:t>
                  </w:r>
                </w:p>
              </w:txbxContent>
            </v:textbox>
          </v:rect>
        </w:pict>
      </w:r>
      <w:r>
        <w:rPr>
          <w:color w:val="auto"/>
          <w:sz w:val="21"/>
          <w:highlight w:val="none"/>
        </w:rPr>
        <w:pict>
          <v:shape id="_x0000_s1071" o:spid="_x0000_s1071" o:spt="61" type="#_x0000_t61" style="position:absolute;left:0pt;margin-left:10.45pt;margin-top:213.75pt;height:24pt;width:74.2pt;z-index:251664384;mso-width-relative:page;mso-height-relative:page;" filled="f" stroked="t" coordsize="21600,21600" adj="32473,26820">
            <v:path/>
            <v:fill on="f" focussize="0,0"/>
            <v:stroke color="#000000" joinstyle="miter"/>
            <v:imagedata o:title=""/>
            <o:lock v:ext="edit" aspectratio="f"/>
            <v:textbox>
              <w:txbxContent>
                <w:p w14:paraId="23298D3F">
                  <w:pPr>
                    <w:jc w:val="center"/>
                    <w:rPr>
                      <w:rFonts w:hint="eastAsia" w:ascii="宋体" w:hAnsi="宋体" w:eastAsia="宋体" w:cs="宋体"/>
                      <w:color w:val="00B050"/>
                      <w:szCs w:val="21"/>
                      <w:lang w:eastAsia="zh-CN"/>
                    </w:rPr>
                  </w:pPr>
                  <w:r>
                    <w:rPr>
                      <w:rFonts w:hint="eastAsia" w:ascii="宋体" w:hAnsi="宋体" w:cs="宋体"/>
                      <w:color w:val="00B050"/>
                      <w:szCs w:val="21"/>
                    </w:rPr>
                    <w:t>尤溪中学</w:t>
                  </w:r>
                </w:p>
              </w:txbxContent>
            </v:textbox>
          </v:shape>
        </w:pict>
      </w:r>
      <w:r>
        <w:rPr>
          <w:color w:val="auto"/>
          <w:sz w:val="21"/>
          <w:highlight w:val="none"/>
        </w:rPr>
        <w:pict>
          <v:line id="_x0000_s1060" o:spid="_x0000_s1060" o:spt="20" style="position:absolute;left:0pt;flip:y;margin-left:238.4pt;margin-top:116.7pt;height:1.5pt;width:0.05pt;z-index:251661312;mso-width-relative:page;mso-height-relative:page;" fillcolor="#FFFFFF" filled="t" stroked="t" coordsize="21600,21600">
            <v:path arrowok="t"/>
            <v:fill on="t" color2="#FFFFFF" focussize="0,0"/>
            <v:stroke color="#000000"/>
            <v:imagedata o:title=""/>
            <o:lock v:ext="edit" aspectratio="f"/>
          </v:line>
        </w:pict>
      </w:r>
      <w:r>
        <w:rPr>
          <w:color w:val="auto"/>
          <w:highlight w:val="none"/>
        </w:rPr>
        <w:drawing>
          <wp:inline distT="0" distB="0" distL="114300" distR="114300">
            <wp:extent cx="5725160" cy="5233670"/>
            <wp:effectExtent l="0" t="0" r="8890" b="5080"/>
            <wp:docPr id="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
                    <pic:cNvPicPr>
                      <a:picLocks noChangeAspect="1"/>
                    </pic:cNvPicPr>
                  </pic:nvPicPr>
                  <pic:blipFill>
                    <a:blip r:embed="rId19"/>
                    <a:stretch>
                      <a:fillRect/>
                    </a:stretch>
                  </pic:blipFill>
                  <pic:spPr>
                    <a:xfrm>
                      <a:off x="0" y="0"/>
                      <a:ext cx="5725160" cy="5233670"/>
                    </a:xfrm>
                    <a:prstGeom prst="rect">
                      <a:avLst/>
                    </a:prstGeom>
                    <a:noFill/>
                    <a:ln>
                      <a:noFill/>
                    </a:ln>
                  </pic:spPr>
                </pic:pic>
              </a:graphicData>
            </a:graphic>
          </wp:inline>
        </w:drawing>
      </w:r>
    </w:p>
    <w:p w14:paraId="55E4071D">
      <w:pPr>
        <w:pStyle w:val="16"/>
        <w:adjustRightInd w:val="0"/>
        <w:snapToGrid w:val="0"/>
        <w:spacing w:line="360" w:lineRule="auto"/>
        <w:jc w:val="center"/>
        <w:rPr>
          <w:rFonts w:hint="eastAsia" w:ascii="黑体" w:hAnsi="黑体" w:eastAsia="黑体" w:cs="黑体"/>
          <w:b/>
          <w:bCs/>
          <w:color w:val="auto"/>
          <w:sz w:val="24"/>
          <w:highlight w:val="none"/>
          <w:lang w:eastAsia="zh-CN"/>
        </w:rPr>
      </w:pPr>
      <w:r>
        <w:rPr>
          <w:rFonts w:hint="eastAsia" w:ascii="黑体" w:hAnsi="黑体" w:cs="黑体"/>
          <w:b/>
          <w:bCs/>
          <w:color w:val="auto"/>
          <w:sz w:val="24"/>
          <w:highlight w:val="none"/>
          <w:lang w:eastAsia="zh-CN"/>
        </w:rPr>
        <w:t>图</w:t>
      </w:r>
      <w:r>
        <w:rPr>
          <w:rFonts w:hint="eastAsia" w:ascii="黑体" w:hAnsi="黑体" w:cs="黑体"/>
          <w:b/>
          <w:bCs/>
          <w:color w:val="auto"/>
          <w:sz w:val="24"/>
          <w:highlight w:val="none"/>
          <w:lang w:val="en-US" w:eastAsia="zh-CN"/>
        </w:rPr>
        <w:t xml:space="preserve">2.2-2 </w:t>
      </w:r>
      <w:r>
        <w:rPr>
          <w:rFonts w:hint="eastAsia" w:ascii="黑体" w:hAnsi="黑体" w:eastAsia="黑体" w:cs="黑体"/>
          <w:b/>
          <w:bCs/>
          <w:color w:val="auto"/>
          <w:sz w:val="24"/>
          <w:highlight w:val="none"/>
          <w:lang w:eastAsia="zh-CN"/>
        </w:rPr>
        <w:t>周边环境图</w:t>
      </w:r>
    </w:p>
    <w:p w14:paraId="15032BF3">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352" w:name="_Toc9779"/>
      <w:bookmarkStart w:id="353" w:name="_Toc21488"/>
      <w:bookmarkStart w:id="354" w:name="_Toc8300"/>
      <w:bookmarkStart w:id="355" w:name="_Toc8760"/>
      <w:bookmarkStart w:id="356" w:name="_Toc10752"/>
      <w:bookmarkStart w:id="357" w:name="_Toc28331"/>
      <w:bookmarkStart w:id="358" w:name="_Toc4127"/>
      <w:bookmarkStart w:id="359" w:name="_Toc10714"/>
      <w:bookmarkStart w:id="360" w:name="_Toc6514"/>
      <w:bookmarkStart w:id="361" w:name="_Toc26041"/>
      <w:bookmarkStart w:id="362" w:name="_Toc30192"/>
      <w:bookmarkStart w:id="363" w:name="_Toc31813"/>
      <w:bookmarkStart w:id="364" w:name="_Toc4323"/>
      <w:bookmarkStart w:id="365" w:name="_Toc8949"/>
      <w:bookmarkStart w:id="366" w:name="_Toc25798"/>
      <w:bookmarkStart w:id="367" w:name="_Toc25366"/>
      <w:bookmarkStart w:id="368" w:name="_Toc2587"/>
      <w:r>
        <w:rPr>
          <w:rFonts w:ascii="黑体" w:hAnsi="黑体" w:eastAsia="黑体" w:cs="Times New Roman"/>
          <w:b/>
          <w:color w:val="auto"/>
          <w:sz w:val="28"/>
          <w:szCs w:val="28"/>
          <w:highlight w:val="none"/>
        </w:rPr>
        <w:t>2.2.</w:t>
      </w:r>
      <w:r>
        <w:rPr>
          <w:rFonts w:hint="eastAsia" w:ascii="黑体" w:hAnsi="黑体" w:eastAsia="黑体" w:cs="Times New Roman"/>
          <w:b/>
          <w:color w:val="auto"/>
          <w:sz w:val="28"/>
          <w:szCs w:val="28"/>
          <w:highlight w:val="none"/>
          <w:lang w:val="en-US" w:eastAsia="zh-CN"/>
        </w:rPr>
        <w:t xml:space="preserve">3 </w:t>
      </w:r>
      <w:r>
        <w:rPr>
          <w:rFonts w:hint="eastAsia" w:ascii="黑体" w:hAnsi="黑体" w:eastAsia="黑体" w:cs="Times New Roman"/>
          <w:b/>
          <w:color w:val="auto"/>
          <w:sz w:val="28"/>
          <w:szCs w:val="28"/>
          <w:highlight w:val="none"/>
        </w:rPr>
        <w:t>自然条件</w:t>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p>
    <w:p w14:paraId="0045948A">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1）地形、地貌、地质</w:t>
      </w:r>
    </w:p>
    <w:p w14:paraId="488ACA97">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临海市属丘陵山区，处于天台山和括苍山之间，三面环山，一面靠海，地势自西北向东南倾斜。北部有白云山，山高约400～600米，南部有大岗山，山高381米，西部雄</w:t>
      </w:r>
      <w:r>
        <w:rPr>
          <w:rFonts w:hint="eastAsia" w:ascii="宋体" w:hAnsi="宋体" w:eastAsia="宋体" w:cs="宋体"/>
          <w:color w:val="auto"/>
          <w:highlight w:val="none"/>
          <w:lang w:eastAsia="zh-CN"/>
        </w:rPr>
        <w:t>踞</w:t>
      </w:r>
      <w:r>
        <w:rPr>
          <w:rFonts w:hint="eastAsia" w:ascii="宋体" w:hAnsi="宋体" w:eastAsia="宋体" w:cs="宋体"/>
          <w:color w:val="auto"/>
          <w:highlight w:val="none"/>
        </w:rPr>
        <w:t>括苍山，东连东海。平原以东部滨海平原为最大。</w:t>
      </w:r>
    </w:p>
    <w:p w14:paraId="4EED985E">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临海地貌特征为“七山一水二分田”。属亚热带季风气候，气候温和，四季分明，雨量充沛。河流分为灵江（下游为椒江）、洞港两大水系。境内有浙江省第三大水库—牛头山水库，最大库容量为3.025亿立方米。珍珠岩、花岗岩、蜡石等蕴藏量丰富，质量极佳。</w:t>
      </w:r>
    </w:p>
    <w:p w14:paraId="457D8934">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根据核工业部金华工程勘察报告，该区块用地原为海涂，属第四纪沉积平原，主要由滨海相沉积的饱和粘性土组成。地势平坦，地面高程在2.2～2.8m之间，地基承载力一般为50～70kPa，潜水位在地表以下0.35～0.55m。基地内地形低洼平坦、多河网，标高2.2～2.9m。</w:t>
      </w:r>
    </w:p>
    <w:p w14:paraId="3A76ECFE">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地震：基本</w:t>
      </w:r>
      <w:r>
        <w:rPr>
          <w:rFonts w:hint="eastAsia" w:ascii="宋体" w:hAnsi="宋体" w:eastAsia="宋体" w:cs="宋体"/>
          <w:color w:val="auto"/>
          <w:highlight w:val="none"/>
          <w:lang w:eastAsia="zh-CN"/>
        </w:rPr>
        <w:t>地震烈度</w:t>
      </w:r>
      <w:r>
        <w:rPr>
          <w:rFonts w:hint="eastAsia" w:ascii="宋体" w:hAnsi="宋体" w:eastAsia="宋体" w:cs="宋体"/>
          <w:color w:val="auto"/>
          <w:highlight w:val="none"/>
        </w:rPr>
        <w:t>为VI度。</w:t>
      </w:r>
    </w:p>
    <w:p w14:paraId="3C76F759">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2）气候、气象状况</w:t>
      </w:r>
    </w:p>
    <w:p w14:paraId="6F273FBD">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临海市地处亚热带季风气候区，温暖湿润，四季分明，日照充足，雨水充沛。灾难性气候主要由台风引起，多发生在7～9月份。主要气候特征见</w:t>
      </w:r>
      <w:r>
        <w:rPr>
          <w:rFonts w:hint="eastAsia" w:ascii="宋体" w:hAnsi="宋体" w:eastAsia="宋体" w:cs="宋体"/>
          <w:color w:val="auto"/>
          <w:highlight w:val="none"/>
          <w:lang w:eastAsia="zh-CN"/>
        </w:rPr>
        <w:t>下表</w:t>
      </w:r>
      <w:r>
        <w:rPr>
          <w:rFonts w:hint="eastAsia" w:ascii="宋体" w:hAnsi="宋体" w:eastAsia="宋体" w:cs="宋体"/>
          <w:color w:val="auto"/>
          <w:highlight w:val="none"/>
        </w:rPr>
        <w:t>。</w:t>
      </w:r>
    </w:p>
    <w:p w14:paraId="6E17CE0B">
      <w:pPr>
        <w:pStyle w:val="16"/>
        <w:adjustRightInd w:val="0"/>
        <w:snapToGrid w:val="0"/>
        <w:spacing w:line="360" w:lineRule="auto"/>
        <w:jc w:val="center"/>
        <w:rPr>
          <w:rFonts w:hint="eastAsia" w:ascii="黑体" w:hAnsi="黑体" w:eastAsia="黑体" w:cs="黑体"/>
          <w:b/>
          <w:bCs/>
          <w:color w:val="auto"/>
          <w:sz w:val="24"/>
          <w:szCs w:val="24"/>
          <w:highlight w:val="none"/>
          <w:lang w:eastAsia="zh-CN"/>
        </w:rPr>
      </w:pPr>
      <w:r>
        <w:rPr>
          <w:rFonts w:hint="eastAsia" w:ascii="黑体" w:hAnsi="黑体" w:cs="黑体"/>
          <w:b/>
          <w:bCs/>
          <w:color w:val="auto"/>
          <w:sz w:val="24"/>
          <w:highlight w:val="none"/>
          <w:lang w:eastAsia="zh-CN"/>
        </w:rPr>
        <w:t>表</w:t>
      </w:r>
      <w:r>
        <w:rPr>
          <w:rFonts w:hint="eastAsia" w:ascii="黑体" w:hAnsi="黑体" w:cs="黑体"/>
          <w:b/>
          <w:bCs/>
          <w:color w:val="auto"/>
          <w:sz w:val="24"/>
          <w:highlight w:val="none"/>
          <w:lang w:val="en-US" w:eastAsia="zh-CN"/>
        </w:rPr>
        <w:t xml:space="preserve">2.2-1 </w:t>
      </w:r>
      <w:r>
        <w:rPr>
          <w:rFonts w:hint="eastAsia" w:ascii="黑体" w:hAnsi="黑体" w:eastAsia="黑体" w:cs="黑体"/>
          <w:b/>
          <w:bCs/>
          <w:color w:val="auto"/>
          <w:sz w:val="24"/>
          <w:szCs w:val="24"/>
          <w:highlight w:val="none"/>
        </w:rPr>
        <w:t>主要气候特征</w:t>
      </w:r>
      <w:r>
        <w:rPr>
          <w:rFonts w:hint="eastAsia" w:ascii="黑体" w:hAnsi="黑体" w:cs="黑体"/>
          <w:b/>
          <w:bCs/>
          <w:color w:val="auto"/>
          <w:sz w:val="24"/>
          <w:szCs w:val="24"/>
          <w:highlight w:val="none"/>
          <w:lang w:eastAsia="zh-CN"/>
        </w:rPr>
        <w:t>表</w:t>
      </w:r>
    </w:p>
    <w:tbl>
      <w:tblPr>
        <w:tblStyle w:val="6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657"/>
        <w:gridCol w:w="3643"/>
      </w:tblGrid>
      <w:tr w14:paraId="26302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3041" w:type="pct"/>
            <w:shd w:val="clear" w:color="auto" w:fill="auto"/>
            <w:tcMar>
              <w:left w:w="113" w:type="dxa"/>
            </w:tcMar>
            <w:vAlign w:val="center"/>
          </w:tcPr>
          <w:p w14:paraId="1A06CCB9">
            <w:pPr>
              <w:autoSpaceDE w:val="0"/>
              <w:autoSpaceDN w:val="0"/>
              <w:adjustRightInd w:val="0"/>
              <w:snapToGrid w:val="0"/>
              <w:jc w:val="center"/>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年最高气温</w:t>
            </w:r>
          </w:p>
        </w:tc>
        <w:tc>
          <w:tcPr>
            <w:tcW w:w="1958" w:type="pct"/>
            <w:shd w:val="clear" w:color="auto" w:fill="auto"/>
            <w:tcMar>
              <w:left w:w="113" w:type="dxa"/>
            </w:tcMar>
            <w:vAlign w:val="center"/>
          </w:tcPr>
          <w:p w14:paraId="1C8349D9">
            <w:pPr>
              <w:autoSpaceDE w:val="0"/>
              <w:autoSpaceDN w:val="0"/>
              <w:adjustRightInd w:val="0"/>
              <w:snapToGrid w:val="0"/>
              <w:jc w:val="center"/>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41.7℃</w:t>
            </w:r>
          </w:p>
        </w:tc>
      </w:tr>
      <w:tr w14:paraId="6465F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041" w:type="pct"/>
            <w:shd w:val="clear" w:color="auto" w:fill="auto"/>
            <w:tcMar>
              <w:left w:w="113" w:type="dxa"/>
            </w:tcMar>
            <w:vAlign w:val="center"/>
          </w:tcPr>
          <w:p w14:paraId="41FAA4EF">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年最低气温</w:t>
            </w:r>
          </w:p>
        </w:tc>
        <w:tc>
          <w:tcPr>
            <w:tcW w:w="1958" w:type="pct"/>
            <w:shd w:val="clear" w:color="auto" w:fill="auto"/>
            <w:tcMar>
              <w:left w:w="113" w:type="dxa"/>
            </w:tcMar>
            <w:vAlign w:val="center"/>
          </w:tcPr>
          <w:p w14:paraId="56C4F322">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-9.1℃</w:t>
            </w:r>
          </w:p>
        </w:tc>
      </w:tr>
      <w:tr w14:paraId="4F67C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041" w:type="pct"/>
            <w:shd w:val="clear" w:color="auto" w:fill="auto"/>
            <w:tcMar>
              <w:left w:w="113" w:type="dxa"/>
            </w:tcMar>
            <w:vAlign w:val="center"/>
          </w:tcPr>
          <w:p w14:paraId="757AEF99">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年平均气温</w:t>
            </w:r>
          </w:p>
        </w:tc>
        <w:tc>
          <w:tcPr>
            <w:tcW w:w="1958" w:type="pct"/>
            <w:shd w:val="clear" w:color="auto" w:fill="auto"/>
            <w:tcMar>
              <w:left w:w="113" w:type="dxa"/>
            </w:tcMar>
            <w:vAlign w:val="center"/>
          </w:tcPr>
          <w:p w14:paraId="745F79AC">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17.1O℃</w:t>
            </w:r>
          </w:p>
        </w:tc>
      </w:tr>
      <w:tr w14:paraId="29567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041" w:type="pct"/>
            <w:shd w:val="clear" w:color="auto" w:fill="auto"/>
            <w:tcMar>
              <w:left w:w="113" w:type="dxa"/>
            </w:tcMar>
            <w:vAlign w:val="center"/>
          </w:tcPr>
          <w:p w14:paraId="49311CE9">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年平均降水量</w:t>
            </w:r>
          </w:p>
        </w:tc>
        <w:tc>
          <w:tcPr>
            <w:tcW w:w="1958" w:type="pct"/>
            <w:shd w:val="clear" w:color="auto" w:fill="auto"/>
            <w:tcMar>
              <w:left w:w="113" w:type="dxa"/>
            </w:tcMar>
            <w:vAlign w:val="center"/>
          </w:tcPr>
          <w:p w14:paraId="32413B92">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1531.4mm</w:t>
            </w:r>
          </w:p>
        </w:tc>
      </w:tr>
      <w:tr w14:paraId="35298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041" w:type="pct"/>
            <w:shd w:val="clear" w:color="auto" w:fill="auto"/>
            <w:tcMar>
              <w:left w:w="113" w:type="dxa"/>
            </w:tcMar>
            <w:vAlign w:val="center"/>
          </w:tcPr>
          <w:p w14:paraId="09E18BC6">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年日照时数</w:t>
            </w:r>
          </w:p>
        </w:tc>
        <w:tc>
          <w:tcPr>
            <w:tcW w:w="1958" w:type="pct"/>
            <w:shd w:val="clear" w:color="auto" w:fill="auto"/>
            <w:tcMar>
              <w:left w:w="113" w:type="dxa"/>
            </w:tcMar>
            <w:vAlign w:val="center"/>
          </w:tcPr>
          <w:p w14:paraId="5590E0D4">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936.3小时</w:t>
            </w:r>
          </w:p>
        </w:tc>
      </w:tr>
      <w:tr w14:paraId="42CBF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041" w:type="pct"/>
            <w:shd w:val="clear" w:color="auto" w:fill="auto"/>
            <w:tcMar>
              <w:left w:w="113" w:type="dxa"/>
            </w:tcMar>
            <w:vAlign w:val="center"/>
          </w:tcPr>
          <w:p w14:paraId="3489D4B1">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年最长降雨天数</w:t>
            </w:r>
          </w:p>
        </w:tc>
        <w:tc>
          <w:tcPr>
            <w:tcW w:w="1958" w:type="pct"/>
            <w:shd w:val="clear" w:color="auto" w:fill="auto"/>
            <w:tcMar>
              <w:left w:w="113" w:type="dxa"/>
            </w:tcMar>
            <w:vAlign w:val="center"/>
          </w:tcPr>
          <w:p w14:paraId="79FD3C75">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21天</w:t>
            </w:r>
          </w:p>
        </w:tc>
      </w:tr>
      <w:tr w14:paraId="4F002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041" w:type="pct"/>
            <w:shd w:val="clear" w:color="auto" w:fill="auto"/>
            <w:tcMar>
              <w:left w:w="113" w:type="dxa"/>
            </w:tcMar>
            <w:vAlign w:val="center"/>
          </w:tcPr>
          <w:p w14:paraId="7954D8B8">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年主导风向</w:t>
            </w:r>
          </w:p>
        </w:tc>
        <w:tc>
          <w:tcPr>
            <w:tcW w:w="1958" w:type="pct"/>
            <w:shd w:val="clear" w:color="auto" w:fill="auto"/>
            <w:tcMar>
              <w:left w:w="113" w:type="dxa"/>
            </w:tcMar>
            <w:vAlign w:val="center"/>
          </w:tcPr>
          <w:p w14:paraId="33E4655C">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ENE</w:t>
            </w:r>
          </w:p>
        </w:tc>
      </w:tr>
      <w:tr w14:paraId="6F9CB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041" w:type="pct"/>
            <w:shd w:val="clear" w:color="auto" w:fill="auto"/>
            <w:tcMar>
              <w:left w:w="113" w:type="dxa"/>
            </w:tcMar>
            <w:vAlign w:val="center"/>
          </w:tcPr>
          <w:p w14:paraId="28AA17F6">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年平均风速</w:t>
            </w:r>
          </w:p>
        </w:tc>
        <w:tc>
          <w:tcPr>
            <w:tcW w:w="1958" w:type="pct"/>
            <w:shd w:val="clear" w:color="auto" w:fill="auto"/>
            <w:tcMar>
              <w:left w:w="113" w:type="dxa"/>
            </w:tcMar>
            <w:vAlign w:val="center"/>
          </w:tcPr>
          <w:p w14:paraId="08DBC7CC">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1.85m/s</w:t>
            </w:r>
          </w:p>
        </w:tc>
      </w:tr>
      <w:tr w14:paraId="6C1D8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041" w:type="pct"/>
            <w:shd w:val="clear" w:color="auto" w:fill="auto"/>
            <w:tcMar>
              <w:left w:w="113" w:type="dxa"/>
            </w:tcMar>
            <w:vAlign w:val="center"/>
          </w:tcPr>
          <w:p w14:paraId="6C865B09">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年雷暴日数</w:t>
            </w:r>
          </w:p>
        </w:tc>
        <w:tc>
          <w:tcPr>
            <w:tcW w:w="1958" w:type="pct"/>
            <w:shd w:val="clear" w:color="auto" w:fill="auto"/>
            <w:tcMar>
              <w:left w:w="113" w:type="dxa"/>
            </w:tcMar>
            <w:vAlign w:val="center"/>
          </w:tcPr>
          <w:p w14:paraId="08E47E30">
            <w:pPr>
              <w:autoSpaceDE w:val="0"/>
              <w:autoSpaceDN w:val="0"/>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52.5天/年</w:t>
            </w:r>
          </w:p>
        </w:tc>
      </w:tr>
    </w:tbl>
    <w:p w14:paraId="39E094B3">
      <w:pPr>
        <w:pStyle w:val="96"/>
        <w:spacing w:before="157" w:beforeLines="50" w:afterLines="0" w:line="360" w:lineRule="auto"/>
        <w:ind w:firstLine="560"/>
        <w:rPr>
          <w:color w:val="auto"/>
          <w:highlight w:val="none"/>
        </w:rPr>
      </w:pPr>
      <w:r>
        <w:rPr>
          <w:color w:val="auto"/>
          <w:highlight w:val="none"/>
        </w:rPr>
        <w:t>3</w:t>
      </w:r>
      <w:r>
        <w:rPr>
          <w:rFonts w:hint="eastAsia"/>
          <w:color w:val="auto"/>
          <w:highlight w:val="none"/>
        </w:rPr>
        <w:t>）水文状况</w:t>
      </w:r>
    </w:p>
    <w:p w14:paraId="769A8EA3">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灵江是浙江省的主要河流之一，也是临海市的主要水系，古称临海江，唐代晚期始称灵江。灵江自西向东横贯临海全境，是浙江省第三大水系，发源于仙居和缙云交界处，上游永安溪、始丰溪从仙居、天台流入本市更楼乡三江村汇合；中游大田港和义城港纵横南北；下游至三江口与黄岩永宁江（澄江）汇合，称椒江，从前所老鼠屿入台州湾东流入海，全长198km，流域面积6390km</w:t>
      </w:r>
      <w:r>
        <w:rPr>
          <w:rFonts w:hint="eastAsia" w:ascii="宋体" w:hAnsi="宋体" w:eastAsia="宋体" w:cs="宋体"/>
          <w:color w:val="auto"/>
          <w:highlight w:val="none"/>
          <w:vertAlign w:val="superscript"/>
        </w:rPr>
        <w:t>2</w:t>
      </w:r>
      <w:r>
        <w:rPr>
          <w:rFonts w:hint="eastAsia" w:ascii="宋体" w:hAnsi="宋体" w:eastAsia="宋体" w:cs="宋体"/>
          <w:color w:val="auto"/>
          <w:highlight w:val="none"/>
        </w:rPr>
        <w:t>，平均年流量51.2亿m</w:t>
      </w:r>
      <w:r>
        <w:rPr>
          <w:rFonts w:hint="eastAsia" w:ascii="宋体" w:hAnsi="宋体" w:eastAsia="宋体" w:cs="宋体"/>
          <w:color w:val="auto"/>
          <w:highlight w:val="none"/>
          <w:vertAlign w:val="superscript"/>
        </w:rPr>
        <w:t>3</w:t>
      </w:r>
      <w:r>
        <w:rPr>
          <w:rFonts w:hint="eastAsia" w:ascii="宋体" w:hAnsi="宋体" w:eastAsia="宋体" w:cs="宋体"/>
          <w:color w:val="auto"/>
          <w:highlight w:val="none"/>
        </w:rPr>
        <w:t>，流域面积约6750km</w:t>
      </w:r>
      <w:r>
        <w:rPr>
          <w:rFonts w:hint="eastAsia" w:ascii="宋体" w:hAnsi="宋体" w:eastAsia="宋体" w:cs="宋体"/>
          <w:color w:val="auto"/>
          <w:highlight w:val="none"/>
          <w:vertAlign w:val="superscript"/>
        </w:rPr>
        <w:t>2</w:t>
      </w:r>
      <w:r>
        <w:rPr>
          <w:rFonts w:hint="eastAsia" w:ascii="宋体" w:hAnsi="宋体" w:eastAsia="宋体" w:cs="宋体"/>
          <w:color w:val="auto"/>
          <w:highlight w:val="none"/>
        </w:rPr>
        <w:t>，在临海市境内长44km。灵江中游宽250m，水势平缓，受潮水顶托影响，河道左右摆动，河道中沙渚较多，河床平均比降为千分之二点三。</w:t>
      </w:r>
    </w:p>
    <w:p w14:paraId="3F57CF3A">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本项目附近水体为义城港。义城港花联村以上称双坑溪，花联至灰炉头称尤溪，灰炉头以下称义城港。流经江南街道于红旗闸入灵江。主要支流有龙岭溪、香年溪。义城港取水点位于江南办事处鲫鱼头自然村，取地下10m左右的浅层地表水作为饮用水源，</w:t>
      </w:r>
    </w:p>
    <w:p w14:paraId="790E46EF">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供江南以及部分城关片的饮用水，日供水水量1.5万m</w:t>
      </w:r>
      <w:r>
        <w:rPr>
          <w:rFonts w:hint="eastAsia" w:ascii="宋体" w:hAnsi="宋体" w:eastAsia="宋体" w:cs="宋体"/>
          <w:color w:val="auto"/>
          <w:highlight w:val="none"/>
          <w:vertAlign w:val="superscript"/>
        </w:rPr>
        <w:t>3</w:t>
      </w:r>
      <w:r>
        <w:rPr>
          <w:rFonts w:hint="eastAsia" w:ascii="宋体" w:hAnsi="宋体" w:eastAsia="宋体" w:cs="宋体"/>
          <w:color w:val="auto"/>
          <w:highlight w:val="none"/>
        </w:rPr>
        <w:t>。当水量不足时，从尤溪、香年溪引水再经水厂处理后作为饮用水源。</w:t>
      </w:r>
    </w:p>
    <w:p w14:paraId="1741C9D9">
      <w:pPr>
        <w:pStyle w:val="96"/>
        <w:spacing w:beforeLines="0" w:afterLines="0" w:line="360" w:lineRule="auto"/>
        <w:ind w:firstLine="560"/>
        <w:rPr>
          <w:rFonts w:hint="eastAsia" w:ascii="宋体" w:hAnsi="宋体" w:eastAsia="宋体" w:cs="宋体"/>
          <w:color w:val="auto"/>
          <w:highlight w:val="none"/>
        </w:rPr>
      </w:pPr>
      <w:r>
        <w:rPr>
          <w:rFonts w:hint="eastAsia" w:ascii="宋体" w:hAnsi="宋体" w:eastAsia="宋体" w:cs="宋体"/>
          <w:color w:val="auto"/>
          <w:highlight w:val="none"/>
        </w:rPr>
        <w:t>根据《浙江省水功能区、水环境功能区划分方案》，项目周边义城港河为Ⅲ类水质，水环境功能区为工业用水区，水功能区为义城港临海工业用水区。</w:t>
      </w:r>
    </w:p>
    <w:p w14:paraId="09193E2F">
      <w:pPr>
        <w:adjustRightInd w:val="0"/>
        <w:snapToGrid w:val="0"/>
        <w:spacing w:beforeLines="0" w:afterLines="0" w:line="360" w:lineRule="auto"/>
        <w:jc w:val="left"/>
        <w:outlineLvl w:val="1"/>
        <w:rPr>
          <w:rFonts w:hint="eastAsia" w:ascii="黑体" w:hAnsi="黑体" w:eastAsia="黑体" w:cs="Times New Roman"/>
          <w:b/>
          <w:color w:val="auto"/>
          <w:sz w:val="28"/>
          <w:szCs w:val="28"/>
          <w:highlight w:val="none"/>
          <w:lang w:eastAsia="zh-CN"/>
        </w:rPr>
      </w:pPr>
      <w:bookmarkStart w:id="369" w:name="_Toc8298"/>
      <w:bookmarkStart w:id="370" w:name="_Toc32029"/>
      <w:bookmarkStart w:id="371" w:name="_Toc30637"/>
      <w:bookmarkStart w:id="372" w:name="_Toc30802"/>
      <w:bookmarkStart w:id="373" w:name="_Toc20682"/>
      <w:bookmarkStart w:id="374" w:name="_Toc27757"/>
      <w:bookmarkStart w:id="375" w:name="_Toc24230"/>
      <w:bookmarkStart w:id="376" w:name="_Toc23528"/>
      <w:bookmarkStart w:id="377" w:name="_Toc2785"/>
      <w:bookmarkStart w:id="378" w:name="_Toc17266"/>
      <w:bookmarkStart w:id="379" w:name="_Toc7117"/>
      <w:bookmarkStart w:id="380" w:name="_Toc16544"/>
      <w:bookmarkStart w:id="381" w:name="_Toc11761"/>
      <w:bookmarkStart w:id="382" w:name="_Toc16776"/>
      <w:bookmarkStart w:id="383" w:name="_Toc23722"/>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3</w:t>
      </w:r>
      <w:r>
        <w:rPr>
          <w:rFonts w:ascii="黑体" w:hAnsi="黑体" w:eastAsia="黑体" w:cs="Times New Roman"/>
          <w:b/>
          <w:color w:val="auto"/>
          <w:sz w:val="28"/>
          <w:szCs w:val="28"/>
          <w:highlight w:val="none"/>
        </w:rPr>
        <w:t xml:space="preserve"> </w:t>
      </w:r>
      <w:r>
        <w:rPr>
          <w:rFonts w:hint="eastAsia" w:ascii="黑体" w:hAnsi="黑体" w:eastAsia="黑体" w:cs="Times New Roman"/>
          <w:b/>
          <w:color w:val="auto"/>
          <w:sz w:val="28"/>
          <w:szCs w:val="28"/>
          <w:highlight w:val="none"/>
          <w:lang w:eastAsia="zh-CN"/>
        </w:rPr>
        <w:t>总平面布置</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p>
    <w:p w14:paraId="10CC6C5A">
      <w:pPr>
        <w:pStyle w:val="16"/>
        <w:adjustRightInd w:val="0"/>
        <w:snapToGrid w:val="0"/>
        <w:spacing w:beforeLines="0" w:afterLines="0"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以下</w:t>
      </w:r>
      <w:r>
        <w:rPr>
          <w:rFonts w:hint="eastAsia" w:ascii="宋体" w:hAnsi="宋体" w:eastAsia="宋体" w:cs="宋体"/>
          <w:color w:val="auto"/>
          <w:sz w:val="28"/>
          <w:szCs w:val="28"/>
          <w:highlight w:val="none"/>
        </w:rPr>
        <w:t>均以建北方向表述</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危化品仓库位于伟星临海钮扣分公司厂区</w:t>
      </w:r>
      <w:r>
        <w:rPr>
          <w:rFonts w:hint="eastAsia" w:ascii="宋体" w:hAnsi="宋体" w:eastAsia="宋体" w:cs="宋体"/>
          <w:color w:val="auto"/>
          <w:sz w:val="28"/>
          <w:szCs w:val="28"/>
          <w:highlight w:val="none"/>
          <w:lang w:eastAsia="zh-CN"/>
        </w:rPr>
        <w:t>中部</w:t>
      </w:r>
      <w:r>
        <w:rPr>
          <w:rFonts w:hint="eastAsia" w:ascii="宋体" w:hAnsi="宋体" w:eastAsia="宋体" w:cs="宋体"/>
          <w:color w:val="auto"/>
          <w:sz w:val="28"/>
          <w:szCs w:val="28"/>
          <w:highlight w:val="none"/>
        </w:rPr>
        <w:t>，其东面隔厂内道路为树脂仓库</w:t>
      </w:r>
      <w:r>
        <w:rPr>
          <w:rFonts w:hint="eastAsia" w:ascii="宋体" w:hAnsi="宋体" w:eastAsia="宋体" w:cs="宋体"/>
          <w:color w:val="auto"/>
          <w:sz w:val="28"/>
          <w:szCs w:val="28"/>
          <w:highlight w:val="none"/>
          <w:lang w:eastAsia="zh-CN"/>
        </w:rPr>
        <w:t>和应急物资库；</w:t>
      </w:r>
      <w:r>
        <w:rPr>
          <w:rFonts w:hint="eastAsia" w:ascii="宋体" w:hAnsi="宋体" w:eastAsia="宋体" w:cs="宋体"/>
          <w:color w:val="auto"/>
          <w:sz w:val="28"/>
          <w:szCs w:val="28"/>
          <w:highlight w:val="none"/>
        </w:rPr>
        <w:t>南面为废水处理设施</w:t>
      </w:r>
      <w:r>
        <w:rPr>
          <w:rFonts w:hint="eastAsia" w:ascii="宋体" w:hAnsi="宋体" w:eastAsia="宋体" w:cs="宋体"/>
          <w:color w:val="auto"/>
          <w:sz w:val="28"/>
          <w:szCs w:val="28"/>
          <w:highlight w:val="none"/>
          <w:lang w:eastAsia="zh-CN"/>
        </w:rPr>
        <w:t>（已停用、电源已断）；</w:t>
      </w:r>
      <w:r>
        <w:rPr>
          <w:rFonts w:hint="eastAsia" w:ascii="宋体" w:hAnsi="宋体" w:eastAsia="宋体" w:cs="宋体"/>
          <w:color w:val="auto"/>
          <w:sz w:val="28"/>
          <w:szCs w:val="28"/>
          <w:highlight w:val="none"/>
        </w:rPr>
        <w:t>西面隔绿化带为</w:t>
      </w:r>
      <w:r>
        <w:rPr>
          <w:rFonts w:hint="eastAsia" w:ascii="宋体" w:hAnsi="宋体" w:eastAsia="宋体" w:cs="宋体"/>
          <w:bCs/>
          <w:color w:val="auto"/>
          <w:sz w:val="28"/>
          <w:szCs w:val="28"/>
          <w:highlight w:val="none"/>
        </w:rPr>
        <w:t>办公楼</w:t>
      </w:r>
      <w:r>
        <w:rPr>
          <w:rFonts w:hint="eastAsia" w:ascii="宋体" w:hAnsi="宋体" w:eastAsia="宋体" w:cs="宋体"/>
          <w:bCs/>
          <w:color w:val="auto"/>
          <w:sz w:val="28"/>
          <w:szCs w:val="28"/>
          <w:highlight w:val="none"/>
          <w:lang w:eastAsia="zh-CN"/>
        </w:rPr>
        <w:t>、</w:t>
      </w:r>
      <w:r>
        <w:rPr>
          <w:rFonts w:hint="eastAsia" w:ascii="宋体" w:hAnsi="宋体" w:eastAsia="宋体" w:cs="宋体"/>
          <w:bCs/>
          <w:color w:val="auto"/>
          <w:sz w:val="28"/>
          <w:szCs w:val="28"/>
          <w:highlight w:val="none"/>
        </w:rPr>
        <w:t>员工宿舍</w:t>
      </w:r>
      <w:r>
        <w:rPr>
          <w:rFonts w:hint="eastAsia" w:ascii="宋体" w:hAnsi="宋体" w:eastAsia="宋体" w:cs="宋体"/>
          <w:color w:val="auto"/>
          <w:sz w:val="28"/>
          <w:szCs w:val="28"/>
          <w:highlight w:val="none"/>
          <w:lang w:eastAsia="zh-CN"/>
        </w:rPr>
        <w:t>和值班室；</w:t>
      </w:r>
      <w:r>
        <w:rPr>
          <w:rFonts w:hint="eastAsia" w:ascii="宋体" w:hAnsi="宋体" w:eastAsia="宋体" w:cs="宋体"/>
          <w:color w:val="auto"/>
          <w:sz w:val="28"/>
          <w:szCs w:val="28"/>
          <w:highlight w:val="none"/>
        </w:rPr>
        <w:t>北面为发电房</w:t>
      </w:r>
      <w:r>
        <w:rPr>
          <w:rFonts w:hint="eastAsia" w:ascii="宋体" w:hAnsi="宋体" w:eastAsia="宋体" w:cs="宋体"/>
          <w:color w:val="auto"/>
          <w:sz w:val="28"/>
          <w:szCs w:val="28"/>
          <w:highlight w:val="none"/>
          <w:lang w:eastAsia="zh-CN"/>
        </w:rPr>
        <w:t>（空置）</w:t>
      </w:r>
      <w:r>
        <w:rPr>
          <w:rFonts w:hint="eastAsia" w:ascii="宋体" w:hAnsi="宋体" w:eastAsia="宋体" w:cs="宋体"/>
          <w:color w:val="auto"/>
          <w:sz w:val="28"/>
          <w:szCs w:val="28"/>
          <w:highlight w:val="none"/>
        </w:rPr>
        <w:t>。危化品仓库</w:t>
      </w:r>
      <w:r>
        <w:rPr>
          <w:rFonts w:hint="eastAsia" w:ascii="宋体" w:hAnsi="宋体" w:eastAsia="宋体" w:cs="宋体"/>
          <w:color w:val="auto"/>
          <w:sz w:val="28"/>
          <w:szCs w:val="28"/>
          <w:highlight w:val="none"/>
          <w:lang w:eastAsia="zh-CN"/>
        </w:rPr>
        <w:t>总平面布置情况</w:t>
      </w:r>
      <w:r>
        <w:rPr>
          <w:rFonts w:hint="eastAsia" w:ascii="宋体" w:hAnsi="宋体" w:eastAsia="宋体" w:cs="宋体"/>
          <w:color w:val="auto"/>
          <w:sz w:val="28"/>
          <w:szCs w:val="28"/>
          <w:highlight w:val="none"/>
        </w:rPr>
        <w:t>见下表</w:t>
      </w:r>
      <w:r>
        <w:rPr>
          <w:rFonts w:hint="eastAsia" w:ascii="宋体" w:hAnsi="宋体" w:eastAsia="宋体" w:cs="宋体"/>
          <w:color w:val="auto"/>
          <w:sz w:val="28"/>
          <w:szCs w:val="28"/>
          <w:highlight w:val="none"/>
          <w:lang w:val="en-US" w:eastAsia="zh-CN"/>
        </w:rPr>
        <w:t>2.3-1</w:t>
      </w:r>
      <w:r>
        <w:rPr>
          <w:rFonts w:hint="eastAsia" w:ascii="宋体" w:hAnsi="宋体" w:eastAsia="宋体" w:cs="宋体"/>
          <w:color w:val="auto"/>
          <w:sz w:val="28"/>
          <w:szCs w:val="28"/>
          <w:highlight w:val="none"/>
        </w:rPr>
        <w:t>及图</w:t>
      </w:r>
      <w:r>
        <w:rPr>
          <w:rFonts w:hint="eastAsia" w:ascii="宋体" w:hAnsi="宋体" w:eastAsia="宋体" w:cs="宋体"/>
          <w:color w:val="auto"/>
          <w:sz w:val="28"/>
          <w:szCs w:val="28"/>
          <w:highlight w:val="none"/>
          <w:lang w:val="en-US" w:eastAsia="zh-CN"/>
        </w:rPr>
        <w:t>2.3-1</w:t>
      </w:r>
      <w:r>
        <w:rPr>
          <w:rFonts w:hint="eastAsia" w:ascii="宋体" w:hAnsi="宋体" w:eastAsia="宋体" w:cs="宋体"/>
          <w:color w:val="auto"/>
          <w:sz w:val="28"/>
          <w:szCs w:val="28"/>
          <w:highlight w:val="none"/>
        </w:rPr>
        <w:t>至图</w:t>
      </w:r>
      <w:r>
        <w:rPr>
          <w:rFonts w:hint="eastAsia" w:ascii="宋体" w:hAnsi="宋体" w:eastAsia="宋体" w:cs="宋体"/>
          <w:color w:val="auto"/>
          <w:sz w:val="28"/>
          <w:szCs w:val="28"/>
          <w:highlight w:val="none"/>
          <w:lang w:val="en-US" w:eastAsia="zh-CN"/>
        </w:rPr>
        <w:t>2.3-</w:t>
      </w:r>
      <w:r>
        <w:rPr>
          <w:rFonts w:hint="eastAsia" w:ascii="宋体" w:hAnsi="宋体" w:eastAsia="宋体" w:cs="宋体"/>
          <w:color w:val="auto"/>
          <w:sz w:val="28"/>
          <w:szCs w:val="28"/>
          <w:highlight w:val="none"/>
          <w:lang w:eastAsia="zh-CN"/>
        </w:rPr>
        <w:t>8</w:t>
      </w:r>
      <w:r>
        <w:rPr>
          <w:rFonts w:hint="eastAsia" w:ascii="宋体" w:hAnsi="宋体" w:eastAsia="宋体" w:cs="宋体"/>
          <w:color w:val="auto"/>
          <w:sz w:val="28"/>
          <w:szCs w:val="28"/>
          <w:highlight w:val="none"/>
        </w:rPr>
        <w:t>。</w:t>
      </w:r>
    </w:p>
    <w:p w14:paraId="580FA60C">
      <w:pPr>
        <w:pStyle w:val="16"/>
        <w:adjustRightInd w:val="0"/>
        <w:snapToGrid w:val="0"/>
        <w:spacing w:beforeLines="0" w:afterLines="0"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危化品仓库</w:t>
      </w:r>
      <w:r>
        <w:rPr>
          <w:rFonts w:hint="eastAsia" w:ascii="宋体" w:hAnsi="宋体" w:eastAsia="宋体" w:cs="宋体"/>
          <w:color w:val="auto"/>
          <w:sz w:val="28"/>
          <w:szCs w:val="28"/>
          <w:highlight w:val="none"/>
          <w:lang w:eastAsia="zh-CN"/>
        </w:rPr>
        <w:t>储存的易制爆化学品（双氧水、</w:t>
      </w:r>
      <w:r>
        <w:rPr>
          <w:rFonts w:hint="eastAsia" w:ascii="宋体" w:hAnsi="宋体" w:eastAsia="宋体" w:cs="宋体"/>
          <w:color w:val="auto"/>
          <w:sz w:val="28"/>
          <w:szCs w:val="28"/>
          <w:highlight w:val="none"/>
        </w:rPr>
        <w:t>六亚甲基四胺</w:t>
      </w:r>
      <w:r>
        <w:rPr>
          <w:rFonts w:hint="eastAsia" w:ascii="宋体" w:hAnsi="宋体" w:eastAsia="宋体" w:cs="宋体"/>
          <w:color w:val="auto"/>
          <w:sz w:val="28"/>
          <w:szCs w:val="28"/>
          <w:highlight w:val="none"/>
          <w:lang w:eastAsia="zh-CN"/>
        </w:rPr>
        <w:t>、硝酸银）的</w:t>
      </w:r>
      <w:r>
        <w:rPr>
          <w:rFonts w:hint="eastAsia" w:ascii="宋体" w:hAnsi="宋体" w:eastAsia="宋体" w:cs="宋体"/>
          <w:color w:val="auto"/>
          <w:sz w:val="28"/>
          <w:szCs w:val="28"/>
          <w:highlight w:val="none"/>
        </w:rPr>
        <w:t>保卫值班室、安防监控中心</w:t>
      </w:r>
      <w:r>
        <w:rPr>
          <w:rFonts w:hint="eastAsia" w:ascii="宋体" w:hAnsi="宋体" w:eastAsia="宋体" w:cs="宋体"/>
          <w:color w:val="auto"/>
          <w:sz w:val="28"/>
          <w:szCs w:val="28"/>
          <w:highlight w:val="none"/>
          <w:lang w:eastAsia="zh-CN"/>
        </w:rPr>
        <w:t>设置在其西南面的值班室；</w:t>
      </w:r>
      <w:r>
        <w:rPr>
          <w:rFonts w:hint="eastAsia" w:ascii="宋体" w:hAnsi="宋体" w:eastAsia="宋体" w:cs="宋体"/>
          <w:color w:val="auto"/>
          <w:sz w:val="28"/>
          <w:szCs w:val="28"/>
          <w:highlight w:val="none"/>
        </w:rPr>
        <w:t>危化品仓库</w:t>
      </w:r>
      <w:r>
        <w:rPr>
          <w:rFonts w:hint="eastAsia" w:ascii="宋体" w:hAnsi="宋体" w:eastAsia="宋体" w:cs="宋体"/>
          <w:color w:val="auto"/>
          <w:sz w:val="28"/>
          <w:szCs w:val="28"/>
          <w:highlight w:val="none"/>
          <w:lang w:eastAsia="zh-CN"/>
        </w:rPr>
        <w:t>设置的可燃气体检测报警器的控制单元设置在其东南面的应急物资库。</w:t>
      </w:r>
    </w:p>
    <w:p w14:paraId="7BFB91AD">
      <w:pPr>
        <w:pStyle w:val="16"/>
        <w:adjustRightInd w:val="0"/>
        <w:snapToGrid w:val="0"/>
        <w:spacing w:beforeLines="0" w:afterLines="0" w:line="360" w:lineRule="auto"/>
        <w:jc w:val="center"/>
        <w:rPr>
          <w:rFonts w:hint="eastAsia" w:ascii="黑体" w:hAnsi="黑体" w:eastAsia="黑体" w:cs="黑体"/>
          <w:b/>
          <w:bCs/>
          <w:color w:val="auto"/>
          <w:sz w:val="24"/>
          <w:szCs w:val="24"/>
          <w:highlight w:val="none"/>
        </w:rPr>
      </w:pPr>
      <w:r>
        <w:rPr>
          <w:rFonts w:hint="eastAsia" w:ascii="黑体" w:hAnsi="黑体" w:cs="黑体"/>
          <w:b/>
          <w:bCs/>
          <w:color w:val="auto"/>
          <w:sz w:val="24"/>
          <w:highlight w:val="none"/>
          <w:lang w:eastAsia="zh-CN"/>
        </w:rPr>
        <w:t>表</w:t>
      </w:r>
      <w:r>
        <w:rPr>
          <w:rFonts w:hint="eastAsia" w:ascii="黑体" w:hAnsi="黑体" w:cs="黑体"/>
          <w:b/>
          <w:bCs/>
          <w:color w:val="auto"/>
          <w:sz w:val="24"/>
          <w:highlight w:val="none"/>
          <w:lang w:val="en-US" w:eastAsia="zh-CN"/>
        </w:rPr>
        <w:t xml:space="preserve">2.3-1 </w:t>
      </w:r>
      <w:r>
        <w:rPr>
          <w:rFonts w:hint="eastAsia" w:ascii="黑体" w:hAnsi="黑体" w:eastAsia="黑体" w:cs="黑体"/>
          <w:b/>
          <w:bCs/>
          <w:color w:val="auto"/>
          <w:sz w:val="24"/>
          <w:szCs w:val="24"/>
          <w:highlight w:val="none"/>
        </w:rPr>
        <w:t>危化品仓库</w:t>
      </w:r>
      <w:r>
        <w:rPr>
          <w:rFonts w:hint="eastAsia" w:ascii="黑体" w:hAnsi="黑体" w:eastAsia="黑体" w:cs="黑体"/>
          <w:b/>
          <w:bCs/>
          <w:color w:val="auto"/>
          <w:sz w:val="24"/>
          <w:szCs w:val="24"/>
          <w:highlight w:val="none"/>
          <w:lang w:eastAsia="zh-CN"/>
        </w:rPr>
        <w:t>总平面布置情况</w:t>
      </w:r>
      <w:r>
        <w:rPr>
          <w:rFonts w:hint="eastAsia" w:ascii="黑体" w:hAnsi="黑体" w:eastAsia="黑体" w:cs="黑体"/>
          <w:b/>
          <w:bCs/>
          <w:color w:val="auto"/>
          <w:sz w:val="24"/>
          <w:szCs w:val="24"/>
          <w:highlight w:val="none"/>
        </w:rPr>
        <w:t>一览表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1841"/>
        <w:gridCol w:w="827"/>
        <w:gridCol w:w="2475"/>
        <w:gridCol w:w="1832"/>
        <w:gridCol w:w="1663"/>
      </w:tblGrid>
      <w:tr w14:paraId="5B5C2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01" w:type="pct"/>
            <w:vMerge w:val="restart"/>
            <w:vAlign w:val="center"/>
          </w:tcPr>
          <w:p w14:paraId="6C024435">
            <w:pPr>
              <w:adjustRightInd w:val="0"/>
              <w:snapToGrid w:val="0"/>
              <w:jc w:val="center"/>
              <w:rPr>
                <w:rFonts w:hint="eastAsia" w:ascii="宋体" w:hAnsi="宋体" w:eastAsia="宋体" w:cs="宋体"/>
                <w:b/>
                <w:bCs/>
                <w:color w:val="auto"/>
                <w:szCs w:val="21"/>
                <w:highlight w:val="none"/>
                <w:lang w:eastAsia="zh-CN"/>
              </w:rPr>
            </w:pPr>
            <w:r>
              <w:rPr>
                <w:rFonts w:hint="eastAsia" w:ascii="宋体" w:hAnsi="宋体" w:cs="宋体"/>
                <w:b/>
                <w:bCs/>
                <w:color w:val="auto"/>
                <w:szCs w:val="21"/>
                <w:highlight w:val="none"/>
                <w:lang w:eastAsia="zh-CN"/>
              </w:rPr>
              <w:t>序号</w:t>
            </w:r>
          </w:p>
        </w:tc>
        <w:tc>
          <w:tcPr>
            <w:tcW w:w="980" w:type="pct"/>
            <w:vMerge w:val="restart"/>
            <w:vAlign w:val="center"/>
          </w:tcPr>
          <w:p w14:paraId="2E79F4EC">
            <w:pPr>
              <w:adjustRightInd w:val="0"/>
              <w:snapToGrid w:val="0"/>
              <w:jc w:val="center"/>
              <w:rPr>
                <w:rFonts w:hint="eastAsia" w:ascii="宋体" w:hAnsi="宋体" w:eastAsia="宋体" w:cs="宋体"/>
                <w:b/>
                <w:bCs/>
                <w:color w:val="auto"/>
                <w:szCs w:val="21"/>
                <w:highlight w:val="none"/>
                <w:lang w:eastAsia="zh-CN"/>
              </w:rPr>
            </w:pPr>
            <w:r>
              <w:rPr>
                <w:rFonts w:hint="eastAsia" w:ascii="宋体" w:hAnsi="宋体" w:cs="宋体"/>
                <w:b/>
                <w:bCs/>
                <w:color w:val="auto"/>
                <w:szCs w:val="21"/>
                <w:highlight w:val="none"/>
                <w:lang w:eastAsia="zh-CN"/>
              </w:rPr>
              <w:t>建筑物</w:t>
            </w:r>
          </w:p>
        </w:tc>
        <w:tc>
          <w:tcPr>
            <w:tcW w:w="440" w:type="pct"/>
            <w:vAlign w:val="center"/>
          </w:tcPr>
          <w:p w14:paraId="34311FA7">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方位</w:t>
            </w:r>
          </w:p>
        </w:tc>
        <w:tc>
          <w:tcPr>
            <w:tcW w:w="1317" w:type="pct"/>
            <w:vAlign w:val="center"/>
          </w:tcPr>
          <w:p w14:paraId="4C83F1A2">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相邻建</w:t>
            </w:r>
            <w:r>
              <w:rPr>
                <w:rFonts w:hint="eastAsia" w:ascii="宋体" w:hAnsi="宋体" w:cs="宋体"/>
                <w:b/>
                <w:bCs/>
                <w:color w:val="auto"/>
                <w:szCs w:val="21"/>
                <w:highlight w:val="none"/>
                <w:lang w:eastAsia="zh-CN"/>
              </w:rPr>
              <w:t>（</w:t>
            </w:r>
            <w:r>
              <w:rPr>
                <w:rFonts w:hint="eastAsia" w:ascii="宋体" w:hAnsi="宋体" w:eastAsia="宋体" w:cs="宋体"/>
                <w:b/>
                <w:bCs/>
                <w:color w:val="auto"/>
                <w:szCs w:val="21"/>
                <w:highlight w:val="none"/>
              </w:rPr>
              <w:t>构</w:t>
            </w:r>
            <w:r>
              <w:rPr>
                <w:rFonts w:hint="eastAsia" w:ascii="宋体" w:hAnsi="宋体" w:cs="宋体"/>
                <w:b/>
                <w:bCs/>
                <w:color w:val="auto"/>
                <w:szCs w:val="21"/>
                <w:highlight w:val="none"/>
                <w:lang w:eastAsia="zh-CN"/>
              </w:rPr>
              <w:t>）</w:t>
            </w:r>
            <w:r>
              <w:rPr>
                <w:rFonts w:hint="eastAsia" w:ascii="宋体" w:hAnsi="宋体" w:eastAsia="宋体" w:cs="宋体"/>
                <w:b/>
                <w:bCs/>
                <w:color w:val="auto"/>
                <w:szCs w:val="21"/>
                <w:highlight w:val="none"/>
              </w:rPr>
              <w:t>筑物</w:t>
            </w:r>
          </w:p>
        </w:tc>
        <w:tc>
          <w:tcPr>
            <w:tcW w:w="975" w:type="pct"/>
            <w:vAlign w:val="center"/>
          </w:tcPr>
          <w:p w14:paraId="4E2B4BCE">
            <w:pPr>
              <w:adjustRightInd w:val="0"/>
              <w:snapToGrid w:val="0"/>
              <w:jc w:val="center"/>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eastAsia="zh-CN"/>
              </w:rPr>
              <w:t>火灾危险性类别</w:t>
            </w:r>
          </w:p>
        </w:tc>
        <w:tc>
          <w:tcPr>
            <w:tcW w:w="885" w:type="pct"/>
            <w:vAlign w:val="center"/>
          </w:tcPr>
          <w:p w14:paraId="5F2EFCCA">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耐火等级</w:t>
            </w:r>
          </w:p>
        </w:tc>
      </w:tr>
      <w:tr w14:paraId="486B2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01" w:type="pct"/>
            <w:vMerge w:val="restart"/>
            <w:vAlign w:val="center"/>
          </w:tcPr>
          <w:p w14:paraId="5128ED10">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980" w:type="pct"/>
            <w:vMerge w:val="restart"/>
            <w:vAlign w:val="center"/>
          </w:tcPr>
          <w:p w14:paraId="6134DB84">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危化品仓库</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甲</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二级</w:t>
            </w:r>
            <w:r>
              <w:rPr>
                <w:rFonts w:hint="eastAsia" w:ascii="宋体" w:hAnsi="宋体" w:eastAsia="宋体" w:cs="宋体"/>
                <w:color w:val="auto"/>
                <w:szCs w:val="21"/>
                <w:highlight w:val="none"/>
                <w:lang w:eastAsia="zh-CN"/>
              </w:rPr>
              <w:t>）</w:t>
            </w:r>
          </w:p>
        </w:tc>
        <w:tc>
          <w:tcPr>
            <w:tcW w:w="440" w:type="pct"/>
            <w:vMerge w:val="restart"/>
            <w:vAlign w:val="center"/>
          </w:tcPr>
          <w:p w14:paraId="58132C27">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东</w:t>
            </w:r>
          </w:p>
        </w:tc>
        <w:tc>
          <w:tcPr>
            <w:tcW w:w="1317" w:type="pct"/>
            <w:vAlign w:val="center"/>
          </w:tcPr>
          <w:p w14:paraId="541D0D53">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道路</w:t>
            </w:r>
          </w:p>
        </w:tc>
        <w:tc>
          <w:tcPr>
            <w:tcW w:w="975" w:type="pct"/>
            <w:vAlign w:val="center"/>
          </w:tcPr>
          <w:p w14:paraId="422E6E1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885" w:type="pct"/>
            <w:vAlign w:val="center"/>
          </w:tcPr>
          <w:p w14:paraId="6EB2D41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r>
      <w:tr w14:paraId="7F09E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01" w:type="pct"/>
            <w:vMerge w:val="continue"/>
            <w:vAlign w:val="center"/>
          </w:tcPr>
          <w:p w14:paraId="79686FE4">
            <w:pPr>
              <w:adjustRightInd w:val="0"/>
              <w:snapToGrid w:val="0"/>
              <w:jc w:val="center"/>
              <w:rPr>
                <w:rFonts w:hint="eastAsia" w:ascii="宋体" w:hAnsi="宋体" w:eastAsia="宋体" w:cs="宋体"/>
                <w:color w:val="auto"/>
                <w:szCs w:val="21"/>
                <w:highlight w:val="none"/>
              </w:rPr>
            </w:pPr>
          </w:p>
        </w:tc>
        <w:tc>
          <w:tcPr>
            <w:tcW w:w="980" w:type="pct"/>
            <w:vMerge w:val="continue"/>
            <w:vAlign w:val="center"/>
          </w:tcPr>
          <w:p w14:paraId="1FC0040E">
            <w:pPr>
              <w:adjustRightInd w:val="0"/>
              <w:snapToGrid w:val="0"/>
              <w:jc w:val="center"/>
              <w:rPr>
                <w:rFonts w:hint="eastAsia" w:ascii="宋体" w:hAnsi="宋体" w:eastAsia="宋体" w:cs="宋体"/>
                <w:color w:val="auto"/>
                <w:szCs w:val="21"/>
                <w:highlight w:val="none"/>
              </w:rPr>
            </w:pPr>
          </w:p>
        </w:tc>
        <w:tc>
          <w:tcPr>
            <w:tcW w:w="440" w:type="pct"/>
            <w:vMerge w:val="continue"/>
            <w:vAlign w:val="center"/>
          </w:tcPr>
          <w:p w14:paraId="5036E917">
            <w:pPr>
              <w:adjustRightInd w:val="0"/>
              <w:snapToGrid w:val="0"/>
              <w:jc w:val="center"/>
              <w:rPr>
                <w:rFonts w:hint="eastAsia" w:ascii="宋体" w:hAnsi="宋体" w:eastAsia="宋体" w:cs="宋体"/>
                <w:color w:val="auto"/>
                <w:szCs w:val="21"/>
                <w:highlight w:val="none"/>
              </w:rPr>
            </w:pPr>
          </w:p>
        </w:tc>
        <w:tc>
          <w:tcPr>
            <w:tcW w:w="1317" w:type="pct"/>
            <w:vAlign w:val="center"/>
          </w:tcPr>
          <w:p w14:paraId="53C49C6A">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树脂仓库</w:t>
            </w:r>
          </w:p>
        </w:tc>
        <w:tc>
          <w:tcPr>
            <w:tcW w:w="975" w:type="pct"/>
            <w:vAlign w:val="center"/>
          </w:tcPr>
          <w:p w14:paraId="6AAB7D92">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乙</w:t>
            </w:r>
          </w:p>
        </w:tc>
        <w:tc>
          <w:tcPr>
            <w:tcW w:w="885" w:type="pct"/>
            <w:vAlign w:val="center"/>
          </w:tcPr>
          <w:p w14:paraId="73D33B78">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二级</w:t>
            </w:r>
          </w:p>
        </w:tc>
      </w:tr>
      <w:tr w14:paraId="39D3A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01" w:type="pct"/>
            <w:vMerge w:val="continue"/>
            <w:vAlign w:val="center"/>
          </w:tcPr>
          <w:p w14:paraId="37AA2F42">
            <w:pPr>
              <w:adjustRightInd w:val="0"/>
              <w:snapToGrid w:val="0"/>
              <w:jc w:val="center"/>
              <w:rPr>
                <w:rFonts w:hint="eastAsia" w:ascii="宋体" w:hAnsi="宋体" w:eastAsia="宋体" w:cs="宋体"/>
                <w:color w:val="auto"/>
                <w:szCs w:val="21"/>
                <w:highlight w:val="none"/>
              </w:rPr>
            </w:pPr>
          </w:p>
        </w:tc>
        <w:tc>
          <w:tcPr>
            <w:tcW w:w="980" w:type="pct"/>
            <w:vMerge w:val="continue"/>
            <w:vAlign w:val="center"/>
          </w:tcPr>
          <w:p w14:paraId="277A9424">
            <w:pPr>
              <w:adjustRightInd w:val="0"/>
              <w:snapToGrid w:val="0"/>
              <w:jc w:val="center"/>
              <w:rPr>
                <w:rFonts w:hint="eastAsia" w:ascii="宋体" w:hAnsi="宋体" w:eastAsia="宋体" w:cs="宋体"/>
                <w:color w:val="auto"/>
                <w:szCs w:val="21"/>
                <w:highlight w:val="none"/>
              </w:rPr>
            </w:pPr>
          </w:p>
        </w:tc>
        <w:tc>
          <w:tcPr>
            <w:tcW w:w="440" w:type="pct"/>
            <w:vAlign w:val="center"/>
          </w:tcPr>
          <w:p w14:paraId="74A2C120">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东南</w:t>
            </w:r>
          </w:p>
        </w:tc>
        <w:tc>
          <w:tcPr>
            <w:tcW w:w="1317" w:type="pct"/>
            <w:vAlign w:val="center"/>
          </w:tcPr>
          <w:p w14:paraId="54CC5F4E">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eastAsia="zh-CN"/>
              </w:rPr>
              <w:t>应急物资库</w:t>
            </w:r>
          </w:p>
        </w:tc>
        <w:tc>
          <w:tcPr>
            <w:tcW w:w="975" w:type="pct"/>
            <w:vAlign w:val="center"/>
          </w:tcPr>
          <w:p w14:paraId="16170F25">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eastAsia="zh-CN"/>
              </w:rPr>
              <w:t>丙</w:t>
            </w:r>
          </w:p>
        </w:tc>
        <w:tc>
          <w:tcPr>
            <w:tcW w:w="885" w:type="pct"/>
            <w:vAlign w:val="center"/>
          </w:tcPr>
          <w:p w14:paraId="5DE4C654">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二级</w:t>
            </w:r>
          </w:p>
        </w:tc>
      </w:tr>
      <w:tr w14:paraId="6DDF0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01" w:type="pct"/>
            <w:vMerge w:val="continue"/>
            <w:vAlign w:val="center"/>
          </w:tcPr>
          <w:p w14:paraId="15F02FD2">
            <w:pPr>
              <w:adjustRightInd w:val="0"/>
              <w:snapToGrid w:val="0"/>
              <w:jc w:val="center"/>
              <w:rPr>
                <w:rFonts w:hint="eastAsia" w:ascii="宋体" w:hAnsi="宋体" w:eastAsia="宋体" w:cs="宋体"/>
                <w:color w:val="auto"/>
                <w:szCs w:val="21"/>
                <w:highlight w:val="none"/>
              </w:rPr>
            </w:pPr>
          </w:p>
        </w:tc>
        <w:tc>
          <w:tcPr>
            <w:tcW w:w="980" w:type="pct"/>
            <w:vMerge w:val="continue"/>
            <w:vAlign w:val="center"/>
          </w:tcPr>
          <w:p w14:paraId="46FDE8C1">
            <w:pPr>
              <w:adjustRightInd w:val="0"/>
              <w:snapToGrid w:val="0"/>
              <w:jc w:val="center"/>
              <w:rPr>
                <w:rFonts w:hint="eastAsia" w:ascii="宋体" w:hAnsi="宋体" w:eastAsia="宋体" w:cs="宋体"/>
                <w:color w:val="auto"/>
                <w:szCs w:val="21"/>
                <w:highlight w:val="none"/>
              </w:rPr>
            </w:pPr>
          </w:p>
        </w:tc>
        <w:tc>
          <w:tcPr>
            <w:tcW w:w="440" w:type="pct"/>
            <w:vAlign w:val="center"/>
          </w:tcPr>
          <w:p w14:paraId="0078B00E">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eastAsia="zh-CN"/>
              </w:rPr>
              <w:t>南</w:t>
            </w:r>
          </w:p>
        </w:tc>
        <w:tc>
          <w:tcPr>
            <w:tcW w:w="1317" w:type="pct"/>
            <w:vAlign w:val="center"/>
          </w:tcPr>
          <w:p w14:paraId="31338494">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污水处理</w:t>
            </w:r>
            <w:r>
              <w:rPr>
                <w:rFonts w:hint="eastAsia" w:ascii="宋体" w:hAnsi="宋体" w:eastAsia="宋体" w:cs="宋体"/>
                <w:color w:val="auto"/>
                <w:szCs w:val="21"/>
                <w:highlight w:val="none"/>
                <w:lang w:eastAsia="zh-CN"/>
              </w:rPr>
              <w:t>设施</w:t>
            </w:r>
            <w:r>
              <w:rPr>
                <w:rFonts w:hint="eastAsia" w:ascii="宋体" w:hAnsi="宋体" w:cs="宋体"/>
                <w:color w:val="auto"/>
                <w:szCs w:val="21"/>
                <w:highlight w:val="none"/>
                <w:lang w:eastAsia="zh-CN"/>
              </w:rPr>
              <w:t>（已停用）</w:t>
            </w:r>
          </w:p>
        </w:tc>
        <w:tc>
          <w:tcPr>
            <w:tcW w:w="975" w:type="pct"/>
            <w:vAlign w:val="center"/>
          </w:tcPr>
          <w:p w14:paraId="721CF6A1">
            <w:pPr>
              <w:pStyle w:val="16"/>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w:t>
            </w:r>
          </w:p>
        </w:tc>
        <w:tc>
          <w:tcPr>
            <w:tcW w:w="885" w:type="pct"/>
            <w:vAlign w:val="center"/>
          </w:tcPr>
          <w:p w14:paraId="4E68E3C3">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w:t>
            </w:r>
          </w:p>
        </w:tc>
      </w:tr>
      <w:tr w14:paraId="45189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01" w:type="pct"/>
            <w:vMerge w:val="continue"/>
            <w:vAlign w:val="center"/>
          </w:tcPr>
          <w:p w14:paraId="14E26A48">
            <w:pPr>
              <w:adjustRightInd w:val="0"/>
              <w:snapToGrid w:val="0"/>
              <w:jc w:val="center"/>
              <w:rPr>
                <w:rFonts w:hint="eastAsia" w:ascii="宋体" w:hAnsi="宋体" w:eastAsia="宋体" w:cs="宋体"/>
                <w:color w:val="auto"/>
                <w:szCs w:val="21"/>
                <w:highlight w:val="none"/>
              </w:rPr>
            </w:pPr>
          </w:p>
        </w:tc>
        <w:tc>
          <w:tcPr>
            <w:tcW w:w="980" w:type="pct"/>
            <w:vMerge w:val="continue"/>
            <w:vAlign w:val="center"/>
          </w:tcPr>
          <w:p w14:paraId="2C725E0F">
            <w:pPr>
              <w:adjustRightInd w:val="0"/>
              <w:snapToGrid w:val="0"/>
              <w:jc w:val="center"/>
              <w:rPr>
                <w:rFonts w:hint="eastAsia" w:ascii="宋体" w:hAnsi="宋体" w:eastAsia="宋体" w:cs="宋体"/>
                <w:color w:val="auto"/>
                <w:szCs w:val="21"/>
                <w:highlight w:val="none"/>
              </w:rPr>
            </w:pPr>
          </w:p>
        </w:tc>
        <w:tc>
          <w:tcPr>
            <w:tcW w:w="440" w:type="pct"/>
            <w:vAlign w:val="center"/>
          </w:tcPr>
          <w:p w14:paraId="08203E4A">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西北</w:t>
            </w:r>
          </w:p>
        </w:tc>
        <w:tc>
          <w:tcPr>
            <w:tcW w:w="1317" w:type="pct"/>
            <w:vAlign w:val="center"/>
          </w:tcPr>
          <w:p w14:paraId="777A8241">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办公</w:t>
            </w:r>
            <w:r>
              <w:rPr>
                <w:rFonts w:hint="eastAsia" w:ascii="宋体" w:hAnsi="宋体" w:eastAsia="宋体" w:cs="宋体"/>
                <w:color w:val="auto"/>
                <w:szCs w:val="21"/>
                <w:highlight w:val="none"/>
                <w:lang w:eastAsia="zh-CN"/>
              </w:rPr>
              <w:t>大</w:t>
            </w:r>
            <w:r>
              <w:rPr>
                <w:rFonts w:hint="eastAsia" w:ascii="宋体" w:hAnsi="宋体" w:eastAsia="宋体" w:cs="宋体"/>
                <w:color w:val="auto"/>
                <w:szCs w:val="21"/>
                <w:highlight w:val="none"/>
              </w:rPr>
              <w:t>楼</w:t>
            </w:r>
            <w:r>
              <w:rPr>
                <w:rFonts w:hint="eastAsia" w:ascii="宋体" w:hAnsi="宋体" w:cs="宋体"/>
                <w:color w:val="auto"/>
                <w:szCs w:val="21"/>
                <w:highlight w:val="none"/>
                <w:lang w:eastAsia="zh-CN"/>
              </w:rPr>
              <w:t>（高度</w:t>
            </w:r>
            <w:r>
              <w:rPr>
                <w:rFonts w:hint="eastAsia" w:ascii="宋体" w:hAnsi="宋体" w:cs="宋体"/>
                <w:color w:val="auto"/>
                <w:szCs w:val="21"/>
                <w:highlight w:val="none"/>
              </w:rPr>
              <w:t>10.5米</w:t>
            </w:r>
            <w:r>
              <w:rPr>
                <w:rFonts w:hint="eastAsia" w:ascii="宋体" w:hAnsi="宋体" w:cs="宋体"/>
                <w:color w:val="auto"/>
                <w:szCs w:val="21"/>
                <w:highlight w:val="none"/>
                <w:lang w:eastAsia="zh-CN"/>
              </w:rPr>
              <w:t>）</w:t>
            </w:r>
          </w:p>
        </w:tc>
        <w:tc>
          <w:tcPr>
            <w:tcW w:w="975" w:type="pct"/>
            <w:vAlign w:val="center"/>
          </w:tcPr>
          <w:p w14:paraId="3D62636D">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民用</w:t>
            </w:r>
          </w:p>
        </w:tc>
        <w:tc>
          <w:tcPr>
            <w:tcW w:w="885" w:type="pct"/>
            <w:vAlign w:val="center"/>
          </w:tcPr>
          <w:p w14:paraId="569D2F33">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二级</w:t>
            </w:r>
          </w:p>
        </w:tc>
      </w:tr>
      <w:tr w14:paraId="1FA66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01" w:type="pct"/>
            <w:vMerge w:val="continue"/>
            <w:vAlign w:val="center"/>
          </w:tcPr>
          <w:p w14:paraId="2CD3CB8D">
            <w:pPr>
              <w:adjustRightInd w:val="0"/>
              <w:snapToGrid w:val="0"/>
              <w:jc w:val="center"/>
              <w:rPr>
                <w:rFonts w:hint="eastAsia" w:ascii="宋体" w:hAnsi="宋体" w:eastAsia="宋体" w:cs="宋体"/>
                <w:color w:val="auto"/>
                <w:szCs w:val="21"/>
                <w:highlight w:val="none"/>
              </w:rPr>
            </w:pPr>
          </w:p>
        </w:tc>
        <w:tc>
          <w:tcPr>
            <w:tcW w:w="980" w:type="pct"/>
            <w:vMerge w:val="continue"/>
            <w:vAlign w:val="center"/>
          </w:tcPr>
          <w:p w14:paraId="145DC279">
            <w:pPr>
              <w:adjustRightInd w:val="0"/>
              <w:snapToGrid w:val="0"/>
              <w:jc w:val="center"/>
              <w:rPr>
                <w:rFonts w:hint="eastAsia" w:ascii="宋体" w:hAnsi="宋体" w:eastAsia="宋体" w:cs="宋体"/>
                <w:color w:val="auto"/>
                <w:szCs w:val="21"/>
                <w:highlight w:val="none"/>
              </w:rPr>
            </w:pPr>
          </w:p>
        </w:tc>
        <w:tc>
          <w:tcPr>
            <w:tcW w:w="440" w:type="pct"/>
            <w:vAlign w:val="center"/>
          </w:tcPr>
          <w:p w14:paraId="31B70331">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西南</w:t>
            </w:r>
          </w:p>
        </w:tc>
        <w:tc>
          <w:tcPr>
            <w:tcW w:w="1317" w:type="pct"/>
            <w:vAlign w:val="center"/>
          </w:tcPr>
          <w:p w14:paraId="6E55A84F">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宿舍</w:t>
            </w:r>
            <w:r>
              <w:rPr>
                <w:rFonts w:hint="eastAsia" w:ascii="宋体" w:hAnsi="宋体" w:cs="宋体"/>
                <w:color w:val="auto"/>
                <w:szCs w:val="21"/>
                <w:highlight w:val="none"/>
                <w:lang w:eastAsia="zh-CN"/>
              </w:rPr>
              <w:t>（</w:t>
            </w:r>
            <w:r>
              <w:rPr>
                <w:rFonts w:hint="eastAsia" w:ascii="宋体" w:hAnsi="宋体" w:cs="宋体"/>
                <w:color w:val="auto"/>
                <w:szCs w:val="21"/>
                <w:highlight w:val="none"/>
              </w:rPr>
              <w:t>高度15.5米</w:t>
            </w:r>
            <w:r>
              <w:rPr>
                <w:rFonts w:hint="eastAsia" w:ascii="宋体" w:hAnsi="宋体" w:cs="宋体"/>
                <w:color w:val="auto"/>
                <w:szCs w:val="21"/>
                <w:highlight w:val="none"/>
                <w:lang w:eastAsia="zh-CN"/>
              </w:rPr>
              <w:t>）</w:t>
            </w:r>
          </w:p>
        </w:tc>
        <w:tc>
          <w:tcPr>
            <w:tcW w:w="975" w:type="pct"/>
            <w:vAlign w:val="center"/>
          </w:tcPr>
          <w:p w14:paraId="228B642F">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民用</w:t>
            </w:r>
          </w:p>
        </w:tc>
        <w:tc>
          <w:tcPr>
            <w:tcW w:w="885" w:type="pct"/>
            <w:vAlign w:val="center"/>
          </w:tcPr>
          <w:p w14:paraId="472CA1A8">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二级</w:t>
            </w:r>
          </w:p>
        </w:tc>
      </w:tr>
      <w:tr w14:paraId="1E214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01" w:type="pct"/>
            <w:vMerge w:val="continue"/>
            <w:vAlign w:val="center"/>
          </w:tcPr>
          <w:p w14:paraId="12FF2F3B">
            <w:pPr>
              <w:adjustRightInd w:val="0"/>
              <w:snapToGrid w:val="0"/>
              <w:jc w:val="center"/>
              <w:rPr>
                <w:rFonts w:hint="eastAsia" w:ascii="宋体" w:hAnsi="宋体" w:eastAsia="宋体" w:cs="宋体"/>
                <w:color w:val="auto"/>
                <w:szCs w:val="21"/>
                <w:highlight w:val="none"/>
              </w:rPr>
            </w:pPr>
          </w:p>
        </w:tc>
        <w:tc>
          <w:tcPr>
            <w:tcW w:w="980" w:type="pct"/>
            <w:vMerge w:val="continue"/>
            <w:vAlign w:val="center"/>
          </w:tcPr>
          <w:p w14:paraId="20766F23">
            <w:pPr>
              <w:adjustRightInd w:val="0"/>
              <w:snapToGrid w:val="0"/>
              <w:jc w:val="center"/>
              <w:rPr>
                <w:rFonts w:hint="eastAsia" w:ascii="宋体" w:hAnsi="宋体" w:eastAsia="宋体" w:cs="宋体"/>
                <w:color w:val="auto"/>
                <w:szCs w:val="21"/>
                <w:highlight w:val="none"/>
              </w:rPr>
            </w:pPr>
          </w:p>
        </w:tc>
        <w:tc>
          <w:tcPr>
            <w:tcW w:w="440" w:type="pct"/>
            <w:vAlign w:val="center"/>
          </w:tcPr>
          <w:p w14:paraId="214A222D">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西南</w:t>
            </w:r>
          </w:p>
        </w:tc>
        <w:tc>
          <w:tcPr>
            <w:tcW w:w="1317" w:type="pct"/>
            <w:vAlign w:val="center"/>
          </w:tcPr>
          <w:p w14:paraId="29B228E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值班室</w:t>
            </w:r>
          </w:p>
        </w:tc>
        <w:tc>
          <w:tcPr>
            <w:tcW w:w="975" w:type="pct"/>
            <w:vAlign w:val="center"/>
          </w:tcPr>
          <w:p w14:paraId="7F3CE64B">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民用</w:t>
            </w:r>
          </w:p>
        </w:tc>
        <w:tc>
          <w:tcPr>
            <w:tcW w:w="885" w:type="pct"/>
            <w:vAlign w:val="center"/>
          </w:tcPr>
          <w:p w14:paraId="6BCB85BE">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二级</w:t>
            </w:r>
          </w:p>
        </w:tc>
      </w:tr>
      <w:tr w14:paraId="6722F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01" w:type="pct"/>
            <w:vMerge w:val="continue"/>
            <w:vAlign w:val="center"/>
          </w:tcPr>
          <w:p w14:paraId="75E09604">
            <w:pPr>
              <w:adjustRightInd w:val="0"/>
              <w:snapToGrid w:val="0"/>
              <w:jc w:val="center"/>
              <w:rPr>
                <w:rFonts w:hint="eastAsia" w:ascii="宋体" w:hAnsi="宋体" w:eastAsia="宋体" w:cs="宋体"/>
                <w:color w:val="auto"/>
                <w:szCs w:val="21"/>
                <w:highlight w:val="none"/>
              </w:rPr>
            </w:pPr>
          </w:p>
        </w:tc>
        <w:tc>
          <w:tcPr>
            <w:tcW w:w="980" w:type="pct"/>
            <w:vMerge w:val="continue"/>
            <w:vAlign w:val="center"/>
          </w:tcPr>
          <w:p w14:paraId="5B7BB681">
            <w:pPr>
              <w:adjustRightInd w:val="0"/>
              <w:snapToGrid w:val="0"/>
              <w:jc w:val="center"/>
              <w:rPr>
                <w:rFonts w:hint="eastAsia" w:ascii="宋体" w:hAnsi="宋体" w:eastAsia="宋体" w:cs="宋体"/>
                <w:color w:val="auto"/>
                <w:szCs w:val="21"/>
                <w:highlight w:val="none"/>
              </w:rPr>
            </w:pPr>
          </w:p>
        </w:tc>
        <w:tc>
          <w:tcPr>
            <w:tcW w:w="440" w:type="pct"/>
            <w:vAlign w:val="center"/>
          </w:tcPr>
          <w:p w14:paraId="157CA8AC">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eastAsia="zh-CN"/>
              </w:rPr>
              <w:t>北</w:t>
            </w:r>
          </w:p>
        </w:tc>
        <w:tc>
          <w:tcPr>
            <w:tcW w:w="1317" w:type="pct"/>
            <w:vAlign w:val="center"/>
          </w:tcPr>
          <w:p w14:paraId="1869CED1">
            <w:pPr>
              <w:pStyle w:val="16"/>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发电房</w:t>
            </w:r>
            <w:r>
              <w:rPr>
                <w:rFonts w:hint="eastAsia" w:ascii="宋体" w:hAnsi="宋体" w:eastAsia="宋体" w:cs="宋体"/>
                <w:color w:val="auto"/>
                <w:sz w:val="21"/>
                <w:szCs w:val="21"/>
                <w:highlight w:val="none"/>
                <w:lang w:eastAsia="zh-CN"/>
              </w:rPr>
              <w:t>（空置）</w:t>
            </w:r>
          </w:p>
        </w:tc>
        <w:tc>
          <w:tcPr>
            <w:tcW w:w="975" w:type="pct"/>
            <w:vAlign w:val="center"/>
          </w:tcPr>
          <w:p w14:paraId="514D193D">
            <w:pPr>
              <w:pStyle w:val="16"/>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丁</w:t>
            </w:r>
          </w:p>
        </w:tc>
        <w:tc>
          <w:tcPr>
            <w:tcW w:w="885" w:type="pct"/>
            <w:vAlign w:val="center"/>
          </w:tcPr>
          <w:p w14:paraId="15662F3F">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二级</w:t>
            </w:r>
          </w:p>
        </w:tc>
      </w:tr>
    </w:tbl>
    <w:p w14:paraId="280D0339">
      <w:pPr>
        <w:pStyle w:val="96"/>
        <w:ind w:firstLine="198" w:firstLineChars="71"/>
        <w:rPr>
          <w:rFonts w:cs="宋体"/>
          <w:color w:val="auto"/>
          <w:highlight w:val="none"/>
        </w:rPr>
      </w:pPr>
    </w:p>
    <w:p w14:paraId="513C92A3">
      <w:pPr>
        <w:adjustRightInd w:val="0"/>
        <w:snapToGrid w:val="0"/>
        <w:jc w:val="center"/>
        <w:rPr>
          <w:color w:val="auto"/>
          <w:highlight w:val="none"/>
        </w:rPr>
      </w:pPr>
      <w:r>
        <w:rPr>
          <w:color w:val="auto"/>
          <w:sz w:val="21"/>
          <w:highlight w:val="none"/>
        </w:rPr>
        <w:pict>
          <v:shape id="_x0000_s1110" o:spid="_x0000_s1110" o:spt="61" type="#_x0000_t61" style="position:absolute;left:0pt;margin-left:121.65pt;margin-top:264.65pt;height:18pt;width:57.75pt;z-index:251682816;mso-width-relative:page;mso-height-relative:page;" filled="f" stroked="t" coordsize="21600,21600" adj="24031,-13379">
            <v:path/>
            <v:fill on="f" focussize="0,0"/>
            <v:stroke color="#000000" joinstyle="miter"/>
            <v:imagedata o:title=""/>
            <o:lock v:ext="edit" aspectratio="f"/>
            <v:textbox>
              <w:txbxContent>
                <w:p w14:paraId="4D9D4E0C">
                  <w:pPr>
                    <w:jc w:val="center"/>
                    <w:rPr>
                      <w:rFonts w:hint="eastAsia" w:ascii="宋体" w:hAnsi="宋体" w:eastAsia="宋体" w:cs="宋体"/>
                      <w:color w:val="auto"/>
                      <w:sz w:val="15"/>
                      <w:szCs w:val="15"/>
                      <w:lang w:eastAsia="zh-CN"/>
                    </w:rPr>
                  </w:pPr>
                  <w:r>
                    <w:rPr>
                      <w:rFonts w:hint="eastAsia" w:ascii="宋体" w:hAnsi="宋体" w:cs="宋体"/>
                      <w:color w:val="auto"/>
                      <w:sz w:val="15"/>
                      <w:szCs w:val="15"/>
                      <w:lang w:eastAsia="zh-CN"/>
                    </w:rPr>
                    <w:t>危化品仓库</w:t>
                  </w:r>
                </w:p>
              </w:txbxContent>
            </v:textbox>
          </v:shape>
        </w:pict>
      </w:r>
      <w:r>
        <w:rPr>
          <w:color w:val="auto"/>
          <w:sz w:val="21"/>
          <w:highlight w:val="none"/>
        </w:rPr>
        <w:pict>
          <v:shape id="_x0000_s1076" o:spid="_x0000_s1076" o:spt="61" type="#_x0000_t61" style="position:absolute;left:0pt;margin-left:70.65pt;margin-top:222.4pt;height:45.6pt;width:41.65pt;z-index:251669504;mso-width-relative:page;mso-height-relative:page;" filled="f" stroked="t" coordsize="21600,21600" adj="-5678,57955">
            <v:path/>
            <v:fill on="f" focussize="0,0"/>
            <v:stroke color="#000000" joinstyle="miter"/>
            <v:imagedata o:title=""/>
            <o:lock v:ext="edit" aspectratio="f"/>
            <v:textbox>
              <w:txbxContent>
                <w:p w14:paraId="437542D2">
                  <w:pPr>
                    <w:jc w:val="center"/>
                    <w:rPr>
                      <w:rFonts w:hint="eastAsia" w:ascii="宋体" w:hAnsi="宋体" w:eastAsia="宋体" w:cs="宋体"/>
                      <w:color w:val="auto"/>
                      <w:sz w:val="15"/>
                      <w:szCs w:val="15"/>
                      <w:lang w:eastAsia="zh-CN"/>
                    </w:rPr>
                  </w:pPr>
                  <w:r>
                    <w:rPr>
                      <w:rFonts w:hint="eastAsia" w:ascii="宋体" w:hAnsi="宋体" w:cs="宋体"/>
                      <w:color w:val="auto"/>
                      <w:sz w:val="15"/>
                      <w:szCs w:val="15"/>
                    </w:rPr>
                    <w:t>保卫值班室、安防监控中心</w:t>
                  </w:r>
                </w:p>
              </w:txbxContent>
            </v:textbox>
          </v:shape>
        </w:pict>
      </w:r>
      <w:r>
        <w:rPr>
          <w:color w:val="auto"/>
          <w:sz w:val="21"/>
          <w:highlight w:val="none"/>
        </w:rPr>
        <w:pict>
          <v:shape id="_x0000_s1077" o:spid="_x0000_s1077" o:spt="61" type="#_x0000_t61" style="position:absolute;left:0pt;margin-left:133.7pt;margin-top:294.65pt;height:27pt;width:81.7pt;z-index:251670528;mso-width-relative:page;mso-height-relative:page;" filled="f" stroked="t" coordsize="21600,21600" adj="30761,-17919">
            <v:path/>
            <v:fill on="f" focussize="0,0"/>
            <v:stroke color="#000000" joinstyle="miter"/>
            <v:imagedata o:title=""/>
            <o:lock v:ext="edit" aspectratio="f"/>
            <v:textbox>
              <w:txbxContent>
                <w:p w14:paraId="09523C6B">
                  <w:pPr>
                    <w:jc w:val="center"/>
                    <w:rPr>
                      <w:rFonts w:hint="eastAsia" w:ascii="宋体" w:hAnsi="宋体" w:eastAsia="宋体" w:cs="宋体"/>
                      <w:color w:val="auto"/>
                      <w:sz w:val="15"/>
                      <w:szCs w:val="15"/>
                      <w:lang w:eastAsia="zh-CN"/>
                    </w:rPr>
                  </w:pPr>
                  <w:r>
                    <w:rPr>
                      <w:rFonts w:hint="eastAsia" w:ascii="宋体" w:hAnsi="宋体" w:cs="宋体"/>
                      <w:color w:val="auto"/>
                      <w:sz w:val="15"/>
                      <w:szCs w:val="15"/>
                    </w:rPr>
                    <w:t>可燃气体检测报警器的控制单元</w:t>
                  </w:r>
                </w:p>
              </w:txbxContent>
            </v:textbox>
          </v:shape>
        </w:pict>
      </w:r>
      <w:r>
        <w:rPr>
          <w:color w:val="auto"/>
          <w:highlight w:val="none"/>
        </w:rPr>
        <w:drawing>
          <wp:inline distT="0" distB="0" distL="114300" distR="114300">
            <wp:extent cx="5824855" cy="5169535"/>
            <wp:effectExtent l="0" t="0" r="444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stretch>
                      <a:fillRect/>
                    </a:stretch>
                  </pic:blipFill>
                  <pic:spPr>
                    <a:xfrm>
                      <a:off x="0" y="0"/>
                      <a:ext cx="5824855" cy="5169535"/>
                    </a:xfrm>
                    <a:prstGeom prst="rect">
                      <a:avLst/>
                    </a:prstGeom>
                    <a:noFill/>
                    <a:ln>
                      <a:noFill/>
                    </a:ln>
                  </pic:spPr>
                </pic:pic>
              </a:graphicData>
            </a:graphic>
          </wp:inline>
        </w:drawing>
      </w:r>
    </w:p>
    <w:p w14:paraId="4EB7794E">
      <w:pPr>
        <w:pStyle w:val="16"/>
        <w:adjustRightInd w:val="0"/>
        <w:snapToGrid w:val="0"/>
        <w:spacing w:line="360" w:lineRule="auto"/>
        <w:jc w:val="center"/>
        <w:rPr>
          <w:rFonts w:hint="eastAsia" w:ascii="黑体" w:hAnsi="黑体" w:eastAsia="黑体" w:cs="黑体"/>
          <w:b/>
          <w:bCs/>
          <w:color w:val="auto"/>
          <w:sz w:val="24"/>
          <w:szCs w:val="24"/>
          <w:highlight w:val="none"/>
        </w:rPr>
      </w:pPr>
      <w:r>
        <w:rPr>
          <w:rFonts w:hint="eastAsia" w:ascii="黑体" w:hAnsi="黑体" w:cs="黑体"/>
          <w:b/>
          <w:bCs/>
          <w:color w:val="auto"/>
          <w:sz w:val="24"/>
          <w:highlight w:val="none"/>
          <w:lang w:eastAsia="zh-CN"/>
        </w:rPr>
        <w:t>图</w:t>
      </w:r>
      <w:r>
        <w:rPr>
          <w:rFonts w:hint="eastAsia" w:ascii="黑体" w:hAnsi="黑体" w:cs="黑体"/>
          <w:b/>
          <w:bCs/>
          <w:color w:val="auto"/>
          <w:sz w:val="24"/>
          <w:highlight w:val="none"/>
          <w:lang w:val="en-US" w:eastAsia="zh-CN"/>
        </w:rPr>
        <w:t xml:space="preserve">2.3-1 </w:t>
      </w:r>
      <w:r>
        <w:rPr>
          <w:rFonts w:hint="eastAsia" w:ascii="黑体" w:hAnsi="黑体" w:eastAsia="黑体" w:cs="黑体"/>
          <w:b/>
          <w:bCs/>
          <w:color w:val="auto"/>
          <w:sz w:val="24"/>
          <w:szCs w:val="24"/>
          <w:highlight w:val="none"/>
        </w:rPr>
        <w:t>危化品仓库</w:t>
      </w:r>
      <w:r>
        <w:rPr>
          <w:rFonts w:hint="eastAsia" w:ascii="黑体" w:hAnsi="黑体" w:eastAsia="黑体" w:cs="黑体"/>
          <w:b/>
          <w:bCs/>
          <w:color w:val="auto"/>
          <w:sz w:val="24"/>
          <w:szCs w:val="24"/>
          <w:highlight w:val="none"/>
          <w:lang w:eastAsia="zh-CN"/>
        </w:rPr>
        <w:t>总平面布置</w:t>
      </w:r>
      <w:r>
        <w:rPr>
          <w:rFonts w:hint="eastAsia" w:ascii="黑体" w:hAnsi="黑体" w:eastAsia="黑体" w:cs="黑体"/>
          <w:b/>
          <w:bCs/>
          <w:color w:val="auto"/>
          <w:sz w:val="24"/>
          <w:szCs w:val="24"/>
          <w:highlight w:val="none"/>
        </w:rPr>
        <w:t>图</w:t>
      </w:r>
    </w:p>
    <w:p w14:paraId="13CBC895">
      <w:pPr>
        <w:adjustRightInd w:val="0"/>
        <w:snapToGrid w:val="0"/>
        <w:rPr>
          <w:rFonts w:hint="eastAsia"/>
          <w:color w:val="auto"/>
          <w:highlight w:val="none"/>
        </w:rPr>
      </w:pPr>
    </w:p>
    <w:p w14:paraId="341083FC">
      <w:pPr>
        <w:adjustRightInd w:val="0"/>
        <w:snapToGrid w:val="0"/>
        <w:spacing w:beforeLines="50" w:afterLines="0" w:line="360" w:lineRule="auto"/>
        <w:jc w:val="left"/>
        <w:outlineLvl w:val="1"/>
        <w:rPr>
          <w:rFonts w:hint="eastAsia" w:ascii="黑体" w:hAnsi="黑体" w:eastAsia="黑体" w:cs="Times New Roman"/>
          <w:b/>
          <w:color w:val="auto"/>
          <w:sz w:val="28"/>
          <w:szCs w:val="28"/>
          <w:highlight w:val="none"/>
          <w:lang w:eastAsia="zh-CN"/>
        </w:rPr>
      </w:pPr>
      <w:bookmarkStart w:id="384" w:name="_Toc60846582"/>
      <w:bookmarkStart w:id="385" w:name="_Toc28483"/>
      <w:bookmarkStart w:id="386" w:name="_Toc2394"/>
      <w:bookmarkStart w:id="387" w:name="_Toc23961"/>
      <w:bookmarkStart w:id="388" w:name="_Toc12639"/>
      <w:bookmarkStart w:id="389" w:name="_Toc3456"/>
      <w:bookmarkStart w:id="390" w:name="_Toc23898"/>
      <w:bookmarkStart w:id="391" w:name="_Toc22744"/>
      <w:bookmarkStart w:id="392" w:name="_Toc16164"/>
      <w:bookmarkStart w:id="393" w:name="_Toc21803"/>
      <w:bookmarkStart w:id="394" w:name="_Toc18441"/>
      <w:bookmarkStart w:id="395" w:name="_Toc30317"/>
      <w:bookmarkStart w:id="396" w:name="_Toc17959"/>
      <w:bookmarkStart w:id="397" w:name="_Toc20722"/>
      <w:bookmarkStart w:id="398" w:name="_Toc19152"/>
      <w:bookmarkStart w:id="399" w:name="_Toc30714"/>
      <w:bookmarkStart w:id="400" w:name="_Toc16352"/>
      <w:bookmarkStart w:id="401" w:name="_Toc13670"/>
      <w:r>
        <w:rPr>
          <w:rFonts w:ascii="黑体" w:hAnsi="黑体" w:eastAsia="黑体" w:cs="Times New Roman"/>
          <w:b/>
          <w:color w:val="auto"/>
          <w:sz w:val="28"/>
          <w:szCs w:val="28"/>
          <w:highlight w:val="none"/>
        </w:rPr>
        <w:t xml:space="preserve">2.4 </w:t>
      </w:r>
      <w:bookmarkEnd w:id="384"/>
      <w:r>
        <w:rPr>
          <w:rFonts w:hint="eastAsia" w:ascii="黑体" w:hAnsi="黑体" w:eastAsia="黑体" w:cs="Times New Roman"/>
          <w:b/>
          <w:color w:val="auto"/>
          <w:sz w:val="28"/>
          <w:szCs w:val="28"/>
          <w:highlight w:val="none"/>
          <w:lang w:eastAsia="zh-CN"/>
        </w:rPr>
        <w:t>建筑物</w:t>
      </w:r>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p>
    <w:p w14:paraId="3E3F8EC8">
      <w:pPr>
        <w:pStyle w:val="96"/>
        <w:spacing w:line="360" w:lineRule="auto"/>
        <w:ind w:firstLine="560"/>
        <w:rPr>
          <w:rFonts w:hint="eastAsia" w:ascii="宋体" w:hAnsi="宋体" w:cs="宋体"/>
          <w:color w:val="auto"/>
          <w:highlight w:val="none"/>
          <w:lang w:val="en-US" w:eastAsia="zh-CN"/>
        </w:rPr>
      </w:pPr>
      <w:r>
        <w:rPr>
          <w:rFonts w:hint="eastAsia" w:ascii="宋体" w:hAnsi="宋体" w:cs="宋体"/>
          <w:color w:val="auto"/>
          <w:highlight w:val="none"/>
        </w:rPr>
        <w:t>危化品仓库</w:t>
      </w:r>
      <w:r>
        <w:rPr>
          <w:rFonts w:hint="eastAsia" w:ascii="宋体" w:hAnsi="宋体"/>
          <w:color w:val="auto"/>
          <w:highlight w:val="none"/>
        </w:rPr>
        <w:t>所在建筑</w:t>
      </w:r>
      <w:r>
        <w:rPr>
          <w:rFonts w:hint="eastAsia" w:ascii="宋体" w:hAnsi="宋体"/>
          <w:color w:val="auto"/>
          <w:highlight w:val="none"/>
          <w:lang w:val="en-US" w:eastAsia="zh-CN"/>
        </w:rPr>
        <w:t>为地上</w:t>
      </w:r>
      <w:r>
        <w:rPr>
          <w:rFonts w:ascii="宋体" w:hAnsi="宋体"/>
          <w:color w:val="auto"/>
          <w:highlight w:val="none"/>
        </w:rPr>
        <w:t>4层，</w:t>
      </w:r>
      <w:r>
        <w:rPr>
          <w:rFonts w:hint="eastAsia" w:ascii="宋体" w:hAnsi="宋体"/>
          <w:color w:val="auto"/>
          <w:highlight w:val="none"/>
          <w:lang w:eastAsia="zh-CN"/>
        </w:rPr>
        <w:t>框架结构，建筑面积</w:t>
      </w:r>
      <w:r>
        <w:rPr>
          <w:rFonts w:hint="eastAsia" w:ascii="宋体" w:hAnsi="宋体"/>
          <w:color w:val="auto"/>
          <w:highlight w:val="none"/>
          <w:lang w:val="en-US" w:eastAsia="zh-CN"/>
        </w:rPr>
        <w:t>768</w:t>
      </w:r>
      <w:r>
        <w:rPr>
          <w:rFonts w:ascii="宋体" w:hAnsi="宋体" w:cs="宋体"/>
          <w:color w:val="auto"/>
          <w:highlight w:val="none"/>
        </w:rPr>
        <w:t>m</w:t>
      </w:r>
      <w:r>
        <w:rPr>
          <w:rFonts w:ascii="宋体" w:hAnsi="宋体" w:cs="宋体"/>
          <w:color w:val="auto"/>
          <w:highlight w:val="none"/>
          <w:vertAlign w:val="superscript"/>
        </w:rPr>
        <w:t>2</w:t>
      </w:r>
      <w:r>
        <w:rPr>
          <w:rFonts w:hint="eastAsia" w:ascii="宋体" w:hAnsi="宋体" w:cs="宋体"/>
          <w:color w:val="auto"/>
          <w:highlight w:val="none"/>
          <w:lang w:eastAsia="zh-CN"/>
        </w:rPr>
        <w:t>，建筑高度</w:t>
      </w:r>
      <w:r>
        <w:rPr>
          <w:rFonts w:hint="eastAsia" w:ascii="宋体" w:hAnsi="宋体" w:cs="宋体"/>
          <w:color w:val="auto"/>
          <w:highlight w:val="none"/>
          <w:lang w:val="en-US" w:eastAsia="zh-CN"/>
        </w:rPr>
        <w:t>17.5m，</w:t>
      </w:r>
      <w:r>
        <w:rPr>
          <w:rFonts w:hint="eastAsia"/>
          <w:color w:val="auto"/>
          <w:highlight w:val="none"/>
          <w:lang w:eastAsia="zh-CN"/>
        </w:rPr>
        <w:t>开工日期</w:t>
      </w:r>
      <w:r>
        <w:rPr>
          <w:rFonts w:hint="eastAsia"/>
          <w:color w:val="auto"/>
          <w:highlight w:val="none"/>
          <w:lang w:val="en-US" w:eastAsia="zh-CN"/>
        </w:rPr>
        <w:t>2000年9月25日，</w:t>
      </w:r>
      <w:r>
        <w:rPr>
          <w:rFonts w:hint="eastAsia"/>
          <w:color w:val="auto"/>
          <w:highlight w:val="none"/>
          <w:lang w:eastAsia="zh-CN"/>
        </w:rPr>
        <w:t>竣工日期</w:t>
      </w:r>
      <w:r>
        <w:rPr>
          <w:rFonts w:hint="eastAsia"/>
          <w:color w:val="auto"/>
          <w:highlight w:val="none"/>
          <w:lang w:val="en-US" w:eastAsia="zh-CN"/>
        </w:rPr>
        <w:t>2001年5月21日，于2001年9月26日在临海市住房和城乡建设规划局完成竣工验收备案。</w:t>
      </w:r>
      <w:r>
        <w:rPr>
          <w:rFonts w:hint="eastAsia" w:ascii="宋体" w:hAnsi="宋体" w:cs="宋体"/>
          <w:color w:val="auto"/>
          <w:highlight w:val="none"/>
          <w:lang w:eastAsia="zh-CN"/>
        </w:rPr>
        <w:t>于</w:t>
      </w:r>
      <w:r>
        <w:rPr>
          <w:rFonts w:hint="eastAsia" w:ascii="宋体" w:hAnsi="宋体" w:cs="宋体"/>
          <w:color w:val="auto"/>
          <w:highlight w:val="none"/>
          <w:lang w:val="en-US" w:eastAsia="zh-CN"/>
        </w:rPr>
        <w:t>2006年9月19日取得临海市公安局建筑工程消防设计验收意见书（临公消验【2006】第143号）。</w:t>
      </w:r>
    </w:p>
    <w:p w14:paraId="5486EE55">
      <w:pPr>
        <w:pStyle w:val="96"/>
        <w:spacing w:line="360" w:lineRule="auto"/>
        <w:ind w:firstLine="560"/>
        <w:rPr>
          <w:rFonts w:ascii="宋体" w:hAnsi="宋体" w:cs="宋体"/>
          <w:color w:val="auto"/>
          <w:highlight w:val="none"/>
        </w:rPr>
      </w:pPr>
      <w:r>
        <w:rPr>
          <w:rFonts w:hint="eastAsia" w:ascii="宋体" w:hAnsi="宋体" w:cs="宋体"/>
          <w:color w:val="auto"/>
          <w:highlight w:val="none"/>
        </w:rPr>
        <w:t>危化品仓库</w:t>
      </w:r>
      <w:r>
        <w:rPr>
          <w:rFonts w:hint="eastAsia" w:ascii="宋体" w:hAnsi="宋体"/>
          <w:color w:val="auto"/>
          <w:highlight w:val="none"/>
        </w:rPr>
        <w:t>所在建筑</w:t>
      </w:r>
      <w:r>
        <w:rPr>
          <w:rFonts w:hint="eastAsia" w:ascii="宋体" w:hAnsi="宋体"/>
          <w:color w:val="auto"/>
          <w:highlight w:val="none"/>
          <w:lang w:eastAsia="zh-CN"/>
        </w:rPr>
        <w:t>的</w:t>
      </w:r>
      <w:r>
        <w:rPr>
          <w:rFonts w:ascii="宋体" w:hAnsi="宋体"/>
          <w:color w:val="auto"/>
          <w:highlight w:val="none"/>
        </w:rPr>
        <w:t>1层</w:t>
      </w:r>
      <w:r>
        <w:rPr>
          <w:rFonts w:hint="eastAsia" w:ascii="宋体" w:hAnsi="宋体"/>
          <w:color w:val="auto"/>
          <w:highlight w:val="none"/>
          <w:lang w:eastAsia="zh-CN"/>
        </w:rPr>
        <w:t>于</w:t>
      </w:r>
      <w:r>
        <w:rPr>
          <w:rFonts w:hint="eastAsia" w:ascii="宋体" w:hAnsi="宋体"/>
          <w:color w:val="auto"/>
          <w:highlight w:val="none"/>
          <w:lang w:val="en-US" w:eastAsia="zh-CN"/>
        </w:rPr>
        <w:t>2017</w:t>
      </w:r>
      <w:r>
        <w:rPr>
          <w:rFonts w:hint="eastAsia" w:ascii="宋体" w:hAnsi="宋体"/>
          <w:color w:val="auto"/>
          <w:highlight w:val="none"/>
          <w:lang w:eastAsia="zh-CN"/>
        </w:rPr>
        <w:t>年开始作为</w:t>
      </w:r>
      <w:r>
        <w:rPr>
          <w:rFonts w:hint="eastAsia" w:ascii="宋体" w:hAnsi="宋体"/>
          <w:color w:val="auto"/>
          <w:highlight w:val="none"/>
        </w:rPr>
        <w:t>危化品仓库</w:t>
      </w:r>
      <w:r>
        <w:rPr>
          <w:rFonts w:hint="eastAsia" w:ascii="宋体" w:hAnsi="宋体"/>
          <w:color w:val="auto"/>
          <w:highlight w:val="none"/>
          <w:lang w:eastAsia="zh-CN"/>
        </w:rPr>
        <w:t>使用</w:t>
      </w:r>
      <w:r>
        <w:rPr>
          <w:rFonts w:hint="eastAsia" w:ascii="宋体" w:hAnsi="宋体"/>
          <w:color w:val="auto"/>
          <w:highlight w:val="none"/>
        </w:rPr>
        <w:t>，</w:t>
      </w:r>
      <w:r>
        <w:rPr>
          <w:rFonts w:hint="eastAsia" w:ascii="宋体" w:hAnsi="宋体"/>
          <w:color w:val="auto"/>
          <w:highlight w:val="none"/>
          <w:lang w:eastAsia="zh-CN"/>
        </w:rPr>
        <w:t>未向公安消防部门申报审批，</w:t>
      </w:r>
      <w:r>
        <w:rPr>
          <w:rFonts w:hint="eastAsia" w:ascii="宋体" w:hAnsi="宋体"/>
          <w:color w:val="auto"/>
          <w:highlight w:val="none"/>
        </w:rPr>
        <w:t>其余楼层空置</w:t>
      </w:r>
      <w:r>
        <w:rPr>
          <w:rFonts w:hint="eastAsia" w:ascii="宋体" w:hAnsi="宋体"/>
          <w:color w:val="auto"/>
          <w:highlight w:val="none"/>
          <w:lang w:eastAsia="zh-CN"/>
        </w:rPr>
        <w:t>（企业出具的相关说明见附件）</w:t>
      </w:r>
      <w:r>
        <w:rPr>
          <w:rFonts w:hint="eastAsia" w:ascii="宋体" w:hAnsi="宋体"/>
          <w:color w:val="auto"/>
          <w:highlight w:val="none"/>
        </w:rPr>
        <w:t>。</w:t>
      </w:r>
    </w:p>
    <w:p w14:paraId="1C273796">
      <w:pPr>
        <w:pStyle w:val="96"/>
        <w:spacing w:line="360" w:lineRule="auto"/>
        <w:ind w:firstLine="560"/>
        <w:rPr>
          <w:rFonts w:hint="default" w:ascii="宋体" w:hAnsi="宋体" w:cs="宋体"/>
          <w:color w:val="auto"/>
          <w:highlight w:val="none"/>
        </w:rPr>
      </w:pPr>
      <w:bookmarkStart w:id="402" w:name="_Toc498075567"/>
      <w:r>
        <w:rPr>
          <w:rFonts w:hint="eastAsia" w:ascii="宋体" w:hAnsi="宋体" w:eastAsia="宋体" w:cs="宋体"/>
          <w:color w:val="auto"/>
          <w:sz w:val="28"/>
          <w:szCs w:val="28"/>
          <w:highlight w:val="none"/>
          <w:lang w:eastAsia="zh-CN"/>
        </w:rPr>
        <w:t>以下</w:t>
      </w:r>
      <w:r>
        <w:rPr>
          <w:rFonts w:hint="eastAsia" w:ascii="宋体" w:hAnsi="宋体" w:eastAsia="宋体" w:cs="宋体"/>
          <w:color w:val="auto"/>
          <w:sz w:val="28"/>
          <w:szCs w:val="28"/>
          <w:highlight w:val="none"/>
        </w:rPr>
        <w:t>均以建北方向表述</w:t>
      </w:r>
      <w:r>
        <w:rPr>
          <w:rFonts w:hint="eastAsia" w:ascii="宋体" w:hAnsi="宋体" w:eastAsia="宋体" w:cs="宋体"/>
          <w:color w:val="auto"/>
          <w:sz w:val="28"/>
          <w:szCs w:val="28"/>
          <w:highlight w:val="none"/>
          <w:lang w:eastAsia="zh-CN"/>
        </w:rPr>
        <w:t>，</w:t>
      </w:r>
      <w:r>
        <w:rPr>
          <w:rFonts w:hint="eastAsia" w:ascii="宋体" w:hAnsi="宋体" w:cs="宋体"/>
          <w:color w:val="auto"/>
          <w:highlight w:val="none"/>
        </w:rPr>
        <w:t>危化品仓库面积为</w:t>
      </w:r>
      <w:r>
        <w:rPr>
          <w:rFonts w:ascii="宋体" w:hAnsi="宋体" w:cs="宋体"/>
          <w:color w:val="auto"/>
          <w:highlight w:val="none"/>
        </w:rPr>
        <w:t>175.</w:t>
      </w:r>
      <w:r>
        <w:rPr>
          <w:rFonts w:hint="eastAsia" w:ascii="宋体" w:hAnsi="宋体" w:cs="宋体"/>
          <w:color w:val="auto"/>
          <w:highlight w:val="none"/>
          <w:lang w:val="en-US" w:eastAsia="zh-CN"/>
        </w:rPr>
        <w:t>2</w:t>
      </w:r>
      <w:r>
        <w:rPr>
          <w:rFonts w:ascii="宋体" w:hAnsi="宋体" w:cs="宋体"/>
          <w:color w:val="auto"/>
          <w:highlight w:val="none"/>
        </w:rPr>
        <w:t>m</w:t>
      </w:r>
      <w:r>
        <w:rPr>
          <w:rFonts w:ascii="宋体" w:hAnsi="宋体" w:cs="宋体"/>
          <w:color w:val="auto"/>
          <w:highlight w:val="none"/>
          <w:vertAlign w:val="superscript"/>
        </w:rPr>
        <w:t>2</w:t>
      </w:r>
      <w:r>
        <w:rPr>
          <w:rFonts w:hint="eastAsia" w:ascii="宋体" w:hAnsi="宋体" w:cs="宋体"/>
          <w:color w:val="auto"/>
          <w:highlight w:val="none"/>
        </w:rPr>
        <w:t>。</w:t>
      </w:r>
      <w:r>
        <w:rPr>
          <w:rFonts w:hint="eastAsia" w:ascii="宋体" w:hAnsi="宋体" w:cs="宋体"/>
          <w:color w:val="auto"/>
          <w:highlight w:val="none"/>
          <w:lang w:eastAsia="zh-CN"/>
        </w:rPr>
        <w:t>用隔墙分隔成</w:t>
      </w:r>
      <w:r>
        <w:rPr>
          <w:rFonts w:hint="eastAsia" w:ascii="宋体" w:hAnsi="宋体" w:cs="宋体"/>
          <w:color w:val="auto"/>
          <w:highlight w:val="none"/>
          <w:lang w:val="en-US" w:eastAsia="zh-CN"/>
        </w:rPr>
        <w:t>4个隔间，1号仓储为一个隔间，面积5</w:t>
      </w:r>
      <w:r>
        <w:rPr>
          <w:rFonts w:ascii="宋体" w:hAnsi="宋体" w:cs="宋体"/>
          <w:color w:val="auto"/>
          <w:highlight w:val="none"/>
        </w:rPr>
        <w:t>m</w:t>
      </w:r>
      <w:r>
        <w:rPr>
          <w:rFonts w:ascii="宋体" w:hAnsi="宋体" w:cs="宋体"/>
          <w:color w:val="auto"/>
          <w:highlight w:val="none"/>
          <w:vertAlign w:val="superscript"/>
        </w:rPr>
        <w:t>2</w:t>
      </w:r>
      <w:r>
        <w:rPr>
          <w:rFonts w:hint="eastAsia" w:ascii="宋体" w:hAnsi="宋体" w:cs="宋体"/>
          <w:color w:val="auto"/>
          <w:highlight w:val="none"/>
          <w:vertAlign w:val="baseline"/>
          <w:lang w:eastAsia="zh-CN"/>
        </w:rPr>
        <w:t>，位于楼梯间北侧，该</w:t>
      </w:r>
      <w:r>
        <w:rPr>
          <w:rFonts w:hint="eastAsia" w:ascii="宋体" w:hAnsi="宋体" w:cs="宋体"/>
          <w:color w:val="auto"/>
          <w:highlight w:val="none"/>
          <w:lang w:val="en-US" w:eastAsia="zh-CN"/>
        </w:rPr>
        <w:t>隔间</w:t>
      </w:r>
      <w:r>
        <w:rPr>
          <w:rFonts w:hint="eastAsia" w:ascii="宋体" w:hAnsi="宋体" w:cs="宋体"/>
          <w:color w:val="auto"/>
          <w:highlight w:val="none"/>
          <w:vertAlign w:val="baseline"/>
          <w:lang w:eastAsia="zh-CN"/>
        </w:rPr>
        <w:t>朝楼梯间设置了门；</w:t>
      </w:r>
      <w:r>
        <w:rPr>
          <w:rFonts w:hint="eastAsia" w:ascii="宋体" w:hAnsi="宋体" w:cs="宋体"/>
          <w:color w:val="auto"/>
          <w:highlight w:val="none"/>
          <w:lang w:val="en-US" w:eastAsia="zh-CN"/>
        </w:rPr>
        <w:t>5号仓储为一个隔间，面积30</w:t>
      </w:r>
      <w:r>
        <w:rPr>
          <w:rFonts w:ascii="宋体" w:hAnsi="宋体" w:cs="宋体"/>
          <w:color w:val="auto"/>
          <w:highlight w:val="none"/>
        </w:rPr>
        <w:t>m</w:t>
      </w:r>
      <w:r>
        <w:rPr>
          <w:rFonts w:ascii="宋体" w:hAnsi="宋体" w:cs="宋体"/>
          <w:color w:val="auto"/>
          <w:highlight w:val="none"/>
          <w:vertAlign w:val="superscript"/>
        </w:rPr>
        <w:t>2</w:t>
      </w:r>
      <w:r>
        <w:rPr>
          <w:rFonts w:hint="eastAsia" w:ascii="宋体" w:hAnsi="宋体" w:cs="宋体"/>
          <w:color w:val="auto"/>
          <w:highlight w:val="none"/>
          <w:vertAlign w:val="baseline"/>
          <w:lang w:eastAsia="zh-CN"/>
        </w:rPr>
        <w:t>，位于</w:t>
      </w:r>
      <w:r>
        <w:rPr>
          <w:rFonts w:hint="eastAsia" w:ascii="宋体" w:hAnsi="宋体" w:cs="宋体"/>
          <w:color w:val="auto"/>
          <w:highlight w:val="none"/>
        </w:rPr>
        <w:t>危化品仓库</w:t>
      </w:r>
      <w:r>
        <w:rPr>
          <w:rFonts w:hint="eastAsia" w:ascii="宋体" w:hAnsi="宋体" w:cs="宋体"/>
          <w:color w:val="auto"/>
          <w:highlight w:val="none"/>
          <w:vertAlign w:val="baseline"/>
          <w:lang w:eastAsia="zh-CN"/>
        </w:rPr>
        <w:t>东南角，该</w:t>
      </w:r>
      <w:r>
        <w:rPr>
          <w:rFonts w:hint="eastAsia" w:ascii="宋体" w:hAnsi="宋体" w:cs="宋体"/>
          <w:color w:val="auto"/>
          <w:highlight w:val="none"/>
          <w:lang w:val="en-US" w:eastAsia="zh-CN"/>
        </w:rPr>
        <w:t>隔间</w:t>
      </w:r>
      <w:r>
        <w:rPr>
          <w:rFonts w:hint="eastAsia" w:ascii="宋体" w:hAnsi="宋体" w:cs="宋体"/>
          <w:color w:val="auto"/>
          <w:highlight w:val="none"/>
          <w:vertAlign w:val="baseline"/>
          <w:lang w:eastAsia="zh-CN"/>
        </w:rPr>
        <w:t>朝楼梯间设置了门</w:t>
      </w:r>
      <w:r>
        <w:rPr>
          <w:rFonts w:hint="eastAsia" w:ascii="宋体" w:hAnsi="宋体" w:cs="宋体"/>
          <w:color w:val="auto"/>
          <w:highlight w:val="none"/>
          <w:lang w:eastAsia="zh-CN"/>
        </w:rPr>
        <w:t>；</w:t>
      </w:r>
      <w:r>
        <w:rPr>
          <w:rFonts w:hint="eastAsia" w:ascii="宋体" w:hAnsi="宋体" w:cs="宋体"/>
          <w:color w:val="auto"/>
          <w:highlight w:val="none"/>
          <w:lang w:val="en-US" w:eastAsia="zh-CN"/>
        </w:rPr>
        <w:t>2号、3号、4号和6号仓储为一个隔间，面积140.2</w:t>
      </w:r>
      <w:r>
        <w:rPr>
          <w:rFonts w:ascii="宋体" w:hAnsi="宋体" w:cs="宋体"/>
          <w:color w:val="auto"/>
          <w:highlight w:val="none"/>
        </w:rPr>
        <w:t>m</w:t>
      </w:r>
      <w:r>
        <w:rPr>
          <w:rFonts w:ascii="宋体" w:hAnsi="宋体" w:cs="宋体"/>
          <w:color w:val="auto"/>
          <w:highlight w:val="none"/>
          <w:vertAlign w:val="superscript"/>
        </w:rPr>
        <w:t>2</w:t>
      </w:r>
      <w:r>
        <w:rPr>
          <w:rFonts w:hint="eastAsia" w:ascii="宋体" w:hAnsi="宋体" w:cs="宋体"/>
          <w:color w:val="auto"/>
          <w:highlight w:val="none"/>
          <w:lang w:eastAsia="zh-CN"/>
        </w:rPr>
        <w:t>，</w:t>
      </w:r>
      <w:r>
        <w:rPr>
          <w:rFonts w:hint="eastAsia" w:ascii="宋体" w:hAnsi="宋体" w:eastAsia="宋体" w:cs="宋体"/>
          <w:color w:val="auto"/>
          <w:sz w:val="28"/>
          <w:szCs w:val="28"/>
          <w:highlight w:val="none"/>
        </w:rPr>
        <w:t>2号</w:t>
      </w:r>
      <w:r>
        <w:rPr>
          <w:rFonts w:hint="eastAsia" w:ascii="宋体" w:hAnsi="宋体" w:cs="宋体"/>
          <w:color w:val="auto"/>
          <w:highlight w:val="none"/>
          <w:lang w:val="en-US" w:eastAsia="zh-CN"/>
        </w:rPr>
        <w:t>仓储</w:t>
      </w:r>
      <w:r>
        <w:rPr>
          <w:rFonts w:hint="eastAsia" w:ascii="宋体" w:hAnsi="宋体" w:eastAsia="宋体" w:cs="宋体"/>
          <w:color w:val="auto"/>
          <w:sz w:val="28"/>
          <w:szCs w:val="28"/>
          <w:highlight w:val="none"/>
        </w:rPr>
        <w:t>和3号</w:t>
      </w:r>
      <w:r>
        <w:rPr>
          <w:rFonts w:hint="eastAsia" w:ascii="宋体" w:hAnsi="宋体" w:cs="宋体"/>
          <w:color w:val="auto"/>
          <w:highlight w:val="none"/>
          <w:lang w:val="en-US" w:eastAsia="zh-CN"/>
        </w:rPr>
        <w:t>仓储</w:t>
      </w:r>
      <w:r>
        <w:rPr>
          <w:rFonts w:hint="eastAsia" w:ascii="宋体" w:hAnsi="宋体" w:eastAsia="宋体" w:cs="宋体"/>
          <w:color w:val="auto"/>
          <w:sz w:val="28"/>
          <w:szCs w:val="28"/>
          <w:highlight w:val="none"/>
        </w:rPr>
        <w:t>采用高</w:t>
      </w:r>
      <w:r>
        <w:rPr>
          <w:rFonts w:hint="eastAsia" w:ascii="宋体" w:hAnsi="宋体" w:cs="宋体"/>
          <w:color w:val="auto"/>
          <w:sz w:val="28"/>
          <w:szCs w:val="28"/>
          <w:highlight w:val="none"/>
          <w:lang w:eastAsia="zh-CN"/>
        </w:rPr>
        <w:t>约</w:t>
      </w:r>
      <w:r>
        <w:rPr>
          <w:rFonts w:hint="eastAsia" w:ascii="宋体" w:hAnsi="宋体" w:eastAsia="宋体" w:cs="宋体"/>
          <w:color w:val="auto"/>
          <w:sz w:val="28"/>
          <w:szCs w:val="28"/>
          <w:highlight w:val="none"/>
        </w:rPr>
        <w:t>1.2m隔墙</w:t>
      </w:r>
      <w:r>
        <w:rPr>
          <w:rFonts w:hint="eastAsia" w:ascii="宋体" w:hAnsi="宋体" w:cs="宋体"/>
          <w:color w:val="auto"/>
          <w:sz w:val="28"/>
          <w:szCs w:val="28"/>
          <w:highlight w:val="none"/>
          <w:lang w:eastAsia="zh-CN"/>
        </w:rPr>
        <w:t>分别分隔</w:t>
      </w:r>
      <w:r>
        <w:rPr>
          <w:rFonts w:hint="eastAsia" w:ascii="宋体" w:hAnsi="宋体" w:eastAsia="宋体" w:cs="宋体"/>
          <w:color w:val="auto"/>
          <w:sz w:val="28"/>
          <w:szCs w:val="28"/>
          <w:highlight w:val="none"/>
        </w:rPr>
        <w:t>为独立</w:t>
      </w:r>
      <w:r>
        <w:rPr>
          <w:rFonts w:hint="eastAsia" w:ascii="宋体" w:hAnsi="宋体" w:cs="宋体"/>
          <w:color w:val="auto"/>
          <w:sz w:val="28"/>
          <w:szCs w:val="28"/>
          <w:highlight w:val="none"/>
          <w:lang w:eastAsia="zh-CN"/>
        </w:rPr>
        <w:t>区域</w:t>
      </w:r>
      <w:r>
        <w:rPr>
          <w:rFonts w:hint="eastAsia" w:ascii="宋体" w:hAnsi="宋体" w:eastAsia="宋体" w:cs="宋体"/>
          <w:color w:val="auto"/>
          <w:sz w:val="28"/>
          <w:szCs w:val="28"/>
          <w:highlight w:val="none"/>
        </w:rPr>
        <w:t>，</w:t>
      </w:r>
      <w:r>
        <w:rPr>
          <w:rFonts w:hint="eastAsia" w:ascii="宋体" w:hAnsi="宋体" w:cs="宋体"/>
          <w:color w:val="auto"/>
          <w:highlight w:val="none"/>
          <w:lang w:val="en-US" w:eastAsia="zh-CN"/>
        </w:rPr>
        <w:t>2号、3号仓储</w:t>
      </w:r>
      <w:r>
        <w:rPr>
          <w:rFonts w:hint="eastAsia" w:ascii="宋体" w:hAnsi="宋体" w:cs="宋体"/>
          <w:color w:val="auto"/>
          <w:sz w:val="28"/>
          <w:szCs w:val="28"/>
          <w:highlight w:val="none"/>
          <w:lang w:eastAsia="zh-CN"/>
        </w:rPr>
        <w:t>北侧</w:t>
      </w:r>
      <w:r>
        <w:rPr>
          <w:rFonts w:hint="eastAsia" w:ascii="宋体" w:hAnsi="宋体" w:eastAsia="宋体" w:cs="宋体"/>
          <w:color w:val="auto"/>
          <w:sz w:val="28"/>
          <w:szCs w:val="28"/>
          <w:highlight w:val="none"/>
        </w:rPr>
        <w:t>分别设置了直通室外的向外开平推防火门</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rPr>
        <w:t>6号</w:t>
      </w:r>
      <w:r>
        <w:rPr>
          <w:rFonts w:hint="eastAsia" w:ascii="宋体" w:hAnsi="宋体" w:cs="宋体"/>
          <w:color w:val="auto"/>
          <w:highlight w:val="none"/>
          <w:lang w:val="en-US" w:eastAsia="zh-CN"/>
        </w:rPr>
        <w:t>仓储</w:t>
      </w:r>
      <w:r>
        <w:rPr>
          <w:rFonts w:hint="eastAsia" w:ascii="宋体" w:hAnsi="宋体" w:eastAsia="宋体" w:cs="宋体"/>
          <w:color w:val="auto"/>
          <w:sz w:val="28"/>
          <w:szCs w:val="28"/>
          <w:highlight w:val="none"/>
        </w:rPr>
        <w:t>和4号</w:t>
      </w:r>
      <w:r>
        <w:rPr>
          <w:rFonts w:hint="eastAsia" w:ascii="宋体" w:hAnsi="宋体" w:cs="宋体"/>
          <w:color w:val="auto"/>
          <w:highlight w:val="none"/>
          <w:lang w:val="en-US" w:eastAsia="zh-CN"/>
        </w:rPr>
        <w:t>仓储</w:t>
      </w:r>
      <w:r>
        <w:rPr>
          <w:rFonts w:hint="eastAsia" w:ascii="宋体" w:hAnsi="宋体" w:eastAsia="宋体" w:cs="宋体"/>
          <w:color w:val="auto"/>
          <w:sz w:val="28"/>
          <w:szCs w:val="28"/>
          <w:highlight w:val="none"/>
        </w:rPr>
        <w:t>共用一个疏散门，4号</w:t>
      </w:r>
      <w:r>
        <w:rPr>
          <w:rFonts w:hint="eastAsia" w:ascii="宋体" w:hAnsi="宋体" w:cs="宋体"/>
          <w:color w:val="auto"/>
          <w:highlight w:val="none"/>
          <w:lang w:val="en-US" w:eastAsia="zh-CN"/>
        </w:rPr>
        <w:t>仓储</w:t>
      </w:r>
      <w:r>
        <w:rPr>
          <w:rFonts w:hint="eastAsia" w:ascii="宋体" w:hAnsi="宋体" w:cs="宋体"/>
          <w:color w:val="auto"/>
          <w:sz w:val="28"/>
          <w:szCs w:val="28"/>
          <w:highlight w:val="none"/>
          <w:lang w:eastAsia="zh-CN"/>
        </w:rPr>
        <w:t>靠近门口</w:t>
      </w:r>
      <w:r>
        <w:rPr>
          <w:rFonts w:hint="eastAsia" w:ascii="宋体" w:hAnsi="宋体" w:cs="宋体"/>
          <w:color w:val="auto"/>
          <w:highlight w:val="none"/>
          <w:lang w:eastAsia="zh-CN"/>
        </w:rPr>
        <w:t>，该</w:t>
      </w:r>
      <w:r>
        <w:rPr>
          <w:rFonts w:hint="eastAsia" w:ascii="宋体" w:hAnsi="宋体" w:cs="宋体"/>
          <w:color w:val="auto"/>
          <w:highlight w:val="none"/>
          <w:lang w:val="en-US" w:eastAsia="zh-CN"/>
        </w:rPr>
        <w:t>隔间</w:t>
      </w:r>
      <w:r>
        <w:rPr>
          <w:rFonts w:hint="eastAsia" w:ascii="宋体" w:hAnsi="宋体" w:cs="宋体"/>
          <w:color w:val="auto"/>
          <w:highlight w:val="none"/>
          <w:lang w:eastAsia="zh-CN"/>
        </w:rPr>
        <w:t>南</w:t>
      </w:r>
      <w:r>
        <w:rPr>
          <w:rFonts w:ascii="宋体" w:hAnsi="宋体" w:cs="宋体"/>
          <w:color w:val="auto"/>
          <w:highlight w:val="none"/>
        </w:rPr>
        <w:t>侧设置有3个</w:t>
      </w:r>
      <w:r>
        <w:rPr>
          <w:rFonts w:hint="eastAsia" w:ascii="宋体" w:hAnsi="宋体" w:cs="宋体"/>
          <w:color w:val="auto"/>
          <w:highlight w:val="none"/>
        </w:rPr>
        <w:t>尺寸为</w:t>
      </w:r>
      <w:r>
        <w:rPr>
          <w:rFonts w:ascii="宋体" w:hAnsi="宋体" w:cs="宋体"/>
          <w:color w:val="auto"/>
          <w:highlight w:val="none"/>
        </w:rPr>
        <w:t>3m</w:t>
      </w:r>
      <w:r>
        <w:rPr>
          <w:rFonts w:hint="eastAsia" w:ascii="宋体" w:hAnsi="宋体" w:cs="宋体"/>
          <w:color w:val="auto"/>
          <w:highlight w:val="none"/>
        </w:rPr>
        <w:t>×</w:t>
      </w:r>
      <w:r>
        <w:rPr>
          <w:rFonts w:ascii="宋体" w:hAnsi="宋体" w:cs="宋体"/>
          <w:color w:val="auto"/>
          <w:highlight w:val="none"/>
        </w:rPr>
        <w:t>2.5m</w:t>
      </w:r>
      <w:r>
        <w:rPr>
          <w:rFonts w:hint="eastAsia" w:ascii="宋体" w:hAnsi="宋体" w:cs="宋体"/>
          <w:color w:val="auto"/>
          <w:highlight w:val="none"/>
        </w:rPr>
        <w:t>玻璃窗户</w:t>
      </w:r>
      <w:r>
        <w:rPr>
          <w:rFonts w:hint="eastAsia" w:ascii="宋体" w:hAnsi="宋体" w:cs="宋体"/>
          <w:color w:val="auto"/>
          <w:highlight w:val="none"/>
          <w:lang w:eastAsia="zh-CN"/>
        </w:rPr>
        <w:t>，</w:t>
      </w:r>
      <w:r>
        <w:rPr>
          <w:rFonts w:ascii="宋体" w:hAnsi="宋体" w:cs="宋体"/>
          <w:color w:val="auto"/>
          <w:highlight w:val="none"/>
        </w:rPr>
        <w:t>3个</w:t>
      </w:r>
      <w:r>
        <w:rPr>
          <w:rFonts w:hint="eastAsia" w:ascii="宋体" w:hAnsi="宋体" w:cs="宋体"/>
          <w:color w:val="auto"/>
          <w:highlight w:val="none"/>
        </w:rPr>
        <w:t>玻璃窗户</w:t>
      </w:r>
      <w:r>
        <w:rPr>
          <w:rFonts w:hint="eastAsia" w:ascii="宋体" w:hAnsi="宋体" w:cs="宋体"/>
          <w:color w:val="auto"/>
          <w:highlight w:val="none"/>
          <w:lang w:eastAsia="zh-CN"/>
        </w:rPr>
        <w:t>均</w:t>
      </w:r>
      <w:r>
        <w:rPr>
          <w:rFonts w:hint="eastAsia" w:ascii="宋体" w:hAnsi="宋体" w:cs="宋体"/>
          <w:color w:val="auto"/>
          <w:highlight w:val="none"/>
        </w:rPr>
        <w:t>固定且密封。</w:t>
      </w:r>
      <w:r>
        <w:rPr>
          <w:rFonts w:hint="eastAsia" w:ascii="宋体" w:hAnsi="宋体" w:cs="宋体"/>
          <w:color w:val="auto"/>
          <w:highlight w:val="none"/>
          <w:lang w:val="en-US" w:eastAsia="zh-CN"/>
        </w:rPr>
        <w:t>7号仓储为一个隔间，面积2</w:t>
      </w:r>
      <w:r>
        <w:rPr>
          <w:rFonts w:ascii="宋体" w:hAnsi="宋体" w:cs="宋体"/>
          <w:color w:val="auto"/>
          <w:highlight w:val="none"/>
        </w:rPr>
        <w:t>m</w:t>
      </w:r>
      <w:r>
        <w:rPr>
          <w:rFonts w:ascii="宋体" w:hAnsi="宋体" w:cs="宋体"/>
          <w:color w:val="auto"/>
          <w:highlight w:val="none"/>
          <w:vertAlign w:val="superscript"/>
        </w:rPr>
        <w:t>2</w:t>
      </w:r>
      <w:r>
        <w:rPr>
          <w:rFonts w:hint="eastAsia" w:ascii="宋体" w:hAnsi="宋体" w:cs="宋体"/>
          <w:color w:val="auto"/>
          <w:highlight w:val="none"/>
          <w:vertAlign w:val="baseline"/>
          <w:lang w:eastAsia="zh-CN"/>
        </w:rPr>
        <w:t>，位于楼梯间，该</w:t>
      </w:r>
      <w:r>
        <w:rPr>
          <w:rFonts w:hint="eastAsia" w:ascii="宋体" w:hAnsi="宋体" w:cs="宋体"/>
          <w:color w:val="auto"/>
          <w:highlight w:val="none"/>
          <w:lang w:val="en-US" w:eastAsia="zh-CN"/>
        </w:rPr>
        <w:t>隔间</w:t>
      </w:r>
      <w:r>
        <w:rPr>
          <w:rFonts w:hint="eastAsia" w:ascii="宋体" w:hAnsi="宋体" w:cs="宋体"/>
          <w:color w:val="auto"/>
          <w:highlight w:val="none"/>
          <w:vertAlign w:val="baseline"/>
          <w:lang w:eastAsia="zh-CN"/>
        </w:rPr>
        <w:t>朝</w:t>
      </w:r>
      <w:r>
        <w:rPr>
          <w:rFonts w:hint="eastAsia" w:ascii="宋体" w:hAnsi="宋体" w:cs="宋体"/>
          <w:color w:val="auto"/>
          <w:highlight w:val="none"/>
          <w:vertAlign w:val="baseline"/>
          <w:lang w:val="en-US" w:eastAsia="zh-CN"/>
        </w:rPr>
        <w:t>北</w:t>
      </w:r>
      <w:r>
        <w:rPr>
          <w:rFonts w:hint="eastAsia" w:ascii="宋体" w:hAnsi="宋体" w:cs="宋体"/>
          <w:color w:val="auto"/>
          <w:highlight w:val="none"/>
          <w:vertAlign w:val="baseline"/>
          <w:lang w:eastAsia="zh-CN"/>
        </w:rPr>
        <w:t>设置了门；</w:t>
      </w:r>
    </w:p>
    <w:p w14:paraId="33A355B4">
      <w:pPr>
        <w:pStyle w:val="96"/>
        <w:spacing w:line="360" w:lineRule="auto"/>
        <w:ind w:firstLine="560"/>
        <w:rPr>
          <w:rFonts w:hint="eastAsia" w:ascii="宋体" w:hAnsi="宋体" w:cs="宋体"/>
          <w:color w:val="auto"/>
          <w:highlight w:val="none"/>
        </w:rPr>
      </w:pPr>
      <w:r>
        <w:rPr>
          <w:color w:val="auto"/>
          <w:sz w:val="28"/>
          <w:highlight w:val="none"/>
        </w:rPr>
        <w:pict>
          <v:rect id="_x0000_s1112" o:spid="_x0000_s1112" o:spt="1" style="position:absolute;left:0pt;margin-left:-10.05pt;margin-top:17.8pt;height:155.95pt;width:123.7pt;z-index:251683840;mso-width-relative:page;mso-height-relative:page;" fillcolor="#FFFFFF" filled="t" stroked="f" coordsize="21600,21600">
            <v:path/>
            <v:fill on="t" color2="#FFFFFF" focussize="0,0"/>
            <v:stroke on="f"/>
            <v:imagedata o:title=""/>
            <o:lock v:ext="edit" aspectratio="f"/>
            <v:textbox>
              <w:txbxContent>
                <w:p w14:paraId="79297B91">
                  <w:r>
                    <w:drawing>
                      <wp:inline distT="0" distB="0" distL="114300" distR="114300">
                        <wp:extent cx="1548765" cy="1936115"/>
                        <wp:effectExtent l="0" t="0" r="13335" b="698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21"/>
                                <a:stretch>
                                  <a:fillRect/>
                                </a:stretch>
                              </pic:blipFill>
                              <pic:spPr>
                                <a:xfrm>
                                  <a:off x="0" y="0"/>
                                  <a:ext cx="1548765" cy="1936115"/>
                                </a:xfrm>
                                <a:prstGeom prst="rect">
                                  <a:avLst/>
                                </a:prstGeom>
                                <a:noFill/>
                                <a:ln>
                                  <a:noFill/>
                                </a:ln>
                              </pic:spPr>
                            </pic:pic>
                          </a:graphicData>
                        </a:graphic>
                      </wp:inline>
                    </w:drawing>
                  </w:r>
                </w:p>
              </w:txbxContent>
            </v:textbox>
          </v:rect>
        </w:pict>
      </w:r>
      <w:r>
        <w:rPr>
          <w:rFonts w:hint="eastAsia" w:ascii="宋体" w:hAnsi="宋体" w:cs="宋体"/>
          <w:color w:val="auto"/>
          <w:highlight w:val="none"/>
        </w:rPr>
        <w:t>危化品仓库内部布置图见下图。</w:t>
      </w:r>
    </w:p>
    <w:p w14:paraId="5FCE467B">
      <w:pPr>
        <w:adjustRightInd w:val="0"/>
        <w:snapToGrid w:val="0"/>
        <w:spacing w:line="360" w:lineRule="auto"/>
        <w:jc w:val="center"/>
        <w:rPr>
          <w:color w:val="auto"/>
          <w:highlight w:val="none"/>
        </w:rPr>
      </w:pPr>
      <w:r>
        <w:rPr>
          <w:color w:val="auto"/>
          <w:sz w:val="21"/>
          <w:highlight w:val="none"/>
        </w:rPr>
        <w:pict>
          <v:shape id="_x0000_s1114" o:spid="_x0000_s1114" o:spt="61" type="#_x0000_t61" style="position:absolute;left:0pt;margin-left:35.25pt;margin-top:111.8pt;height:15.75pt;width:36.75pt;z-index:251685888;mso-width-relative:page;mso-height-relative:page;" fillcolor="#FFFFFF" filled="t" stroked="t" coordsize="21600,21600" adj="3851,-54215">
            <v:path/>
            <v:fill on="t" color2="#FFFFFF" focussize="0,0"/>
            <v:stroke color="#000000"/>
            <v:imagedata o:title=""/>
            <o:lock v:ext="edit" aspectratio="f"/>
            <v:textbox>
              <w:txbxContent>
                <w:p w14:paraId="37F95F3E">
                  <w:pPr>
                    <w:rPr>
                      <w:rFonts w:hint="default" w:eastAsia="宋体"/>
                      <w:sz w:val="11"/>
                      <w:szCs w:val="11"/>
                      <w:lang w:val="en-US" w:eastAsia="zh-CN"/>
                    </w:rPr>
                  </w:pPr>
                  <w:r>
                    <w:rPr>
                      <w:rFonts w:hint="eastAsia"/>
                      <w:sz w:val="11"/>
                      <w:szCs w:val="11"/>
                      <w:lang w:val="en-US" w:eastAsia="zh-CN"/>
                    </w:rPr>
                    <w:t>7号仓储</w:t>
                  </w:r>
                </w:p>
              </w:txbxContent>
            </v:textbox>
          </v:shape>
        </w:pict>
      </w:r>
      <w:r>
        <w:rPr>
          <w:color w:val="auto"/>
          <w:sz w:val="21"/>
          <w:highlight w:val="none"/>
        </w:rPr>
        <w:pict>
          <v:rect id="_x0000_s1113" o:spid="_x0000_s1113" o:spt="1" style="position:absolute;left:0pt;margin-left:36.7pt;margin-top:21.8pt;height:51pt;width:19.55pt;z-index:251684864;mso-width-relative:page;mso-height-relative:page;" fillcolor="#FFFFFF" filled="t" stroked="f" coordsize="21600,21600">
            <v:path/>
            <v:fill on="t" color2="#FFFFFF" focussize="0,0"/>
            <v:stroke on="f"/>
            <v:imagedata o:title=""/>
            <o:lock v:ext="edit" aspectratio="f"/>
            <v:textbox>
              <w:txbxContent>
                <w:p w14:paraId="2FB61A22">
                  <w:pPr>
                    <w:rPr>
                      <w:rFonts w:hint="eastAsia"/>
                      <w:sz w:val="16"/>
                      <w:szCs w:val="16"/>
                    </w:rPr>
                  </w:pPr>
                  <w:r>
                    <w:rPr>
                      <w:rFonts w:hint="eastAsia"/>
                      <w:sz w:val="11"/>
                      <w:szCs w:val="11"/>
                      <w:lang w:eastAsia="zh-CN"/>
                    </w:rPr>
                    <w:t>硝酸银、六亚</w:t>
                  </w:r>
                </w:p>
              </w:txbxContent>
            </v:textbox>
          </v:rect>
        </w:pict>
      </w:r>
      <w:r>
        <w:rPr>
          <w:color w:val="auto"/>
          <w:highlight w:val="none"/>
        </w:rPr>
        <w:drawing>
          <wp:inline distT="0" distB="0" distL="114300" distR="114300">
            <wp:extent cx="5804535" cy="4101465"/>
            <wp:effectExtent l="0" t="0" r="5715" b="13335"/>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22"/>
                    <a:stretch>
                      <a:fillRect/>
                    </a:stretch>
                  </pic:blipFill>
                  <pic:spPr>
                    <a:xfrm>
                      <a:off x="0" y="0"/>
                      <a:ext cx="5804535" cy="4101465"/>
                    </a:xfrm>
                    <a:prstGeom prst="rect">
                      <a:avLst/>
                    </a:prstGeom>
                    <a:noFill/>
                    <a:ln>
                      <a:noFill/>
                    </a:ln>
                  </pic:spPr>
                </pic:pic>
              </a:graphicData>
            </a:graphic>
          </wp:inline>
        </w:drawing>
      </w:r>
    </w:p>
    <w:p w14:paraId="2748BE1B">
      <w:pPr>
        <w:adjustRightInd w:val="0"/>
        <w:snapToGrid w:val="0"/>
        <w:spacing w:line="360" w:lineRule="auto"/>
        <w:jc w:val="center"/>
        <w:rPr>
          <w:rFonts w:hint="eastAsia" w:ascii="黑体" w:hAnsi="黑体" w:eastAsia="黑体" w:cs="黑体"/>
          <w:b/>
          <w:bCs/>
          <w:color w:val="auto"/>
          <w:sz w:val="24"/>
          <w:szCs w:val="24"/>
          <w:highlight w:val="none"/>
          <w:lang w:eastAsia="zh-CN"/>
        </w:rPr>
      </w:pPr>
      <w:r>
        <w:rPr>
          <w:rFonts w:hint="eastAsia" w:ascii="黑体" w:hAnsi="黑体" w:eastAsia="黑体" w:cs="黑体"/>
          <w:b/>
          <w:bCs/>
          <w:color w:val="auto"/>
          <w:sz w:val="24"/>
          <w:szCs w:val="24"/>
          <w:highlight w:val="none"/>
          <w:lang w:eastAsia="zh-CN"/>
        </w:rPr>
        <w:t>图</w:t>
      </w:r>
      <w:r>
        <w:rPr>
          <w:rFonts w:hint="eastAsia" w:ascii="黑体" w:hAnsi="黑体" w:eastAsia="黑体" w:cs="黑体"/>
          <w:b/>
          <w:bCs/>
          <w:color w:val="auto"/>
          <w:sz w:val="24"/>
          <w:szCs w:val="24"/>
          <w:highlight w:val="none"/>
          <w:lang w:val="en-US" w:eastAsia="zh-CN"/>
        </w:rPr>
        <w:t>2.4-2</w:t>
      </w:r>
      <w:r>
        <w:rPr>
          <w:rFonts w:hint="eastAsia" w:ascii="黑体" w:hAnsi="黑体" w:eastAsia="黑体" w:cs="黑体"/>
          <w:b/>
          <w:bCs/>
          <w:color w:val="auto"/>
          <w:sz w:val="24"/>
          <w:szCs w:val="24"/>
          <w:highlight w:val="none"/>
        </w:rPr>
        <w:t>危化品仓库</w:t>
      </w:r>
      <w:r>
        <w:rPr>
          <w:rFonts w:hint="eastAsia" w:ascii="黑体" w:hAnsi="黑体" w:eastAsia="黑体" w:cs="黑体"/>
          <w:b/>
          <w:bCs/>
          <w:color w:val="auto"/>
          <w:sz w:val="24"/>
          <w:szCs w:val="24"/>
          <w:highlight w:val="none"/>
          <w:lang w:eastAsia="zh-CN"/>
        </w:rPr>
        <w:t>平面布置图</w:t>
      </w:r>
    </w:p>
    <w:p w14:paraId="01E05897">
      <w:pPr>
        <w:adjustRightInd w:val="0"/>
        <w:snapToGrid w:val="0"/>
        <w:spacing w:beforeLines="0" w:afterLines="0" w:line="360" w:lineRule="auto"/>
        <w:jc w:val="left"/>
        <w:outlineLvl w:val="1"/>
        <w:rPr>
          <w:rFonts w:ascii="黑体" w:hAnsi="黑体" w:eastAsia="黑体" w:cs="Times New Roman"/>
          <w:b/>
          <w:color w:val="auto"/>
          <w:sz w:val="28"/>
          <w:szCs w:val="28"/>
          <w:highlight w:val="none"/>
        </w:rPr>
      </w:pPr>
      <w:bookmarkStart w:id="403" w:name="_Toc21362"/>
      <w:bookmarkStart w:id="404" w:name="_Toc26886"/>
      <w:bookmarkStart w:id="405" w:name="_Toc7699"/>
      <w:bookmarkStart w:id="406" w:name="_Toc16846"/>
      <w:bookmarkStart w:id="407" w:name="_Toc60846584"/>
      <w:bookmarkStart w:id="408" w:name="_Toc10529"/>
      <w:bookmarkStart w:id="409" w:name="_Toc31920"/>
      <w:bookmarkStart w:id="410" w:name="_Toc31571"/>
      <w:bookmarkStart w:id="411" w:name="_Toc25053"/>
      <w:bookmarkStart w:id="412" w:name="_Toc9311"/>
      <w:bookmarkStart w:id="413" w:name="_Toc24609"/>
      <w:bookmarkStart w:id="414" w:name="_Toc20640"/>
      <w:bookmarkStart w:id="415" w:name="_Toc8093"/>
      <w:bookmarkStart w:id="416" w:name="_Toc19395"/>
      <w:bookmarkStart w:id="417" w:name="_Toc13704"/>
      <w:bookmarkStart w:id="418" w:name="_Toc24739"/>
      <w:bookmarkStart w:id="419" w:name="_Toc11644"/>
      <w:bookmarkStart w:id="420" w:name="_Toc8586"/>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5</w:t>
      </w:r>
      <w:r>
        <w:rPr>
          <w:rFonts w:hint="eastAsia" w:ascii="黑体" w:hAnsi="黑体" w:eastAsia="黑体" w:cs="Times New Roman"/>
          <w:b/>
          <w:color w:val="auto"/>
          <w:sz w:val="28"/>
          <w:szCs w:val="28"/>
          <w:highlight w:val="none"/>
        </w:rPr>
        <w:t>危险化学品储存</w:t>
      </w:r>
      <w:bookmarkEnd w:id="402"/>
      <w:r>
        <w:rPr>
          <w:rFonts w:hint="eastAsia" w:ascii="黑体" w:hAnsi="黑体" w:eastAsia="黑体" w:cs="Times New Roman"/>
          <w:b/>
          <w:color w:val="auto"/>
          <w:sz w:val="28"/>
          <w:szCs w:val="28"/>
          <w:highlight w:val="none"/>
        </w:rPr>
        <w:t>工艺及装卸</w:t>
      </w:r>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14:paraId="1EB21187">
      <w:pPr>
        <w:pStyle w:val="96"/>
        <w:spacing w:line="360" w:lineRule="auto"/>
        <w:ind w:firstLine="560"/>
        <w:rPr>
          <w:rFonts w:cs="宋体"/>
          <w:color w:val="auto"/>
          <w:highlight w:val="none"/>
        </w:rPr>
      </w:pPr>
      <w:r>
        <w:rPr>
          <w:rFonts w:hint="eastAsia" w:cs="宋体"/>
          <w:color w:val="auto"/>
          <w:highlight w:val="none"/>
        </w:rPr>
        <w:t>本项目危险化学品由供货单位委托有资质单位负责运输到危化品仓库前面空地，采用佩戴有阻火器的重式内燃平衡叉车将危化品从货车上卸至空地地面上，</w:t>
      </w:r>
      <w:r>
        <w:rPr>
          <w:rFonts w:hint="eastAsia" w:cs="宋体"/>
          <w:color w:val="auto"/>
          <w:highlight w:val="none"/>
          <w:lang w:eastAsia="zh-CN"/>
        </w:rPr>
        <w:t>检验合格后</w:t>
      </w:r>
      <w:r>
        <w:rPr>
          <w:rFonts w:hint="eastAsia" w:cs="宋体"/>
          <w:color w:val="auto"/>
          <w:highlight w:val="none"/>
        </w:rPr>
        <w:t>由人工将危化品搬运至危化品仓库内。各部门再根据需求领用。</w:t>
      </w:r>
    </w:p>
    <w:p w14:paraId="06A53BB0">
      <w:pPr>
        <w:pStyle w:val="16"/>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危险化学品储存工艺流程框</w:t>
      </w:r>
      <w:r>
        <w:rPr>
          <w:rFonts w:hint="eastAsia" w:ascii="宋体" w:hAnsi="宋体" w:eastAsia="宋体" w:cs="宋体"/>
          <w:color w:val="auto"/>
          <w:sz w:val="28"/>
          <w:szCs w:val="28"/>
          <w:highlight w:val="none"/>
          <w:lang w:eastAsia="zh-CN"/>
        </w:rPr>
        <w:t>图</w:t>
      </w:r>
      <w:r>
        <w:rPr>
          <w:rFonts w:hint="eastAsia" w:ascii="宋体" w:hAnsi="宋体" w:eastAsia="宋体" w:cs="宋体"/>
          <w:color w:val="auto"/>
          <w:sz w:val="28"/>
          <w:szCs w:val="28"/>
          <w:highlight w:val="none"/>
        </w:rPr>
        <w:t>见</w:t>
      </w:r>
      <w:r>
        <w:rPr>
          <w:rFonts w:hint="eastAsia" w:ascii="宋体" w:hAnsi="宋体" w:eastAsia="宋体" w:cs="宋体"/>
          <w:color w:val="auto"/>
          <w:sz w:val="28"/>
          <w:szCs w:val="28"/>
          <w:highlight w:val="none"/>
          <w:lang w:eastAsia="zh-CN"/>
        </w:rPr>
        <w:t>下图</w:t>
      </w:r>
      <w:r>
        <w:rPr>
          <w:rFonts w:hint="eastAsia" w:ascii="宋体" w:hAnsi="宋体" w:eastAsia="宋体" w:cs="宋体"/>
          <w:color w:val="auto"/>
          <w:sz w:val="28"/>
          <w:szCs w:val="28"/>
          <w:highlight w:val="none"/>
        </w:rPr>
        <w:t>。</w:t>
      </w:r>
    </w:p>
    <w:p w14:paraId="49A98DEF">
      <w:pPr>
        <w:widowControl/>
        <w:adjustRightInd w:val="0"/>
        <w:snapToGrid w:val="0"/>
        <w:jc w:val="center"/>
        <w:rPr>
          <w:rFonts w:ascii="宋体" w:hAnsi="宋体" w:cs="宋体"/>
          <w:color w:val="auto"/>
          <w:kern w:val="0"/>
          <w:sz w:val="24"/>
          <w:highlight w:val="none"/>
        </w:rPr>
      </w:pPr>
      <w:r>
        <w:rPr>
          <w:rFonts w:ascii="宋体" w:hAnsi="宋体" w:cs="宋体"/>
          <w:color w:val="auto"/>
          <w:kern w:val="0"/>
          <w:sz w:val="24"/>
          <w:highlight w:val="none"/>
        </w:rPr>
        <w:drawing>
          <wp:inline distT="0" distB="0" distL="0" distR="0">
            <wp:extent cx="5543550" cy="609600"/>
            <wp:effectExtent l="0" t="0" r="0" b="0"/>
            <wp:docPr id="10" name="图片 9" descr="图示&#10;&#10;描述已自动生成"/>
            <wp:cNvGraphicFramePr/>
            <a:graphic xmlns:a="http://schemas.openxmlformats.org/drawingml/2006/main">
              <a:graphicData uri="http://schemas.openxmlformats.org/drawingml/2006/picture">
                <pic:pic xmlns:pic="http://schemas.openxmlformats.org/drawingml/2006/picture">
                  <pic:nvPicPr>
                    <pic:cNvPr id="10" name="图片 9" descr="图示&#10;&#10;描述已自动生成"/>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543550" cy="609600"/>
                    </a:xfrm>
                    <a:prstGeom prst="rect">
                      <a:avLst/>
                    </a:prstGeom>
                    <a:noFill/>
                    <a:ln>
                      <a:noFill/>
                    </a:ln>
                  </pic:spPr>
                </pic:pic>
              </a:graphicData>
            </a:graphic>
          </wp:inline>
        </w:drawing>
      </w:r>
    </w:p>
    <w:p w14:paraId="303560BA">
      <w:pPr>
        <w:pStyle w:val="96"/>
        <w:spacing w:line="360" w:lineRule="auto"/>
        <w:ind w:firstLine="0" w:firstLineChars="0"/>
        <w:jc w:val="center"/>
        <w:rPr>
          <w:rFonts w:ascii="黑体" w:hAnsi="黑体" w:eastAsia="黑体"/>
          <w:b/>
          <w:bCs/>
          <w:color w:val="auto"/>
          <w:sz w:val="24"/>
          <w:szCs w:val="24"/>
          <w:highlight w:val="none"/>
        </w:rPr>
      </w:pPr>
      <w:r>
        <w:rPr>
          <w:rFonts w:hint="eastAsia" w:ascii="黑体" w:hAnsi="黑体" w:eastAsia="黑体"/>
          <w:b/>
          <w:bCs/>
          <w:color w:val="auto"/>
          <w:sz w:val="24"/>
          <w:szCs w:val="24"/>
          <w:highlight w:val="none"/>
          <w:lang w:eastAsia="zh-CN"/>
        </w:rPr>
        <w:t>图</w:t>
      </w:r>
      <w:r>
        <w:rPr>
          <w:rFonts w:hint="eastAsia" w:ascii="黑体" w:hAnsi="黑体" w:eastAsia="黑体"/>
          <w:b/>
          <w:bCs/>
          <w:color w:val="auto"/>
          <w:sz w:val="24"/>
          <w:szCs w:val="24"/>
          <w:highlight w:val="none"/>
          <w:lang w:val="en-US" w:eastAsia="zh-CN"/>
        </w:rPr>
        <w:t xml:space="preserve">2.5-1 </w:t>
      </w:r>
      <w:r>
        <w:rPr>
          <w:rFonts w:hint="eastAsia" w:ascii="黑体" w:hAnsi="黑体" w:eastAsia="黑体"/>
          <w:b/>
          <w:bCs/>
          <w:color w:val="auto"/>
          <w:sz w:val="24"/>
          <w:szCs w:val="24"/>
          <w:highlight w:val="none"/>
        </w:rPr>
        <w:t>危险化学品储存工艺流程图</w:t>
      </w:r>
    </w:p>
    <w:p w14:paraId="2B00274E">
      <w:pPr>
        <w:adjustRightInd w:val="0"/>
        <w:snapToGrid w:val="0"/>
        <w:spacing w:beforeLines="0" w:afterLines="0" w:line="360" w:lineRule="auto"/>
        <w:jc w:val="left"/>
        <w:outlineLvl w:val="1"/>
        <w:rPr>
          <w:rFonts w:ascii="黑体" w:hAnsi="黑体" w:eastAsia="黑体" w:cs="Times New Roman"/>
          <w:b/>
          <w:color w:val="auto"/>
          <w:sz w:val="28"/>
          <w:szCs w:val="28"/>
          <w:highlight w:val="none"/>
        </w:rPr>
      </w:pPr>
      <w:bookmarkStart w:id="421" w:name="_Toc7658"/>
      <w:bookmarkStart w:id="422" w:name="_Toc25244"/>
      <w:bookmarkStart w:id="423" w:name="_Toc16882"/>
      <w:bookmarkStart w:id="424" w:name="_Toc31416"/>
      <w:bookmarkStart w:id="425" w:name="_Toc16727"/>
      <w:bookmarkStart w:id="426" w:name="_Toc7003"/>
      <w:bookmarkStart w:id="427" w:name="_Toc4440"/>
      <w:bookmarkStart w:id="428" w:name="_Toc60846585"/>
      <w:bookmarkStart w:id="429" w:name="_Toc26601"/>
      <w:bookmarkStart w:id="430" w:name="_Toc26412"/>
      <w:bookmarkStart w:id="431" w:name="_Toc22894"/>
      <w:bookmarkStart w:id="432" w:name="_Toc5127"/>
      <w:bookmarkStart w:id="433" w:name="_Toc20897"/>
      <w:bookmarkStart w:id="434" w:name="_Toc3121"/>
      <w:bookmarkStart w:id="435" w:name="_Toc6838"/>
      <w:bookmarkStart w:id="436" w:name="_Toc24693"/>
      <w:bookmarkStart w:id="437" w:name="_Toc17604"/>
      <w:bookmarkStart w:id="438" w:name="_Toc14439"/>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 xml:space="preserve">6 </w:t>
      </w:r>
      <w:r>
        <w:rPr>
          <w:rFonts w:hint="eastAsia" w:ascii="黑体" w:hAnsi="黑体" w:eastAsia="黑体" w:cs="Times New Roman"/>
          <w:b/>
          <w:color w:val="auto"/>
          <w:sz w:val="28"/>
          <w:szCs w:val="28"/>
          <w:highlight w:val="none"/>
        </w:rPr>
        <w:t>危险化学品储存</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14:paraId="116C7EB3">
      <w:pPr>
        <w:adjustRightInd w:val="0"/>
        <w:snapToGrid w:val="0"/>
        <w:spacing w:beforeLines="0" w:afterLines="0"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危化品仓库</w:t>
      </w:r>
      <w:r>
        <w:rPr>
          <w:rFonts w:hint="eastAsia" w:ascii="宋体" w:hAnsi="宋体" w:eastAsia="宋体" w:cs="宋体"/>
          <w:color w:val="auto"/>
          <w:sz w:val="28"/>
          <w:szCs w:val="28"/>
          <w:highlight w:val="none"/>
          <w:lang w:val="en-US" w:eastAsia="zh-CN"/>
        </w:rPr>
        <w:t>1号仓储用于储存盐酸；5号仓储用于储存</w:t>
      </w:r>
      <w:r>
        <w:rPr>
          <w:rFonts w:hint="eastAsia" w:ascii="宋体" w:hAnsi="宋体" w:eastAsia="宋体" w:cs="宋体"/>
          <w:color w:val="auto"/>
          <w:sz w:val="28"/>
          <w:szCs w:val="28"/>
          <w:highlight w:val="none"/>
        </w:rPr>
        <w:t>过氧化甲乙酮、过氧化二苯甲酰</w:t>
      </w:r>
      <w:r>
        <w:rPr>
          <w:rFonts w:hint="eastAsia" w:ascii="宋体" w:hAnsi="宋体" w:eastAsia="宋体" w:cs="宋体"/>
          <w:color w:val="auto"/>
          <w:sz w:val="28"/>
          <w:szCs w:val="28"/>
          <w:highlight w:val="none"/>
          <w:lang w:eastAsia="zh-CN"/>
        </w:rPr>
        <w:t>和</w:t>
      </w:r>
      <w:r>
        <w:rPr>
          <w:rFonts w:hint="eastAsia" w:ascii="宋体" w:hAnsi="宋体" w:eastAsia="宋体" w:cs="宋体"/>
          <w:color w:val="auto"/>
          <w:sz w:val="28"/>
          <w:szCs w:val="28"/>
          <w:highlight w:val="none"/>
        </w:rPr>
        <w:t>双氧水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2号仓储用于储存丙酮，3号仓储用于储存苯乙烯，4号仓储用于储存</w:t>
      </w:r>
      <w:r>
        <w:rPr>
          <w:rFonts w:hint="eastAsia" w:ascii="宋体" w:hAnsi="宋体" w:eastAsia="宋体" w:cs="宋体"/>
          <w:color w:val="auto"/>
          <w:sz w:val="28"/>
          <w:szCs w:val="28"/>
          <w:highlight w:val="none"/>
        </w:rPr>
        <w:t>钴盐</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shd w:val="clear" w:color="auto" w:fill="FFFFFF"/>
        </w:rPr>
        <w:t>异辛酸盐，丁醇</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6号仓储用于储存</w:t>
      </w:r>
      <w:r>
        <w:rPr>
          <w:rFonts w:hint="eastAsia" w:ascii="宋体" w:hAnsi="宋体" w:eastAsia="宋体" w:cs="宋体"/>
          <w:color w:val="auto"/>
          <w:sz w:val="28"/>
          <w:szCs w:val="28"/>
          <w:highlight w:val="none"/>
        </w:rPr>
        <w:t>油漆、</w:t>
      </w:r>
      <w:r>
        <w:rPr>
          <w:rFonts w:hint="eastAsia" w:ascii="宋体" w:hAnsi="宋体" w:cs="宋体"/>
          <w:color w:val="auto"/>
          <w:sz w:val="28"/>
          <w:szCs w:val="28"/>
          <w:highlight w:val="none"/>
          <w:lang w:eastAsia="zh-CN"/>
        </w:rPr>
        <w:t>油漆</w:t>
      </w:r>
      <w:r>
        <w:rPr>
          <w:rFonts w:hint="eastAsia" w:ascii="宋体" w:hAnsi="宋体" w:eastAsia="宋体" w:cs="宋体"/>
          <w:color w:val="auto"/>
          <w:sz w:val="28"/>
          <w:szCs w:val="28"/>
          <w:highlight w:val="none"/>
        </w:rPr>
        <w:t>稀释剂</w:t>
      </w:r>
      <w:r>
        <w:rPr>
          <w:rFonts w:hint="eastAsia" w:ascii="宋体" w:hAnsi="宋体" w:eastAsia="宋体" w:cs="宋体"/>
          <w:color w:val="auto"/>
          <w:sz w:val="28"/>
          <w:szCs w:val="28"/>
          <w:highlight w:val="none"/>
          <w:lang w:eastAsia="zh-CN"/>
        </w:rPr>
        <w:t>和</w:t>
      </w:r>
      <w:r>
        <w:rPr>
          <w:rFonts w:hint="eastAsia" w:ascii="宋体" w:hAnsi="宋体" w:cs="宋体"/>
          <w:color w:val="auto"/>
          <w:sz w:val="28"/>
          <w:szCs w:val="28"/>
          <w:highlight w:val="none"/>
          <w:lang w:eastAsia="zh-CN"/>
        </w:rPr>
        <w:t>油漆</w:t>
      </w:r>
      <w:r>
        <w:rPr>
          <w:rFonts w:hint="eastAsia" w:ascii="宋体" w:hAnsi="宋体" w:eastAsia="宋体" w:cs="宋体"/>
          <w:color w:val="auto"/>
          <w:sz w:val="28"/>
          <w:szCs w:val="28"/>
          <w:highlight w:val="none"/>
        </w:rPr>
        <w:t>固化剂</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7号仓储用于储存</w:t>
      </w:r>
      <w:r>
        <w:rPr>
          <w:rFonts w:hint="eastAsia" w:ascii="宋体" w:hAnsi="宋体" w:cs="宋体"/>
          <w:color w:val="auto"/>
          <w:sz w:val="28"/>
          <w:szCs w:val="28"/>
          <w:highlight w:val="none"/>
        </w:rPr>
        <w:t>六亚甲基四胺</w:t>
      </w:r>
      <w:r>
        <w:rPr>
          <w:rFonts w:hint="eastAsia" w:ascii="宋体" w:hAnsi="宋体" w:cs="宋体"/>
          <w:color w:val="auto"/>
          <w:sz w:val="28"/>
          <w:szCs w:val="28"/>
          <w:highlight w:val="none"/>
          <w:lang w:eastAsia="zh-CN"/>
        </w:rPr>
        <w:t>和</w:t>
      </w:r>
      <w:r>
        <w:rPr>
          <w:rFonts w:hint="eastAsia" w:ascii="宋体" w:hAnsi="宋体" w:eastAsia="宋体" w:cs="宋体"/>
          <w:color w:val="auto"/>
          <w:sz w:val="28"/>
          <w:szCs w:val="28"/>
          <w:highlight w:val="none"/>
          <w:lang w:eastAsia="zh-CN"/>
        </w:rPr>
        <w:t>硝酸银</w:t>
      </w:r>
      <w:r>
        <w:rPr>
          <w:rFonts w:hint="eastAsia" w:ascii="宋体" w:hAnsi="宋体" w:cs="宋体"/>
          <w:color w:val="auto"/>
          <w:sz w:val="28"/>
          <w:szCs w:val="28"/>
          <w:highlight w:val="none"/>
          <w:lang w:val="en-US" w:eastAsia="zh-CN"/>
        </w:rPr>
        <w:t>（99%）</w:t>
      </w:r>
      <w:r>
        <w:rPr>
          <w:rFonts w:hint="eastAsia" w:ascii="宋体" w:hAnsi="宋体" w:eastAsia="宋体" w:cs="宋体"/>
          <w:color w:val="auto"/>
          <w:sz w:val="28"/>
          <w:szCs w:val="28"/>
          <w:highlight w:val="none"/>
          <w:lang w:eastAsia="zh-CN"/>
        </w:rPr>
        <w:t>。</w:t>
      </w:r>
    </w:p>
    <w:p w14:paraId="767682A4">
      <w:pPr>
        <w:adjustRightInd w:val="0"/>
        <w:snapToGrid w:val="0"/>
        <w:spacing w:beforeLines="0" w:afterLines="0"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危化品仓库储存的</w:t>
      </w:r>
      <w:r>
        <w:rPr>
          <w:rFonts w:hint="eastAsia" w:ascii="宋体" w:hAnsi="宋体" w:cs="宋体"/>
          <w:bCs/>
          <w:color w:val="auto"/>
          <w:sz w:val="28"/>
          <w:szCs w:val="28"/>
          <w:highlight w:val="none"/>
          <w:lang w:eastAsia="zh-CN"/>
        </w:rPr>
        <w:t>危化品具体情况</w:t>
      </w:r>
      <w:r>
        <w:rPr>
          <w:rFonts w:hint="eastAsia" w:ascii="宋体" w:hAnsi="宋体" w:eastAsia="宋体" w:cs="宋体"/>
          <w:bCs/>
          <w:color w:val="auto"/>
          <w:sz w:val="28"/>
          <w:szCs w:val="28"/>
          <w:highlight w:val="none"/>
        </w:rPr>
        <w:t>见</w:t>
      </w:r>
      <w:r>
        <w:rPr>
          <w:rFonts w:hint="eastAsia" w:ascii="宋体" w:hAnsi="宋体" w:cs="宋体"/>
          <w:bCs/>
          <w:color w:val="auto"/>
          <w:sz w:val="28"/>
          <w:szCs w:val="28"/>
          <w:highlight w:val="none"/>
          <w:lang w:eastAsia="zh-CN"/>
        </w:rPr>
        <w:t>下表</w:t>
      </w:r>
      <w:r>
        <w:rPr>
          <w:rFonts w:hint="eastAsia" w:ascii="宋体" w:hAnsi="宋体" w:eastAsia="宋体" w:cs="宋体"/>
          <w:color w:val="auto"/>
          <w:sz w:val="28"/>
          <w:szCs w:val="28"/>
          <w:highlight w:val="none"/>
        </w:rPr>
        <w:t>。</w:t>
      </w:r>
    </w:p>
    <w:p w14:paraId="29ACCC93">
      <w:pPr>
        <w:adjustRightInd w:val="0"/>
        <w:snapToGrid w:val="0"/>
        <w:spacing w:beforeLines="0" w:afterLines="0" w:line="360" w:lineRule="auto"/>
        <w:ind w:firstLine="0"/>
        <w:jc w:val="center"/>
        <w:rPr>
          <w:rFonts w:ascii="黑体" w:hAnsi="黑体" w:eastAsia="黑体" w:cs="Times New Roman"/>
          <w:b/>
          <w:bCs/>
          <w:color w:val="auto"/>
          <w:sz w:val="24"/>
          <w:szCs w:val="24"/>
          <w:highlight w:val="none"/>
        </w:rPr>
      </w:pPr>
      <w:r>
        <w:rPr>
          <w:rFonts w:hint="eastAsia" w:ascii="黑体" w:hAnsi="黑体" w:eastAsia="黑体" w:cs="Times New Roman"/>
          <w:b/>
          <w:bCs/>
          <w:color w:val="auto"/>
          <w:sz w:val="24"/>
          <w:szCs w:val="24"/>
          <w:highlight w:val="none"/>
          <w:lang w:val="en-US" w:eastAsia="zh-CN"/>
        </w:rPr>
        <w:t xml:space="preserve">表2.6-1 </w:t>
      </w:r>
      <w:r>
        <w:rPr>
          <w:rFonts w:ascii="黑体" w:hAnsi="黑体" w:eastAsia="黑体" w:cs="Times New Roman"/>
          <w:b/>
          <w:bCs/>
          <w:color w:val="auto"/>
          <w:sz w:val="24"/>
          <w:szCs w:val="24"/>
          <w:highlight w:val="none"/>
        </w:rPr>
        <w:t>物料储存情况一览表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2179"/>
        <w:gridCol w:w="1006"/>
        <w:gridCol w:w="1809"/>
        <w:gridCol w:w="1249"/>
        <w:gridCol w:w="1237"/>
        <w:gridCol w:w="1002"/>
      </w:tblGrid>
      <w:tr w14:paraId="60B54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86" w:type="pct"/>
            <w:vAlign w:val="center"/>
          </w:tcPr>
          <w:p w14:paraId="1C5C4952">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分区代号</w:t>
            </w:r>
          </w:p>
        </w:tc>
        <w:tc>
          <w:tcPr>
            <w:tcW w:w="1159" w:type="pct"/>
            <w:vAlign w:val="center"/>
          </w:tcPr>
          <w:p w14:paraId="5C0070B2">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危化品名称</w:t>
            </w:r>
          </w:p>
        </w:tc>
        <w:tc>
          <w:tcPr>
            <w:tcW w:w="535" w:type="pct"/>
            <w:vAlign w:val="center"/>
          </w:tcPr>
          <w:p w14:paraId="4C852750">
            <w:pPr>
              <w:adjustRightInd w:val="0"/>
              <w:snapToGrid w:val="0"/>
              <w:spacing w:line="24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物理状态</w:t>
            </w:r>
          </w:p>
        </w:tc>
        <w:tc>
          <w:tcPr>
            <w:tcW w:w="962" w:type="pct"/>
            <w:vAlign w:val="center"/>
          </w:tcPr>
          <w:p w14:paraId="17FB53F8">
            <w:pPr>
              <w:adjustRightInd w:val="0"/>
              <w:snapToGrid w:val="0"/>
              <w:spacing w:line="240" w:lineRule="auto"/>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Cs w:val="21"/>
                <w:highlight w:val="none"/>
              </w:rPr>
              <w:t>包装形式</w:t>
            </w:r>
          </w:p>
        </w:tc>
        <w:tc>
          <w:tcPr>
            <w:tcW w:w="664" w:type="pct"/>
            <w:vAlign w:val="center"/>
          </w:tcPr>
          <w:p w14:paraId="7E6EFB6F">
            <w:pPr>
              <w:adjustRightInd w:val="0"/>
              <w:snapToGrid w:val="0"/>
              <w:spacing w:line="240" w:lineRule="auto"/>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Cs w:val="21"/>
                <w:highlight w:val="none"/>
              </w:rPr>
              <w:t>火灾危险性类别</w:t>
            </w:r>
          </w:p>
        </w:tc>
        <w:tc>
          <w:tcPr>
            <w:tcW w:w="658" w:type="pct"/>
            <w:vAlign w:val="center"/>
          </w:tcPr>
          <w:p w14:paraId="77D0C9F6">
            <w:pPr>
              <w:adjustRightInd w:val="0"/>
              <w:snapToGrid w:val="0"/>
              <w:spacing w:line="240" w:lineRule="auto"/>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Cs w:val="21"/>
                <w:highlight w:val="none"/>
              </w:rPr>
              <w:t>最大库存量（t）</w:t>
            </w:r>
          </w:p>
        </w:tc>
        <w:tc>
          <w:tcPr>
            <w:tcW w:w="533" w:type="pct"/>
            <w:vAlign w:val="center"/>
          </w:tcPr>
          <w:p w14:paraId="679E8288">
            <w:pPr>
              <w:adjustRightInd w:val="0"/>
              <w:snapToGrid w:val="0"/>
              <w:spacing w:line="240" w:lineRule="auto"/>
              <w:jc w:val="center"/>
              <w:rPr>
                <w:rFonts w:hint="eastAsia" w:ascii="宋体" w:hAnsi="宋体" w:eastAsia="宋体" w:cs="宋体"/>
                <w:b/>
                <w:bCs/>
                <w:color w:val="auto"/>
                <w:szCs w:val="21"/>
                <w:highlight w:val="none"/>
              </w:rPr>
            </w:pPr>
            <w:r>
              <w:rPr>
                <w:rFonts w:hint="eastAsia" w:ascii="宋体" w:hAnsi="宋体" w:cs="宋体"/>
                <w:b/>
                <w:bCs/>
                <w:color w:val="auto"/>
                <w:szCs w:val="21"/>
                <w:highlight w:val="none"/>
                <w:lang w:val="en-US" w:eastAsia="zh-CN"/>
              </w:rPr>
              <w:t>周期天数</w:t>
            </w:r>
          </w:p>
        </w:tc>
      </w:tr>
      <w:tr w14:paraId="25D10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Align w:val="center"/>
          </w:tcPr>
          <w:p w14:paraId="649DF44D">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159" w:type="pct"/>
            <w:vAlign w:val="center"/>
          </w:tcPr>
          <w:p w14:paraId="7210180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盐酸</w:t>
            </w:r>
          </w:p>
        </w:tc>
        <w:tc>
          <w:tcPr>
            <w:tcW w:w="535" w:type="pct"/>
            <w:vAlign w:val="center"/>
          </w:tcPr>
          <w:p w14:paraId="75D5ECD8">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液体</w:t>
            </w:r>
          </w:p>
        </w:tc>
        <w:tc>
          <w:tcPr>
            <w:tcW w:w="962" w:type="pct"/>
            <w:vAlign w:val="center"/>
          </w:tcPr>
          <w:p w14:paraId="28D91285">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桶装</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25kg</w:t>
            </w:r>
            <w:r>
              <w:rPr>
                <w:rFonts w:hint="eastAsia" w:ascii="宋体" w:hAnsi="宋体" w:cs="宋体"/>
                <w:color w:val="auto"/>
                <w:szCs w:val="21"/>
                <w:highlight w:val="none"/>
                <w:lang w:eastAsia="zh-CN"/>
              </w:rPr>
              <w:t>）</w:t>
            </w:r>
          </w:p>
        </w:tc>
        <w:tc>
          <w:tcPr>
            <w:tcW w:w="664" w:type="pct"/>
            <w:vAlign w:val="center"/>
          </w:tcPr>
          <w:p w14:paraId="081CDDE1">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戊</w:t>
            </w:r>
          </w:p>
        </w:tc>
        <w:tc>
          <w:tcPr>
            <w:tcW w:w="658" w:type="pct"/>
            <w:vAlign w:val="center"/>
          </w:tcPr>
          <w:p w14:paraId="3C1EFD55">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1.5</w:t>
            </w:r>
          </w:p>
        </w:tc>
        <w:tc>
          <w:tcPr>
            <w:tcW w:w="533" w:type="pct"/>
            <w:vAlign w:val="center"/>
          </w:tcPr>
          <w:p w14:paraId="097579D1">
            <w:pPr>
              <w:adjustRightInd w:val="0"/>
              <w:snapToGrid w:val="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30</w:t>
            </w:r>
          </w:p>
        </w:tc>
      </w:tr>
      <w:tr w14:paraId="761C6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Align w:val="center"/>
          </w:tcPr>
          <w:p w14:paraId="02AFF3EF">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159" w:type="pct"/>
            <w:vAlign w:val="center"/>
          </w:tcPr>
          <w:p w14:paraId="43FABD5D">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丙酮</w:t>
            </w:r>
          </w:p>
        </w:tc>
        <w:tc>
          <w:tcPr>
            <w:tcW w:w="535" w:type="pct"/>
            <w:vAlign w:val="center"/>
          </w:tcPr>
          <w:p w14:paraId="7FA3A06B">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液体</w:t>
            </w:r>
          </w:p>
        </w:tc>
        <w:tc>
          <w:tcPr>
            <w:tcW w:w="962" w:type="pct"/>
            <w:vAlign w:val="center"/>
          </w:tcPr>
          <w:p w14:paraId="68E2EA0F">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桶装（160kg）</w:t>
            </w:r>
          </w:p>
        </w:tc>
        <w:tc>
          <w:tcPr>
            <w:tcW w:w="664" w:type="pct"/>
            <w:vAlign w:val="center"/>
          </w:tcPr>
          <w:p w14:paraId="486FB266">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甲</w:t>
            </w:r>
          </w:p>
        </w:tc>
        <w:tc>
          <w:tcPr>
            <w:tcW w:w="658" w:type="pct"/>
            <w:vAlign w:val="center"/>
          </w:tcPr>
          <w:p w14:paraId="46638410">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7.2</w:t>
            </w:r>
          </w:p>
        </w:tc>
        <w:tc>
          <w:tcPr>
            <w:tcW w:w="533" w:type="pct"/>
            <w:vAlign w:val="center"/>
          </w:tcPr>
          <w:p w14:paraId="1FE32C26">
            <w:pPr>
              <w:adjustRightInd w:val="0"/>
              <w:snapToGrid w:val="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r>
      <w:tr w14:paraId="3BF74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Align w:val="center"/>
          </w:tcPr>
          <w:p w14:paraId="0D4654C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1159" w:type="pct"/>
            <w:vAlign w:val="center"/>
          </w:tcPr>
          <w:p w14:paraId="1C85004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苯乙烯</w:t>
            </w:r>
          </w:p>
        </w:tc>
        <w:tc>
          <w:tcPr>
            <w:tcW w:w="535" w:type="pct"/>
            <w:vAlign w:val="center"/>
          </w:tcPr>
          <w:p w14:paraId="657E0F78">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液体</w:t>
            </w:r>
          </w:p>
        </w:tc>
        <w:tc>
          <w:tcPr>
            <w:tcW w:w="962" w:type="pct"/>
            <w:vAlign w:val="center"/>
          </w:tcPr>
          <w:p w14:paraId="670E1B16">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桶装（180kg）</w:t>
            </w:r>
          </w:p>
        </w:tc>
        <w:tc>
          <w:tcPr>
            <w:tcW w:w="664" w:type="pct"/>
            <w:vAlign w:val="center"/>
          </w:tcPr>
          <w:p w14:paraId="075D565B">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乙</w:t>
            </w:r>
          </w:p>
        </w:tc>
        <w:tc>
          <w:tcPr>
            <w:tcW w:w="658" w:type="pct"/>
            <w:vAlign w:val="center"/>
          </w:tcPr>
          <w:p w14:paraId="58E29B82">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7.74</w:t>
            </w:r>
          </w:p>
        </w:tc>
        <w:tc>
          <w:tcPr>
            <w:tcW w:w="533" w:type="pct"/>
            <w:vAlign w:val="center"/>
          </w:tcPr>
          <w:p w14:paraId="2B218750">
            <w:pPr>
              <w:adjustRightInd w:val="0"/>
              <w:snapToGrid w:val="0"/>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15</w:t>
            </w:r>
          </w:p>
        </w:tc>
      </w:tr>
      <w:tr w14:paraId="7DC95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Align w:val="center"/>
          </w:tcPr>
          <w:p w14:paraId="3FFA6CA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1159" w:type="pct"/>
            <w:vAlign w:val="center"/>
          </w:tcPr>
          <w:p w14:paraId="522A15E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钴盐</w:t>
            </w:r>
          </w:p>
        </w:tc>
        <w:tc>
          <w:tcPr>
            <w:tcW w:w="535" w:type="pct"/>
            <w:vAlign w:val="center"/>
          </w:tcPr>
          <w:p w14:paraId="21BB1C07">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液体</w:t>
            </w:r>
          </w:p>
        </w:tc>
        <w:tc>
          <w:tcPr>
            <w:tcW w:w="962" w:type="pct"/>
            <w:vAlign w:val="center"/>
          </w:tcPr>
          <w:p w14:paraId="3F181787">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桶装（25kg）</w:t>
            </w:r>
          </w:p>
        </w:tc>
        <w:tc>
          <w:tcPr>
            <w:tcW w:w="664" w:type="pct"/>
            <w:vAlign w:val="center"/>
          </w:tcPr>
          <w:p w14:paraId="1DCCBFE0">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乙</w:t>
            </w:r>
          </w:p>
        </w:tc>
        <w:tc>
          <w:tcPr>
            <w:tcW w:w="658" w:type="pct"/>
            <w:vAlign w:val="center"/>
          </w:tcPr>
          <w:p w14:paraId="13EECCD1">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3</w:t>
            </w:r>
          </w:p>
        </w:tc>
        <w:tc>
          <w:tcPr>
            <w:tcW w:w="533" w:type="pct"/>
            <w:vAlign w:val="center"/>
          </w:tcPr>
          <w:p w14:paraId="084DD9DC">
            <w:pPr>
              <w:adjustRightInd w:val="0"/>
              <w:snapToGrid w:val="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30</w:t>
            </w:r>
          </w:p>
        </w:tc>
      </w:tr>
      <w:tr w14:paraId="2A463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restart"/>
            <w:vAlign w:val="center"/>
          </w:tcPr>
          <w:p w14:paraId="3D07DDB9">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1159" w:type="pct"/>
            <w:vAlign w:val="center"/>
          </w:tcPr>
          <w:p w14:paraId="681E795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过氧化甲乙酮</w:t>
            </w:r>
          </w:p>
        </w:tc>
        <w:tc>
          <w:tcPr>
            <w:tcW w:w="535" w:type="pct"/>
            <w:vAlign w:val="center"/>
          </w:tcPr>
          <w:p w14:paraId="5B8CD942">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液体</w:t>
            </w:r>
          </w:p>
        </w:tc>
        <w:tc>
          <w:tcPr>
            <w:tcW w:w="962" w:type="pct"/>
            <w:vAlign w:val="center"/>
          </w:tcPr>
          <w:p w14:paraId="5E7E1F24">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桶装（25kg）</w:t>
            </w:r>
          </w:p>
        </w:tc>
        <w:tc>
          <w:tcPr>
            <w:tcW w:w="664" w:type="pct"/>
            <w:vAlign w:val="center"/>
          </w:tcPr>
          <w:p w14:paraId="279E2BC2">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甲</w:t>
            </w:r>
          </w:p>
        </w:tc>
        <w:tc>
          <w:tcPr>
            <w:tcW w:w="658" w:type="pct"/>
            <w:vAlign w:val="center"/>
          </w:tcPr>
          <w:p w14:paraId="5F254D4B">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2.2</w:t>
            </w:r>
          </w:p>
        </w:tc>
        <w:tc>
          <w:tcPr>
            <w:tcW w:w="533" w:type="pct"/>
            <w:vAlign w:val="center"/>
          </w:tcPr>
          <w:p w14:paraId="69F46C24">
            <w:pPr>
              <w:adjustRightInd w:val="0"/>
              <w:snapToGrid w:val="0"/>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30</w:t>
            </w:r>
          </w:p>
        </w:tc>
      </w:tr>
      <w:tr w14:paraId="1D859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continue"/>
            <w:vAlign w:val="center"/>
          </w:tcPr>
          <w:p w14:paraId="635DF6B8">
            <w:pPr>
              <w:adjustRightInd w:val="0"/>
              <w:snapToGrid w:val="0"/>
              <w:jc w:val="center"/>
              <w:rPr>
                <w:rFonts w:hint="eastAsia" w:ascii="宋体" w:hAnsi="宋体" w:eastAsia="宋体" w:cs="宋体"/>
                <w:color w:val="auto"/>
                <w:szCs w:val="21"/>
                <w:highlight w:val="none"/>
              </w:rPr>
            </w:pPr>
          </w:p>
        </w:tc>
        <w:tc>
          <w:tcPr>
            <w:tcW w:w="1159" w:type="pct"/>
            <w:vAlign w:val="center"/>
          </w:tcPr>
          <w:p w14:paraId="2442D3AB">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过氧化二苯甲酰</w:t>
            </w:r>
          </w:p>
        </w:tc>
        <w:tc>
          <w:tcPr>
            <w:tcW w:w="535" w:type="pct"/>
            <w:vAlign w:val="center"/>
          </w:tcPr>
          <w:p w14:paraId="5A04B6D9">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固体</w:t>
            </w:r>
          </w:p>
        </w:tc>
        <w:tc>
          <w:tcPr>
            <w:tcW w:w="962" w:type="pct"/>
            <w:vAlign w:val="center"/>
          </w:tcPr>
          <w:p w14:paraId="170E44C9">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纸箱（20kg）</w:t>
            </w:r>
          </w:p>
        </w:tc>
        <w:tc>
          <w:tcPr>
            <w:tcW w:w="664" w:type="pct"/>
            <w:vAlign w:val="center"/>
          </w:tcPr>
          <w:p w14:paraId="7DE6908E">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甲</w:t>
            </w:r>
          </w:p>
        </w:tc>
        <w:tc>
          <w:tcPr>
            <w:tcW w:w="658" w:type="pct"/>
            <w:vAlign w:val="center"/>
          </w:tcPr>
          <w:p w14:paraId="207E68E9">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0.15</w:t>
            </w:r>
          </w:p>
        </w:tc>
        <w:tc>
          <w:tcPr>
            <w:tcW w:w="533" w:type="pct"/>
            <w:vAlign w:val="center"/>
          </w:tcPr>
          <w:p w14:paraId="24725CF4">
            <w:pPr>
              <w:adjustRightInd w:val="0"/>
              <w:snapToGrid w:val="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60</w:t>
            </w:r>
          </w:p>
        </w:tc>
      </w:tr>
      <w:tr w14:paraId="0A538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continue"/>
            <w:vAlign w:val="center"/>
          </w:tcPr>
          <w:p w14:paraId="39539CBE">
            <w:pPr>
              <w:adjustRightInd w:val="0"/>
              <w:snapToGrid w:val="0"/>
              <w:jc w:val="center"/>
              <w:rPr>
                <w:rFonts w:hint="eastAsia" w:ascii="宋体" w:hAnsi="宋体" w:eastAsia="宋体" w:cs="宋体"/>
                <w:color w:val="auto"/>
                <w:szCs w:val="21"/>
                <w:highlight w:val="none"/>
              </w:rPr>
            </w:pPr>
          </w:p>
        </w:tc>
        <w:tc>
          <w:tcPr>
            <w:tcW w:w="1159" w:type="pct"/>
            <w:vAlign w:val="center"/>
          </w:tcPr>
          <w:p w14:paraId="729BC40B">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双氧水</w:t>
            </w:r>
          </w:p>
        </w:tc>
        <w:tc>
          <w:tcPr>
            <w:tcW w:w="535" w:type="pct"/>
            <w:vAlign w:val="center"/>
          </w:tcPr>
          <w:p w14:paraId="7276EAE4">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液体</w:t>
            </w:r>
          </w:p>
        </w:tc>
        <w:tc>
          <w:tcPr>
            <w:tcW w:w="962" w:type="pct"/>
            <w:vAlign w:val="center"/>
          </w:tcPr>
          <w:p w14:paraId="350F4042">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桶装</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25kg</w:t>
            </w:r>
            <w:r>
              <w:rPr>
                <w:rFonts w:hint="eastAsia" w:ascii="宋体" w:hAnsi="宋体" w:cs="宋体"/>
                <w:color w:val="auto"/>
                <w:szCs w:val="21"/>
                <w:highlight w:val="none"/>
                <w:lang w:eastAsia="zh-CN"/>
              </w:rPr>
              <w:t>）</w:t>
            </w:r>
          </w:p>
        </w:tc>
        <w:tc>
          <w:tcPr>
            <w:tcW w:w="664" w:type="pct"/>
            <w:vAlign w:val="center"/>
          </w:tcPr>
          <w:p w14:paraId="53B585B5">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乙</w:t>
            </w:r>
          </w:p>
        </w:tc>
        <w:tc>
          <w:tcPr>
            <w:tcW w:w="658" w:type="pct"/>
            <w:vAlign w:val="center"/>
          </w:tcPr>
          <w:p w14:paraId="01B08542">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1.5</w:t>
            </w:r>
          </w:p>
        </w:tc>
        <w:tc>
          <w:tcPr>
            <w:tcW w:w="533" w:type="pct"/>
            <w:vAlign w:val="center"/>
          </w:tcPr>
          <w:p w14:paraId="080C1355">
            <w:pPr>
              <w:adjustRightInd w:val="0"/>
              <w:snapToGrid w:val="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30</w:t>
            </w:r>
          </w:p>
        </w:tc>
      </w:tr>
      <w:tr w14:paraId="3F8E7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continue"/>
            <w:vAlign w:val="center"/>
          </w:tcPr>
          <w:p w14:paraId="0401D938">
            <w:pPr>
              <w:adjustRightInd w:val="0"/>
              <w:snapToGrid w:val="0"/>
              <w:jc w:val="center"/>
              <w:rPr>
                <w:rFonts w:hint="eastAsia" w:ascii="宋体" w:hAnsi="宋体" w:eastAsia="宋体" w:cs="宋体"/>
                <w:color w:val="auto"/>
                <w:szCs w:val="21"/>
                <w:highlight w:val="none"/>
              </w:rPr>
            </w:pPr>
          </w:p>
        </w:tc>
        <w:tc>
          <w:tcPr>
            <w:tcW w:w="1159" w:type="pct"/>
            <w:vAlign w:val="center"/>
          </w:tcPr>
          <w:p w14:paraId="21BDF9EC">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双氧水</w:t>
            </w:r>
          </w:p>
        </w:tc>
        <w:tc>
          <w:tcPr>
            <w:tcW w:w="535" w:type="pct"/>
            <w:vAlign w:val="center"/>
          </w:tcPr>
          <w:p w14:paraId="74F6DF47">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液体</w:t>
            </w:r>
          </w:p>
        </w:tc>
        <w:tc>
          <w:tcPr>
            <w:tcW w:w="962" w:type="pct"/>
            <w:vAlign w:val="center"/>
          </w:tcPr>
          <w:p w14:paraId="3F247094">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桶装</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25kg</w:t>
            </w:r>
            <w:r>
              <w:rPr>
                <w:rFonts w:hint="eastAsia" w:ascii="宋体" w:hAnsi="宋体" w:cs="宋体"/>
                <w:color w:val="auto"/>
                <w:szCs w:val="21"/>
                <w:highlight w:val="none"/>
                <w:lang w:eastAsia="zh-CN"/>
              </w:rPr>
              <w:t>）</w:t>
            </w:r>
          </w:p>
        </w:tc>
        <w:tc>
          <w:tcPr>
            <w:tcW w:w="664" w:type="pct"/>
            <w:vAlign w:val="center"/>
          </w:tcPr>
          <w:p w14:paraId="21B2B313">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乙</w:t>
            </w:r>
          </w:p>
        </w:tc>
        <w:tc>
          <w:tcPr>
            <w:tcW w:w="658" w:type="pct"/>
            <w:vAlign w:val="center"/>
          </w:tcPr>
          <w:p w14:paraId="19105FC1">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0.5</w:t>
            </w:r>
          </w:p>
        </w:tc>
        <w:tc>
          <w:tcPr>
            <w:tcW w:w="533" w:type="pct"/>
            <w:vAlign w:val="center"/>
          </w:tcPr>
          <w:p w14:paraId="662812CB">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30</w:t>
            </w:r>
          </w:p>
        </w:tc>
      </w:tr>
      <w:tr w14:paraId="1B878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restart"/>
            <w:vAlign w:val="center"/>
          </w:tcPr>
          <w:p w14:paraId="6491761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1159" w:type="pct"/>
            <w:vAlign w:val="center"/>
          </w:tcPr>
          <w:p w14:paraId="078CBB54">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油漆</w:t>
            </w:r>
          </w:p>
        </w:tc>
        <w:tc>
          <w:tcPr>
            <w:tcW w:w="535" w:type="pct"/>
            <w:vAlign w:val="center"/>
          </w:tcPr>
          <w:p w14:paraId="61AF2E2D">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液体</w:t>
            </w:r>
          </w:p>
        </w:tc>
        <w:tc>
          <w:tcPr>
            <w:tcW w:w="962" w:type="pct"/>
            <w:vAlign w:val="center"/>
          </w:tcPr>
          <w:p w14:paraId="190DD9D0">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桶装</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18kg</w:t>
            </w:r>
            <w:r>
              <w:rPr>
                <w:rFonts w:hint="eastAsia" w:ascii="宋体" w:hAnsi="宋体" w:cs="宋体"/>
                <w:color w:val="auto"/>
                <w:szCs w:val="21"/>
                <w:highlight w:val="none"/>
                <w:lang w:eastAsia="zh-CN"/>
              </w:rPr>
              <w:t>）</w:t>
            </w:r>
          </w:p>
        </w:tc>
        <w:tc>
          <w:tcPr>
            <w:tcW w:w="664" w:type="pct"/>
            <w:vAlign w:val="center"/>
          </w:tcPr>
          <w:p w14:paraId="4E04D3F8">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乙</w:t>
            </w:r>
          </w:p>
        </w:tc>
        <w:tc>
          <w:tcPr>
            <w:tcW w:w="658" w:type="pct"/>
            <w:vAlign w:val="center"/>
          </w:tcPr>
          <w:p w14:paraId="65A63830">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11.2</w:t>
            </w:r>
          </w:p>
        </w:tc>
        <w:tc>
          <w:tcPr>
            <w:tcW w:w="533" w:type="pct"/>
            <w:vAlign w:val="center"/>
          </w:tcPr>
          <w:p w14:paraId="4F61D983">
            <w:pPr>
              <w:adjustRightInd w:val="0"/>
              <w:snapToGrid w:val="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r>
      <w:tr w14:paraId="40998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continue"/>
            <w:vAlign w:val="center"/>
          </w:tcPr>
          <w:p w14:paraId="296BD50F">
            <w:pPr>
              <w:adjustRightInd w:val="0"/>
              <w:snapToGrid w:val="0"/>
              <w:jc w:val="center"/>
              <w:rPr>
                <w:rFonts w:hint="eastAsia" w:ascii="宋体" w:hAnsi="宋体" w:eastAsia="宋体" w:cs="宋体"/>
                <w:color w:val="auto"/>
                <w:szCs w:val="21"/>
                <w:highlight w:val="none"/>
              </w:rPr>
            </w:pPr>
          </w:p>
        </w:tc>
        <w:tc>
          <w:tcPr>
            <w:tcW w:w="1159" w:type="pct"/>
            <w:vAlign w:val="center"/>
          </w:tcPr>
          <w:p w14:paraId="2C07FD43">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油漆稀释剂</w:t>
            </w:r>
          </w:p>
        </w:tc>
        <w:tc>
          <w:tcPr>
            <w:tcW w:w="535" w:type="pct"/>
            <w:vAlign w:val="center"/>
          </w:tcPr>
          <w:p w14:paraId="00AE9061">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液体</w:t>
            </w:r>
          </w:p>
        </w:tc>
        <w:tc>
          <w:tcPr>
            <w:tcW w:w="962" w:type="pct"/>
            <w:vAlign w:val="center"/>
          </w:tcPr>
          <w:p w14:paraId="4F9E15A9">
            <w:pPr>
              <w:pStyle w:val="57"/>
              <w:adjustRightInd w:val="0"/>
              <w:snapToGrid w:val="0"/>
              <w:spacing w:before="0" w:beforeAutospacing="0" w:after="0" w:afterAutospacing="0"/>
              <w:jc w:val="center"/>
              <w:rPr>
                <w:rFonts w:hint="eastAsia" w:ascii="宋体" w:hAnsi="宋体" w:eastAsia="宋体" w:cs="宋体"/>
                <w:color w:val="auto"/>
                <w:kern w:val="2"/>
                <w:sz w:val="21"/>
                <w:szCs w:val="21"/>
                <w:highlight w:val="none"/>
                <w:lang w:val="en-US" w:eastAsia="zh-CN" w:bidi="ar-SA"/>
              </w:rPr>
            </w:pPr>
            <w:r>
              <w:rPr>
                <w:rFonts w:hint="eastAsia"/>
                <w:color w:val="auto"/>
                <w:sz w:val="21"/>
                <w:szCs w:val="21"/>
                <w:highlight w:val="none"/>
              </w:rPr>
              <w:t>桶装（17kg）</w:t>
            </w:r>
          </w:p>
        </w:tc>
        <w:tc>
          <w:tcPr>
            <w:tcW w:w="664" w:type="pct"/>
            <w:vAlign w:val="center"/>
          </w:tcPr>
          <w:p w14:paraId="6DC6C46B">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eastAsia="zh-CN"/>
              </w:rPr>
              <w:t>甲</w:t>
            </w:r>
          </w:p>
        </w:tc>
        <w:tc>
          <w:tcPr>
            <w:tcW w:w="658" w:type="pct"/>
            <w:vAlign w:val="center"/>
          </w:tcPr>
          <w:p w14:paraId="34D3852A">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1.8</w:t>
            </w:r>
          </w:p>
        </w:tc>
        <w:tc>
          <w:tcPr>
            <w:tcW w:w="533" w:type="pct"/>
            <w:vAlign w:val="center"/>
          </w:tcPr>
          <w:p w14:paraId="615B352D">
            <w:pPr>
              <w:adjustRightInd w:val="0"/>
              <w:snapToGrid w:val="0"/>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15</w:t>
            </w:r>
          </w:p>
        </w:tc>
      </w:tr>
      <w:tr w14:paraId="0E83F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continue"/>
            <w:vAlign w:val="center"/>
          </w:tcPr>
          <w:p w14:paraId="3FF6632B">
            <w:pPr>
              <w:adjustRightInd w:val="0"/>
              <w:snapToGrid w:val="0"/>
              <w:jc w:val="center"/>
              <w:rPr>
                <w:rFonts w:hint="eastAsia" w:ascii="宋体" w:hAnsi="宋体" w:eastAsia="宋体" w:cs="宋体"/>
                <w:color w:val="auto"/>
                <w:szCs w:val="21"/>
                <w:highlight w:val="none"/>
              </w:rPr>
            </w:pPr>
          </w:p>
        </w:tc>
        <w:tc>
          <w:tcPr>
            <w:tcW w:w="1159" w:type="pct"/>
            <w:vAlign w:val="center"/>
          </w:tcPr>
          <w:p w14:paraId="70564E2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油漆固化剂</w:t>
            </w:r>
          </w:p>
        </w:tc>
        <w:tc>
          <w:tcPr>
            <w:tcW w:w="535" w:type="pct"/>
            <w:vAlign w:val="center"/>
          </w:tcPr>
          <w:p w14:paraId="13799C42">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液体</w:t>
            </w:r>
          </w:p>
        </w:tc>
        <w:tc>
          <w:tcPr>
            <w:tcW w:w="962" w:type="pct"/>
            <w:vAlign w:val="center"/>
          </w:tcPr>
          <w:p w14:paraId="0EA2FB7B">
            <w:pPr>
              <w:pStyle w:val="57"/>
              <w:adjustRightInd w:val="0"/>
              <w:snapToGrid w:val="0"/>
              <w:spacing w:before="0" w:beforeAutospacing="0" w:after="0" w:afterAutospacing="0"/>
              <w:jc w:val="center"/>
              <w:rPr>
                <w:rFonts w:hint="eastAsia" w:ascii="宋体" w:hAnsi="宋体" w:eastAsia="宋体" w:cs="宋体"/>
                <w:color w:val="auto"/>
                <w:kern w:val="2"/>
                <w:sz w:val="21"/>
                <w:szCs w:val="21"/>
                <w:highlight w:val="none"/>
                <w:lang w:val="en-US" w:eastAsia="zh-CN" w:bidi="ar-SA"/>
              </w:rPr>
            </w:pPr>
            <w:r>
              <w:rPr>
                <w:rFonts w:hint="eastAsia"/>
                <w:color w:val="auto"/>
                <w:sz w:val="21"/>
                <w:szCs w:val="21"/>
                <w:highlight w:val="none"/>
              </w:rPr>
              <w:t>小桶纸箱（21kg</w:t>
            </w:r>
            <w:r>
              <w:rPr>
                <w:rFonts w:hint="eastAsia"/>
                <w:color w:val="auto"/>
                <w:sz w:val="21"/>
                <w:szCs w:val="21"/>
                <w:highlight w:val="none"/>
                <w:lang w:eastAsia="zh-CN"/>
              </w:rPr>
              <w:t>）</w:t>
            </w:r>
          </w:p>
        </w:tc>
        <w:tc>
          <w:tcPr>
            <w:tcW w:w="664" w:type="pct"/>
            <w:vAlign w:val="center"/>
          </w:tcPr>
          <w:p w14:paraId="117C1F53">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eastAsia="zh-CN"/>
              </w:rPr>
              <w:t>乙</w:t>
            </w:r>
          </w:p>
        </w:tc>
        <w:tc>
          <w:tcPr>
            <w:tcW w:w="658" w:type="pct"/>
            <w:vAlign w:val="center"/>
          </w:tcPr>
          <w:p w14:paraId="211123CF">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1.5</w:t>
            </w:r>
          </w:p>
        </w:tc>
        <w:tc>
          <w:tcPr>
            <w:tcW w:w="533" w:type="pct"/>
            <w:vAlign w:val="center"/>
          </w:tcPr>
          <w:p w14:paraId="75BDF347">
            <w:pPr>
              <w:adjustRightInd w:val="0"/>
              <w:snapToGrid w:val="0"/>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15</w:t>
            </w:r>
          </w:p>
        </w:tc>
      </w:tr>
      <w:tr w14:paraId="08DFD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restart"/>
            <w:vAlign w:val="center"/>
          </w:tcPr>
          <w:p w14:paraId="7C56EB45">
            <w:pPr>
              <w:adjustRightInd w:val="0"/>
              <w:snapToGrid w:val="0"/>
              <w:jc w:val="center"/>
              <w:rPr>
                <w:rFonts w:hint="default" w:ascii="宋体" w:hAnsi="宋体" w:eastAsia="宋体" w:cs="宋体"/>
                <w:color w:val="auto"/>
                <w:szCs w:val="21"/>
                <w:highlight w:val="none"/>
              </w:rPr>
            </w:pPr>
            <w:bookmarkStart w:id="439" w:name="_Toc60846586"/>
            <w:bookmarkStart w:id="440" w:name="_Toc498075569"/>
            <w:bookmarkStart w:id="441" w:name="_Toc386527818"/>
            <w:r>
              <w:rPr>
                <w:rFonts w:hint="eastAsia" w:ascii="宋体" w:hAnsi="宋体" w:cs="宋体"/>
                <w:color w:val="auto"/>
                <w:szCs w:val="21"/>
                <w:highlight w:val="none"/>
                <w:lang w:val="en-US" w:eastAsia="zh-CN"/>
              </w:rPr>
              <w:t>7#</w:t>
            </w:r>
          </w:p>
        </w:tc>
        <w:tc>
          <w:tcPr>
            <w:tcW w:w="1159" w:type="pct"/>
            <w:vAlign w:val="center"/>
          </w:tcPr>
          <w:p w14:paraId="6DAAA2B8">
            <w:pPr>
              <w:adjustRightInd w:val="0"/>
              <w:snapToGrid w:val="0"/>
              <w:jc w:val="center"/>
              <w:rPr>
                <w:rFonts w:hint="eastAsia" w:ascii="宋体" w:hAnsi="宋体" w:eastAsia="宋体" w:cs="宋体"/>
                <w:color w:val="auto"/>
                <w:szCs w:val="21"/>
                <w:highlight w:val="none"/>
              </w:rPr>
            </w:pPr>
            <w:r>
              <w:rPr>
                <w:rFonts w:hint="eastAsia" w:ascii="宋体" w:hAnsi="宋体" w:cs="宋体"/>
                <w:color w:val="auto"/>
                <w:szCs w:val="21"/>
                <w:highlight w:val="none"/>
              </w:rPr>
              <w:t>六亚甲基四胺</w:t>
            </w:r>
          </w:p>
        </w:tc>
        <w:tc>
          <w:tcPr>
            <w:tcW w:w="535" w:type="pct"/>
            <w:vAlign w:val="center"/>
          </w:tcPr>
          <w:p w14:paraId="521B53AE">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cs="宋体"/>
                <w:color w:val="auto"/>
                <w:szCs w:val="21"/>
                <w:highlight w:val="none"/>
              </w:rPr>
              <w:t>固体</w:t>
            </w:r>
          </w:p>
        </w:tc>
        <w:tc>
          <w:tcPr>
            <w:tcW w:w="962" w:type="pct"/>
            <w:vAlign w:val="center"/>
          </w:tcPr>
          <w:p w14:paraId="2461AEF2">
            <w:pPr>
              <w:pStyle w:val="57"/>
              <w:adjustRightInd w:val="0"/>
              <w:snapToGrid w:val="0"/>
              <w:spacing w:before="0" w:beforeAutospacing="0" w:after="0" w:afterAutospacing="0"/>
              <w:jc w:val="center"/>
              <w:rPr>
                <w:rFonts w:hint="eastAsia"/>
                <w:color w:val="auto"/>
                <w:sz w:val="21"/>
                <w:szCs w:val="21"/>
                <w:highlight w:val="none"/>
              </w:rPr>
            </w:pPr>
            <w:r>
              <w:rPr>
                <w:rFonts w:hint="eastAsia"/>
                <w:color w:val="auto"/>
                <w:sz w:val="21"/>
                <w:szCs w:val="21"/>
                <w:highlight w:val="none"/>
              </w:rPr>
              <w:t>25kg/包</w:t>
            </w:r>
          </w:p>
        </w:tc>
        <w:tc>
          <w:tcPr>
            <w:tcW w:w="664" w:type="pct"/>
            <w:vAlign w:val="center"/>
          </w:tcPr>
          <w:p w14:paraId="653B2C4A">
            <w:pPr>
              <w:adjustRightInd w:val="0"/>
              <w:snapToGrid w:val="0"/>
              <w:spacing w:line="240" w:lineRule="auto"/>
              <w:jc w:val="center"/>
              <w:rPr>
                <w:rFonts w:hint="default" w:ascii="宋体" w:hAnsi="宋体" w:cs="宋体"/>
                <w:color w:val="auto"/>
                <w:szCs w:val="21"/>
                <w:highlight w:val="none"/>
                <w:lang w:eastAsia="zh-CN"/>
              </w:rPr>
            </w:pPr>
            <w:r>
              <w:rPr>
                <w:rFonts w:hint="eastAsia" w:ascii="宋体" w:hAnsi="宋体" w:cs="宋体"/>
                <w:color w:val="auto"/>
                <w:szCs w:val="21"/>
                <w:highlight w:val="none"/>
                <w:lang w:val="en-US" w:eastAsia="zh-CN"/>
              </w:rPr>
              <w:t>乙</w:t>
            </w:r>
          </w:p>
        </w:tc>
        <w:tc>
          <w:tcPr>
            <w:tcW w:w="658" w:type="pct"/>
            <w:vAlign w:val="center"/>
          </w:tcPr>
          <w:p w14:paraId="1819CB21">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cs="宋体"/>
                <w:color w:val="auto"/>
                <w:szCs w:val="21"/>
                <w:highlight w:val="none"/>
              </w:rPr>
              <w:t>0.3</w:t>
            </w:r>
          </w:p>
        </w:tc>
        <w:tc>
          <w:tcPr>
            <w:tcW w:w="533" w:type="pct"/>
            <w:vAlign w:val="center"/>
          </w:tcPr>
          <w:p w14:paraId="3063FF45">
            <w:pPr>
              <w:adjustRightInd w:val="0"/>
              <w:snapToGrid w:val="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15</w:t>
            </w:r>
          </w:p>
        </w:tc>
      </w:tr>
      <w:tr w14:paraId="5FF88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continue"/>
            <w:vAlign w:val="center"/>
          </w:tcPr>
          <w:p w14:paraId="2865AB9E">
            <w:pPr>
              <w:adjustRightInd w:val="0"/>
              <w:snapToGrid w:val="0"/>
              <w:jc w:val="center"/>
              <w:rPr>
                <w:rFonts w:hint="eastAsia" w:ascii="宋体" w:hAnsi="宋体" w:cs="宋体"/>
                <w:color w:val="auto"/>
                <w:szCs w:val="21"/>
                <w:highlight w:val="none"/>
                <w:lang w:val="en-US" w:eastAsia="zh-CN"/>
              </w:rPr>
            </w:pPr>
          </w:p>
        </w:tc>
        <w:tc>
          <w:tcPr>
            <w:tcW w:w="1159" w:type="pct"/>
            <w:vAlign w:val="center"/>
          </w:tcPr>
          <w:p w14:paraId="3815CECF">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eastAsia="zh-CN"/>
              </w:rPr>
              <w:t>硝酸银</w:t>
            </w:r>
          </w:p>
        </w:tc>
        <w:tc>
          <w:tcPr>
            <w:tcW w:w="535" w:type="pct"/>
            <w:vAlign w:val="center"/>
          </w:tcPr>
          <w:p w14:paraId="5754F1B3">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固体</w:t>
            </w:r>
          </w:p>
        </w:tc>
        <w:tc>
          <w:tcPr>
            <w:tcW w:w="962" w:type="pct"/>
            <w:vAlign w:val="center"/>
          </w:tcPr>
          <w:p w14:paraId="3CD753B1">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eastAsia="zh-CN"/>
              </w:rPr>
              <w:t>瓶（</w:t>
            </w:r>
            <w:r>
              <w:rPr>
                <w:rFonts w:hint="eastAsia" w:ascii="宋体" w:hAnsi="宋体" w:eastAsia="宋体" w:cs="宋体"/>
                <w:color w:val="auto"/>
                <w:szCs w:val="21"/>
                <w:highlight w:val="none"/>
              </w:rPr>
              <w:t>100g</w:t>
            </w:r>
            <w:r>
              <w:rPr>
                <w:rFonts w:hint="eastAsia" w:ascii="宋体" w:hAnsi="宋体" w:eastAsia="宋体" w:cs="宋体"/>
                <w:color w:val="auto"/>
                <w:szCs w:val="21"/>
                <w:highlight w:val="none"/>
                <w:lang w:eastAsia="zh-CN"/>
              </w:rPr>
              <w:t>）</w:t>
            </w:r>
          </w:p>
        </w:tc>
        <w:tc>
          <w:tcPr>
            <w:tcW w:w="664" w:type="pct"/>
            <w:vAlign w:val="center"/>
          </w:tcPr>
          <w:p w14:paraId="071C82AC">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eastAsia="zh-CN"/>
              </w:rPr>
              <w:t>乙</w:t>
            </w:r>
          </w:p>
        </w:tc>
        <w:tc>
          <w:tcPr>
            <w:tcW w:w="658" w:type="pct"/>
            <w:vAlign w:val="center"/>
          </w:tcPr>
          <w:p w14:paraId="4EEE5FFC">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0.003</w:t>
            </w:r>
          </w:p>
        </w:tc>
        <w:tc>
          <w:tcPr>
            <w:tcW w:w="533" w:type="pct"/>
            <w:vAlign w:val="center"/>
          </w:tcPr>
          <w:p w14:paraId="023D813C">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30</w:t>
            </w:r>
          </w:p>
        </w:tc>
      </w:tr>
    </w:tbl>
    <w:p w14:paraId="2D9AC249">
      <w:pPr>
        <w:adjustRightInd w:val="0"/>
        <w:snapToGrid w:val="0"/>
        <w:spacing w:beforeLines="0" w:after="313" w:afterLines="100" w:line="240" w:lineRule="auto"/>
        <w:ind w:firstLine="0" w:firstLineChars="0"/>
        <w:jc w:val="left"/>
        <w:outlineLvl w:val="9"/>
        <w:rPr>
          <w:rFonts w:hint="default" w:ascii="宋体" w:hAnsi="宋体" w:eastAsia="宋体" w:cs="宋体"/>
          <w:b w:val="0"/>
          <w:bCs/>
          <w:color w:val="auto"/>
          <w:sz w:val="21"/>
          <w:szCs w:val="21"/>
          <w:highlight w:val="none"/>
          <w:lang w:val="en-US" w:eastAsia="zh-CN"/>
        </w:rPr>
      </w:pPr>
      <w:r>
        <w:rPr>
          <w:rFonts w:hint="eastAsia" w:ascii="宋体" w:hAnsi="宋体" w:cs="宋体"/>
          <w:b w:val="0"/>
          <w:bCs/>
          <w:color w:val="auto"/>
          <w:sz w:val="21"/>
          <w:szCs w:val="21"/>
          <w:highlight w:val="none"/>
          <w:lang w:eastAsia="zh-CN"/>
        </w:rPr>
        <w:t>注</w:t>
      </w:r>
      <w:r>
        <w:rPr>
          <w:rFonts w:hint="eastAsia" w:ascii="宋体" w:hAnsi="宋体" w:cs="宋体"/>
          <w:b w:val="0"/>
          <w:bCs/>
          <w:color w:val="auto"/>
          <w:sz w:val="21"/>
          <w:szCs w:val="21"/>
          <w:highlight w:val="none"/>
          <w:lang w:val="en-US" w:eastAsia="zh-CN"/>
        </w:rPr>
        <w:t>2：</w:t>
      </w:r>
      <w:r>
        <w:rPr>
          <w:rFonts w:hint="eastAsia" w:ascii="宋体" w:hAnsi="宋体" w:eastAsia="宋体" w:cs="宋体"/>
          <w:color w:val="auto"/>
          <w:szCs w:val="21"/>
          <w:highlight w:val="none"/>
          <w:lang w:eastAsia="zh-CN"/>
        </w:rPr>
        <w:t>硝酸银</w:t>
      </w:r>
      <w:r>
        <w:rPr>
          <w:rFonts w:hint="eastAsia" w:ascii="宋体" w:hAnsi="宋体" w:cs="宋体"/>
          <w:color w:val="auto"/>
          <w:szCs w:val="21"/>
          <w:highlight w:val="none"/>
          <w:lang w:eastAsia="zh-CN"/>
        </w:rPr>
        <w:t>存放在防爆柜中。</w:t>
      </w:r>
    </w:p>
    <w:p w14:paraId="2B872E11">
      <w:pPr>
        <w:adjustRightInd w:val="0"/>
        <w:snapToGrid w:val="0"/>
        <w:spacing w:beforeLines="0" w:afterLines="0" w:line="360" w:lineRule="auto"/>
        <w:jc w:val="left"/>
        <w:outlineLvl w:val="1"/>
        <w:rPr>
          <w:rFonts w:hint="eastAsia" w:ascii="黑体" w:hAnsi="黑体" w:eastAsia="黑体" w:cs="Times New Roman"/>
          <w:b/>
          <w:color w:val="auto"/>
          <w:sz w:val="28"/>
          <w:szCs w:val="28"/>
          <w:highlight w:val="none"/>
          <w:lang w:eastAsia="zh-CN"/>
        </w:rPr>
      </w:pPr>
      <w:bookmarkStart w:id="442" w:name="_Toc13273"/>
      <w:bookmarkStart w:id="443" w:name="_Toc670"/>
      <w:bookmarkStart w:id="444" w:name="_Toc26889"/>
      <w:bookmarkStart w:id="445" w:name="_Toc9806"/>
      <w:bookmarkStart w:id="446" w:name="_Toc28044"/>
      <w:bookmarkStart w:id="447" w:name="_Toc19920"/>
      <w:bookmarkStart w:id="448" w:name="_Toc30131"/>
      <w:bookmarkStart w:id="449" w:name="_Toc8524"/>
      <w:bookmarkStart w:id="450" w:name="_Toc5327"/>
      <w:bookmarkStart w:id="451" w:name="_Toc29838"/>
      <w:bookmarkStart w:id="452" w:name="_Toc30272"/>
      <w:bookmarkStart w:id="453" w:name="_Toc8090"/>
      <w:bookmarkStart w:id="454" w:name="_Toc16220"/>
      <w:bookmarkStart w:id="455" w:name="_Toc23575"/>
      <w:bookmarkStart w:id="456" w:name="_Toc9037"/>
      <w:bookmarkStart w:id="457" w:name="_Toc20614"/>
      <w:bookmarkStart w:id="458" w:name="_Toc32612"/>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 xml:space="preserve">7 </w:t>
      </w:r>
      <w:r>
        <w:rPr>
          <w:rFonts w:hint="eastAsia" w:ascii="黑体" w:hAnsi="黑体" w:eastAsia="黑体" w:cs="Times New Roman"/>
          <w:b/>
          <w:color w:val="auto"/>
          <w:sz w:val="28"/>
          <w:szCs w:val="28"/>
          <w:highlight w:val="none"/>
        </w:rPr>
        <w:t>主要设备</w:t>
      </w:r>
      <w:bookmarkEnd w:id="439"/>
      <w:bookmarkEnd w:id="440"/>
      <w:bookmarkEnd w:id="441"/>
      <w:r>
        <w:rPr>
          <w:rFonts w:hint="eastAsia" w:ascii="黑体" w:hAnsi="黑体" w:eastAsia="黑体" w:cs="Times New Roman"/>
          <w:b/>
          <w:color w:val="auto"/>
          <w:sz w:val="28"/>
          <w:szCs w:val="28"/>
          <w:highlight w:val="none"/>
          <w:lang w:eastAsia="zh-CN"/>
        </w:rPr>
        <w:t>和安全设施</w:t>
      </w:r>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p>
    <w:p w14:paraId="6BE71B7D">
      <w:pPr>
        <w:adjustRightInd w:val="0"/>
        <w:snapToGrid w:val="0"/>
        <w:spacing w:beforeLines="0" w:afterLines="0" w:line="360" w:lineRule="auto"/>
        <w:outlineLvl w:val="2"/>
        <w:rPr>
          <w:rFonts w:hint="default" w:ascii="黑体" w:hAnsi="黑体" w:eastAsia="黑体" w:cs="Times New Roman"/>
          <w:b/>
          <w:color w:val="auto"/>
          <w:sz w:val="28"/>
          <w:szCs w:val="28"/>
          <w:highlight w:val="none"/>
          <w:lang w:val="en-US" w:eastAsia="zh-CN"/>
        </w:rPr>
      </w:pPr>
      <w:bookmarkStart w:id="459" w:name="_Toc17638"/>
      <w:bookmarkStart w:id="460" w:name="_Toc209"/>
      <w:bookmarkStart w:id="461" w:name="_Toc15831"/>
      <w:bookmarkStart w:id="462" w:name="_Toc12935"/>
      <w:bookmarkStart w:id="463" w:name="_Toc20112"/>
      <w:bookmarkStart w:id="464" w:name="_Toc4825"/>
      <w:bookmarkStart w:id="465" w:name="_Toc4524"/>
      <w:bookmarkStart w:id="466" w:name="_Toc19584"/>
      <w:bookmarkStart w:id="467" w:name="_Toc29529"/>
      <w:bookmarkStart w:id="468" w:name="_Toc32017"/>
      <w:bookmarkStart w:id="469" w:name="_Toc6005"/>
      <w:bookmarkStart w:id="470" w:name="_Toc6890"/>
      <w:bookmarkStart w:id="471" w:name="_Toc22936"/>
      <w:bookmarkStart w:id="472" w:name="_Toc13302"/>
      <w:bookmarkStart w:id="473" w:name="_Toc28206"/>
      <w:bookmarkStart w:id="474" w:name="_Toc30402"/>
      <w:bookmarkStart w:id="475" w:name="_Toc28507"/>
      <w:r>
        <w:rPr>
          <w:rFonts w:hint="default" w:ascii="黑体" w:hAnsi="黑体" w:eastAsia="黑体" w:cs="Times New Roman"/>
          <w:b/>
          <w:color w:val="auto"/>
          <w:sz w:val="28"/>
          <w:szCs w:val="28"/>
          <w:highlight w:val="none"/>
          <w:lang w:val="en-US" w:eastAsia="zh-CN"/>
        </w:rPr>
        <w:t>2.7.1</w:t>
      </w:r>
      <w:r>
        <w:rPr>
          <w:rFonts w:hint="eastAsia" w:ascii="黑体" w:hAnsi="黑体" w:eastAsia="黑体" w:cs="Times New Roman"/>
          <w:b/>
          <w:color w:val="auto"/>
          <w:sz w:val="28"/>
          <w:szCs w:val="28"/>
          <w:highlight w:val="none"/>
          <w:lang w:val="en-US" w:eastAsia="zh-CN"/>
        </w:rPr>
        <w:t xml:space="preserve"> 主要设备</w:t>
      </w:r>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14:paraId="04092F8C">
      <w:pPr>
        <w:pStyle w:val="16"/>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危化品仓库</w:t>
      </w:r>
      <w:r>
        <w:rPr>
          <w:rFonts w:hint="eastAsia" w:ascii="宋体" w:hAnsi="宋体" w:eastAsia="宋体" w:cs="宋体"/>
          <w:bCs/>
          <w:color w:val="auto"/>
          <w:sz w:val="28"/>
          <w:szCs w:val="28"/>
          <w:highlight w:val="none"/>
          <w:lang w:eastAsia="zh-CN"/>
        </w:rPr>
        <w:t>涉及</w:t>
      </w:r>
      <w:r>
        <w:rPr>
          <w:rFonts w:hint="eastAsia" w:ascii="宋体" w:hAnsi="宋体" w:eastAsia="宋体" w:cs="宋体"/>
          <w:color w:val="auto"/>
          <w:sz w:val="28"/>
          <w:szCs w:val="28"/>
          <w:highlight w:val="none"/>
        </w:rPr>
        <w:t>的设备</w:t>
      </w:r>
      <w:r>
        <w:rPr>
          <w:rFonts w:hint="eastAsia" w:ascii="宋体" w:hAnsi="宋体" w:eastAsia="宋体" w:cs="宋体"/>
          <w:color w:val="auto"/>
          <w:sz w:val="28"/>
          <w:szCs w:val="28"/>
          <w:highlight w:val="none"/>
          <w:lang w:eastAsia="zh-CN"/>
        </w:rPr>
        <w:t>主要为用于装卸危化品的叉车，叉车具体情况</w:t>
      </w:r>
      <w:r>
        <w:rPr>
          <w:rFonts w:hint="eastAsia" w:ascii="宋体" w:hAnsi="宋体" w:eastAsia="宋体" w:cs="宋体"/>
          <w:color w:val="auto"/>
          <w:sz w:val="28"/>
          <w:szCs w:val="28"/>
          <w:highlight w:val="none"/>
        </w:rPr>
        <w:t>见</w:t>
      </w:r>
      <w:r>
        <w:rPr>
          <w:rFonts w:hint="eastAsia" w:ascii="宋体" w:hAnsi="宋体" w:eastAsia="宋体" w:cs="宋体"/>
          <w:color w:val="auto"/>
          <w:sz w:val="28"/>
          <w:szCs w:val="28"/>
          <w:highlight w:val="none"/>
          <w:lang w:eastAsia="zh-CN"/>
        </w:rPr>
        <w:t>下表</w:t>
      </w:r>
      <w:r>
        <w:rPr>
          <w:rFonts w:hint="eastAsia" w:ascii="宋体" w:hAnsi="宋体" w:eastAsia="宋体" w:cs="宋体"/>
          <w:color w:val="auto"/>
          <w:sz w:val="28"/>
          <w:szCs w:val="28"/>
          <w:highlight w:val="none"/>
          <w:lang w:val="en-US" w:eastAsia="zh-CN"/>
        </w:rPr>
        <w:t>，检验报告见附件</w:t>
      </w:r>
      <w:r>
        <w:rPr>
          <w:rFonts w:hint="eastAsia" w:ascii="宋体" w:hAnsi="宋体" w:eastAsia="宋体" w:cs="宋体"/>
          <w:color w:val="auto"/>
          <w:sz w:val="28"/>
          <w:szCs w:val="28"/>
          <w:highlight w:val="none"/>
        </w:rPr>
        <w:t>。</w:t>
      </w:r>
    </w:p>
    <w:p w14:paraId="3B806515">
      <w:pPr>
        <w:adjustRightInd w:val="0"/>
        <w:snapToGrid w:val="0"/>
        <w:spacing w:line="360" w:lineRule="auto"/>
        <w:jc w:val="center"/>
        <w:rPr>
          <w:rFonts w:hint="eastAsia" w:ascii="黑体" w:hAnsi="黑体" w:eastAsia="黑体"/>
          <w:b/>
          <w:color w:val="auto"/>
          <w:spacing w:val="0"/>
          <w:kern w:val="0"/>
          <w:sz w:val="24"/>
          <w:szCs w:val="24"/>
          <w:highlight w:val="none"/>
        </w:rPr>
      </w:pPr>
      <w:r>
        <w:rPr>
          <w:rFonts w:hint="eastAsia" w:ascii="黑体" w:hAnsi="黑体" w:eastAsia="黑体"/>
          <w:b/>
          <w:color w:val="auto"/>
          <w:spacing w:val="0"/>
          <w:kern w:val="0"/>
          <w:sz w:val="24"/>
          <w:szCs w:val="24"/>
          <w:highlight w:val="none"/>
          <w:lang w:eastAsia="zh-CN"/>
        </w:rPr>
        <w:t>表</w:t>
      </w:r>
      <w:r>
        <w:rPr>
          <w:rFonts w:hint="eastAsia" w:ascii="黑体" w:hAnsi="黑体" w:eastAsia="黑体"/>
          <w:b/>
          <w:color w:val="auto"/>
          <w:spacing w:val="0"/>
          <w:kern w:val="0"/>
          <w:sz w:val="24"/>
          <w:szCs w:val="24"/>
          <w:highlight w:val="none"/>
          <w:lang w:val="en-US" w:eastAsia="zh-CN"/>
        </w:rPr>
        <w:t xml:space="preserve">2.7-1 </w:t>
      </w:r>
      <w:r>
        <w:rPr>
          <w:rFonts w:hint="eastAsia" w:ascii="黑体" w:hAnsi="黑体" w:eastAsia="黑体"/>
          <w:b/>
          <w:color w:val="auto"/>
          <w:spacing w:val="0"/>
          <w:kern w:val="0"/>
          <w:sz w:val="24"/>
          <w:szCs w:val="24"/>
          <w:highlight w:val="none"/>
        </w:rPr>
        <w:t>主要设备一览表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052"/>
        <w:gridCol w:w="961"/>
        <w:gridCol w:w="1502"/>
        <w:gridCol w:w="1501"/>
        <w:gridCol w:w="1590"/>
        <w:gridCol w:w="1372"/>
        <w:gridCol w:w="987"/>
      </w:tblGrid>
      <w:tr w14:paraId="7F194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26" w:type="pct"/>
            <w:noWrap w:val="0"/>
            <w:vAlign w:val="center"/>
          </w:tcPr>
          <w:p w14:paraId="6646D063">
            <w:pPr>
              <w:pStyle w:val="516"/>
              <w:snapToGrid w:val="0"/>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560" w:type="pct"/>
            <w:noWrap w:val="0"/>
            <w:vAlign w:val="center"/>
          </w:tcPr>
          <w:p w14:paraId="6980E96A">
            <w:pPr>
              <w:pStyle w:val="516"/>
              <w:snapToGrid w:val="0"/>
              <w:rPr>
                <w:rFonts w:hint="eastAsia" w:ascii="宋体" w:hAnsi="宋体" w:eastAsia="宋体" w:cs="宋体"/>
                <w:b/>
                <w:bCs/>
                <w:color w:val="auto"/>
                <w:highlight w:val="none"/>
              </w:rPr>
            </w:pPr>
            <w:r>
              <w:rPr>
                <w:rFonts w:hint="eastAsia" w:ascii="宋体" w:hAnsi="宋体" w:eastAsia="宋体" w:cs="宋体"/>
                <w:b/>
                <w:bCs/>
                <w:color w:val="auto"/>
                <w:highlight w:val="none"/>
              </w:rPr>
              <w:t>设备名称</w:t>
            </w:r>
          </w:p>
        </w:tc>
        <w:tc>
          <w:tcPr>
            <w:tcW w:w="511" w:type="pct"/>
            <w:noWrap w:val="0"/>
            <w:vAlign w:val="center"/>
          </w:tcPr>
          <w:p w14:paraId="4FF1EE45">
            <w:pPr>
              <w:pStyle w:val="516"/>
              <w:snapToGrid w:val="0"/>
              <w:rPr>
                <w:rFonts w:hint="eastAsia" w:ascii="宋体" w:hAnsi="宋体" w:eastAsia="宋体" w:cs="宋体"/>
                <w:b/>
                <w:bCs/>
                <w:color w:val="auto"/>
                <w:highlight w:val="none"/>
              </w:rPr>
            </w:pPr>
            <w:r>
              <w:rPr>
                <w:rFonts w:hint="eastAsia" w:ascii="宋体" w:hAnsi="宋体" w:eastAsia="宋体" w:cs="宋体"/>
                <w:b/>
                <w:bCs/>
                <w:color w:val="auto"/>
                <w:highlight w:val="none"/>
              </w:rPr>
              <w:t>型号</w:t>
            </w:r>
          </w:p>
        </w:tc>
        <w:tc>
          <w:tcPr>
            <w:tcW w:w="799" w:type="pct"/>
            <w:noWrap w:val="0"/>
            <w:vAlign w:val="center"/>
          </w:tcPr>
          <w:p w14:paraId="4A97243B">
            <w:pPr>
              <w:pStyle w:val="516"/>
              <w:snapToGrid w:val="0"/>
              <w:rPr>
                <w:rFonts w:hint="eastAsia" w:ascii="宋体" w:hAnsi="宋体" w:eastAsia="宋体" w:cs="宋体"/>
                <w:b/>
                <w:bCs/>
                <w:color w:val="auto"/>
                <w:highlight w:val="none"/>
              </w:rPr>
            </w:pPr>
            <w:r>
              <w:rPr>
                <w:rFonts w:hint="eastAsia" w:ascii="宋体" w:hAnsi="宋体" w:eastAsia="宋体" w:cs="宋体"/>
                <w:b/>
                <w:bCs/>
                <w:color w:val="auto"/>
                <w:highlight w:val="none"/>
              </w:rPr>
              <w:t>设备代码</w:t>
            </w:r>
          </w:p>
        </w:tc>
        <w:tc>
          <w:tcPr>
            <w:tcW w:w="799" w:type="pct"/>
            <w:noWrap w:val="0"/>
            <w:vAlign w:val="center"/>
          </w:tcPr>
          <w:p w14:paraId="4459EECB">
            <w:pPr>
              <w:pStyle w:val="516"/>
              <w:snapToGrid w:val="0"/>
              <w:rPr>
                <w:rFonts w:hint="eastAsia" w:ascii="宋体" w:hAnsi="宋体" w:eastAsia="宋体" w:cs="宋体"/>
                <w:b/>
                <w:bCs/>
                <w:color w:val="auto"/>
                <w:highlight w:val="none"/>
              </w:rPr>
            </w:pPr>
            <w:r>
              <w:rPr>
                <w:rFonts w:hint="eastAsia" w:ascii="宋体" w:hAnsi="宋体" w:eastAsia="宋体" w:cs="宋体"/>
                <w:b/>
                <w:bCs/>
                <w:color w:val="auto"/>
                <w:highlight w:val="none"/>
              </w:rPr>
              <w:t>车牌编号</w:t>
            </w:r>
          </w:p>
        </w:tc>
        <w:tc>
          <w:tcPr>
            <w:tcW w:w="846" w:type="pct"/>
            <w:noWrap w:val="0"/>
            <w:vAlign w:val="center"/>
          </w:tcPr>
          <w:p w14:paraId="7308CFFA">
            <w:pPr>
              <w:pStyle w:val="516"/>
              <w:snapToGrid w:val="0"/>
              <w:rPr>
                <w:rFonts w:hint="eastAsia" w:ascii="宋体" w:hAnsi="宋体" w:eastAsia="宋体" w:cs="宋体"/>
                <w:b/>
                <w:bCs/>
                <w:color w:val="auto"/>
                <w:highlight w:val="none"/>
              </w:rPr>
            </w:pPr>
            <w:r>
              <w:rPr>
                <w:rFonts w:hint="eastAsia" w:ascii="宋体" w:hAnsi="宋体" w:eastAsia="宋体" w:cs="宋体"/>
                <w:b/>
                <w:bCs/>
                <w:color w:val="auto"/>
                <w:highlight w:val="none"/>
              </w:rPr>
              <w:t>使用登记证编号</w:t>
            </w:r>
          </w:p>
        </w:tc>
        <w:tc>
          <w:tcPr>
            <w:tcW w:w="730" w:type="pct"/>
            <w:noWrap w:val="0"/>
            <w:vAlign w:val="center"/>
          </w:tcPr>
          <w:p w14:paraId="1C683D07">
            <w:pPr>
              <w:pStyle w:val="516"/>
              <w:snapToGrid w:val="0"/>
              <w:rPr>
                <w:rFonts w:hint="eastAsia" w:ascii="宋体" w:hAnsi="宋体" w:eastAsia="宋体" w:cs="宋体"/>
                <w:b/>
                <w:bCs/>
                <w:color w:val="auto"/>
                <w:highlight w:val="none"/>
              </w:rPr>
            </w:pPr>
            <w:r>
              <w:rPr>
                <w:rFonts w:hint="eastAsia" w:ascii="宋体" w:hAnsi="宋体" w:eastAsia="宋体" w:cs="宋体"/>
                <w:b/>
                <w:bCs/>
                <w:color w:val="auto"/>
                <w:highlight w:val="none"/>
              </w:rPr>
              <w:t>检验日期</w:t>
            </w:r>
          </w:p>
        </w:tc>
        <w:tc>
          <w:tcPr>
            <w:tcW w:w="525" w:type="pct"/>
            <w:noWrap w:val="0"/>
            <w:vAlign w:val="center"/>
          </w:tcPr>
          <w:p w14:paraId="61EA5C48">
            <w:pPr>
              <w:pStyle w:val="516"/>
              <w:snapToGrid w:val="0"/>
              <w:rPr>
                <w:rFonts w:hint="eastAsia" w:ascii="宋体" w:hAnsi="宋体" w:eastAsia="宋体" w:cs="宋体"/>
                <w:b/>
                <w:bCs/>
                <w:color w:val="auto"/>
                <w:highlight w:val="none"/>
              </w:rPr>
            </w:pPr>
            <w:r>
              <w:rPr>
                <w:rFonts w:hint="eastAsia" w:ascii="宋体" w:hAnsi="宋体" w:eastAsia="宋体" w:cs="宋体"/>
                <w:b/>
                <w:bCs/>
                <w:color w:val="auto"/>
                <w:highlight w:val="none"/>
              </w:rPr>
              <w:t>下次检验时间</w:t>
            </w:r>
          </w:p>
        </w:tc>
      </w:tr>
      <w:tr w14:paraId="36E27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6" w:type="pct"/>
            <w:noWrap w:val="0"/>
            <w:vAlign w:val="center"/>
          </w:tcPr>
          <w:p w14:paraId="6B261B6D">
            <w:pPr>
              <w:pStyle w:val="516"/>
              <w:snapToGrid w:val="0"/>
              <w:spacing w:line="240" w:lineRule="atLeast"/>
              <w:rPr>
                <w:rFonts w:hint="eastAsia" w:ascii="宋体" w:hAnsi="宋体" w:eastAsia="宋体" w:cs="宋体"/>
                <w:color w:val="auto"/>
                <w:highlight w:val="none"/>
              </w:rPr>
            </w:pPr>
            <w:r>
              <w:rPr>
                <w:rFonts w:hint="eastAsia" w:ascii="宋体" w:hAnsi="宋体" w:eastAsia="宋体" w:cs="宋体"/>
                <w:color w:val="auto"/>
                <w:highlight w:val="none"/>
              </w:rPr>
              <w:t>1</w:t>
            </w:r>
          </w:p>
          <w:p w14:paraId="3E61B6A6">
            <w:pPr>
              <w:adjustRightInd w:val="0"/>
              <w:snapToGrid w:val="0"/>
              <w:jc w:val="left"/>
              <w:rPr>
                <w:rFonts w:hint="eastAsia" w:ascii="宋体" w:hAnsi="宋体" w:eastAsia="宋体" w:cs="宋体"/>
                <w:color w:val="auto"/>
                <w:szCs w:val="21"/>
                <w:highlight w:val="none"/>
              </w:rPr>
            </w:pPr>
          </w:p>
        </w:tc>
        <w:tc>
          <w:tcPr>
            <w:tcW w:w="560" w:type="pct"/>
            <w:noWrap w:val="0"/>
            <w:vAlign w:val="center"/>
          </w:tcPr>
          <w:p w14:paraId="4F5C43D3">
            <w:pPr>
              <w:pStyle w:val="516"/>
              <w:snapToGrid w:val="0"/>
              <w:spacing w:line="240" w:lineRule="atLeas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平衡重式叉车</w:t>
            </w:r>
          </w:p>
        </w:tc>
        <w:tc>
          <w:tcPr>
            <w:tcW w:w="511" w:type="pct"/>
            <w:noWrap w:val="0"/>
            <w:vAlign w:val="center"/>
          </w:tcPr>
          <w:p w14:paraId="7D550EEB">
            <w:pPr>
              <w:pStyle w:val="516"/>
              <w:snapToGrid w:val="0"/>
              <w:spacing w:line="240" w:lineRule="atLeas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CPC30HB</w:t>
            </w:r>
          </w:p>
        </w:tc>
        <w:tc>
          <w:tcPr>
            <w:tcW w:w="799" w:type="pct"/>
            <w:noWrap w:val="0"/>
            <w:vAlign w:val="center"/>
          </w:tcPr>
          <w:p w14:paraId="6435A814">
            <w:pPr>
              <w:pStyle w:val="516"/>
              <w:snapToGrid w:val="0"/>
              <w:spacing w:line="240" w:lineRule="atLeas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51103310002013090066</w:t>
            </w:r>
          </w:p>
        </w:tc>
        <w:tc>
          <w:tcPr>
            <w:tcW w:w="799" w:type="pct"/>
            <w:noWrap w:val="0"/>
            <w:vAlign w:val="center"/>
          </w:tcPr>
          <w:p w14:paraId="7A065C7A">
            <w:pPr>
              <w:pStyle w:val="516"/>
              <w:snapToGrid w:val="0"/>
              <w:spacing w:line="240" w:lineRule="atLeas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场厂内浙</w:t>
            </w:r>
            <w:r>
              <w:rPr>
                <w:rFonts w:hint="eastAsia" w:ascii="宋体" w:hAnsi="宋体" w:eastAsia="宋体" w:cs="宋体"/>
                <w:color w:val="auto"/>
                <w:highlight w:val="none"/>
                <w:lang w:val="en-US" w:eastAsia="zh-CN"/>
              </w:rPr>
              <w:t>J·03133</w:t>
            </w:r>
          </w:p>
        </w:tc>
        <w:tc>
          <w:tcPr>
            <w:tcW w:w="846" w:type="pct"/>
            <w:noWrap w:val="0"/>
            <w:vAlign w:val="center"/>
          </w:tcPr>
          <w:p w14:paraId="77044E8A">
            <w:pPr>
              <w:pStyle w:val="516"/>
              <w:snapToGrid w:val="0"/>
              <w:spacing w:line="240" w:lineRule="atLeas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车</w:t>
            </w:r>
            <w:r>
              <w:rPr>
                <w:rFonts w:hint="eastAsia" w:ascii="宋体" w:hAnsi="宋体" w:eastAsia="宋体" w:cs="宋体"/>
                <w:color w:val="auto"/>
                <w:highlight w:val="none"/>
                <w:lang w:val="en-US" w:eastAsia="zh-CN"/>
              </w:rPr>
              <w:t>11浙J05135（17）</w:t>
            </w:r>
          </w:p>
        </w:tc>
        <w:tc>
          <w:tcPr>
            <w:tcW w:w="730" w:type="pct"/>
            <w:noWrap w:val="0"/>
            <w:vAlign w:val="center"/>
          </w:tcPr>
          <w:p w14:paraId="37FB772F">
            <w:pPr>
              <w:pStyle w:val="516"/>
              <w:snapToGrid w:val="0"/>
              <w:spacing w:line="240" w:lineRule="atLeas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2023年03月20日</w:t>
            </w:r>
          </w:p>
        </w:tc>
        <w:tc>
          <w:tcPr>
            <w:tcW w:w="525" w:type="pct"/>
            <w:noWrap w:val="0"/>
            <w:vAlign w:val="center"/>
          </w:tcPr>
          <w:p w14:paraId="449E35D4">
            <w:pPr>
              <w:pStyle w:val="516"/>
              <w:snapToGrid w:val="0"/>
              <w:spacing w:line="240" w:lineRule="atLeas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2025年03月</w:t>
            </w:r>
          </w:p>
        </w:tc>
      </w:tr>
    </w:tbl>
    <w:p w14:paraId="23F3FD3E">
      <w:pPr>
        <w:adjustRightInd w:val="0"/>
        <w:snapToGrid w:val="0"/>
        <w:spacing w:beforeLines="50" w:afterLines="0" w:line="360" w:lineRule="auto"/>
        <w:ind w:firstLine="0"/>
        <w:outlineLvl w:val="2"/>
        <w:rPr>
          <w:rFonts w:hint="default" w:ascii="黑体" w:hAnsi="黑体" w:eastAsia="黑体" w:cs="Times New Roman"/>
          <w:b/>
          <w:color w:val="auto"/>
          <w:sz w:val="28"/>
          <w:szCs w:val="28"/>
          <w:highlight w:val="none"/>
          <w:lang w:val="en-US" w:eastAsia="zh-CN"/>
        </w:rPr>
      </w:pPr>
      <w:bookmarkStart w:id="476" w:name="_Toc15296"/>
      <w:bookmarkStart w:id="477" w:name="_Toc9509"/>
      <w:bookmarkStart w:id="478" w:name="_Toc31540"/>
      <w:bookmarkStart w:id="479" w:name="_Toc1642"/>
      <w:bookmarkStart w:id="480" w:name="_Toc23463"/>
      <w:bookmarkStart w:id="481" w:name="_Toc2423"/>
      <w:bookmarkStart w:id="482" w:name="_Toc11826"/>
      <w:bookmarkStart w:id="483" w:name="_Toc19319"/>
      <w:bookmarkStart w:id="484" w:name="_Toc25000"/>
      <w:bookmarkStart w:id="485" w:name="_Toc14162"/>
      <w:bookmarkStart w:id="486" w:name="_Toc29173"/>
      <w:bookmarkStart w:id="487" w:name="_Toc2952"/>
      <w:bookmarkStart w:id="488" w:name="_Toc19630"/>
      <w:bookmarkStart w:id="489" w:name="_Toc3353"/>
      <w:bookmarkStart w:id="490" w:name="_Toc31551"/>
      <w:bookmarkStart w:id="491" w:name="_Toc15231"/>
      <w:bookmarkStart w:id="492" w:name="_Toc22943"/>
      <w:r>
        <w:rPr>
          <w:rFonts w:hint="default" w:ascii="黑体" w:hAnsi="黑体" w:eastAsia="黑体" w:cs="Times New Roman"/>
          <w:b/>
          <w:color w:val="auto"/>
          <w:sz w:val="28"/>
          <w:szCs w:val="28"/>
          <w:highlight w:val="none"/>
          <w:lang w:val="en-US" w:eastAsia="zh-CN"/>
        </w:rPr>
        <w:t>2.7.</w:t>
      </w:r>
      <w:r>
        <w:rPr>
          <w:rFonts w:hint="eastAsia" w:ascii="黑体" w:hAnsi="黑体" w:eastAsia="黑体" w:cs="Times New Roman"/>
          <w:b/>
          <w:color w:val="auto"/>
          <w:sz w:val="28"/>
          <w:szCs w:val="28"/>
          <w:highlight w:val="none"/>
          <w:lang w:val="en-US" w:eastAsia="zh-CN"/>
        </w:rPr>
        <w:t>2 安全设施</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p>
    <w:p w14:paraId="6B488528">
      <w:pPr>
        <w:pStyle w:val="16"/>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危化品仓库</w:t>
      </w:r>
      <w:r>
        <w:rPr>
          <w:rFonts w:hint="eastAsia" w:ascii="宋体" w:hAnsi="宋体" w:eastAsia="宋体" w:cs="宋体"/>
          <w:color w:val="auto"/>
          <w:sz w:val="28"/>
          <w:szCs w:val="28"/>
          <w:highlight w:val="none"/>
        </w:rPr>
        <w:t>的</w:t>
      </w:r>
      <w:r>
        <w:rPr>
          <w:rFonts w:hint="eastAsia" w:ascii="宋体" w:hAnsi="宋体" w:eastAsia="宋体" w:cs="宋体"/>
          <w:color w:val="auto"/>
          <w:sz w:val="28"/>
          <w:szCs w:val="28"/>
          <w:highlight w:val="none"/>
          <w:lang w:eastAsia="zh-CN"/>
        </w:rPr>
        <w:t>安全设施</w:t>
      </w:r>
      <w:r>
        <w:rPr>
          <w:rFonts w:hint="eastAsia" w:ascii="宋体" w:hAnsi="宋体" w:eastAsia="宋体" w:cs="宋体"/>
          <w:color w:val="auto"/>
          <w:sz w:val="28"/>
          <w:szCs w:val="28"/>
          <w:highlight w:val="none"/>
        </w:rPr>
        <w:t>见</w:t>
      </w:r>
      <w:r>
        <w:rPr>
          <w:rFonts w:hint="eastAsia" w:ascii="宋体" w:hAnsi="宋体" w:eastAsia="宋体" w:cs="宋体"/>
          <w:color w:val="auto"/>
          <w:sz w:val="28"/>
          <w:szCs w:val="28"/>
          <w:highlight w:val="none"/>
          <w:lang w:eastAsia="zh-CN"/>
        </w:rPr>
        <w:t>下表</w:t>
      </w:r>
      <w:r>
        <w:rPr>
          <w:rFonts w:hint="eastAsia" w:ascii="宋体" w:hAnsi="宋体" w:eastAsia="宋体" w:cs="宋体"/>
          <w:color w:val="auto"/>
          <w:sz w:val="28"/>
          <w:szCs w:val="28"/>
          <w:highlight w:val="none"/>
        </w:rPr>
        <w:t>。</w:t>
      </w:r>
    </w:p>
    <w:p w14:paraId="15A0AA89">
      <w:pPr>
        <w:pStyle w:val="96"/>
        <w:spacing w:line="360" w:lineRule="auto"/>
        <w:ind w:firstLine="0" w:firstLineChars="0"/>
        <w:jc w:val="center"/>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lang w:eastAsia="zh-CN"/>
        </w:rPr>
        <w:t>表</w:t>
      </w:r>
      <w:r>
        <w:rPr>
          <w:rFonts w:hint="eastAsia" w:ascii="黑体" w:hAnsi="黑体" w:eastAsia="黑体" w:cs="宋体"/>
          <w:b/>
          <w:bCs/>
          <w:color w:val="auto"/>
          <w:sz w:val="24"/>
          <w:szCs w:val="24"/>
          <w:highlight w:val="none"/>
          <w:lang w:val="en-US" w:eastAsia="zh-CN"/>
        </w:rPr>
        <w:t xml:space="preserve">2.7-2 </w:t>
      </w:r>
      <w:r>
        <w:rPr>
          <w:rFonts w:hint="eastAsia" w:ascii="黑体" w:hAnsi="黑体" w:eastAsia="黑体" w:cs="宋体"/>
          <w:b/>
          <w:bCs/>
          <w:color w:val="auto"/>
          <w:sz w:val="24"/>
          <w:szCs w:val="24"/>
          <w:highlight w:val="none"/>
          <w:lang w:eastAsia="zh-CN"/>
        </w:rPr>
        <w:t>安全设施</w:t>
      </w:r>
      <w:r>
        <w:rPr>
          <w:rFonts w:ascii="黑体" w:hAnsi="黑体" w:eastAsia="黑体" w:cs="宋体"/>
          <w:b/>
          <w:bCs/>
          <w:color w:val="auto"/>
          <w:sz w:val="24"/>
          <w:szCs w:val="24"/>
          <w:highlight w:val="none"/>
        </w:rPr>
        <w:t>一览表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732"/>
        <w:gridCol w:w="2275"/>
        <w:gridCol w:w="1276"/>
        <w:gridCol w:w="692"/>
        <w:gridCol w:w="720"/>
        <w:gridCol w:w="3696"/>
      </w:tblGrid>
      <w:tr w14:paraId="169FCF2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90" w:type="pct"/>
            <w:vAlign w:val="center"/>
          </w:tcPr>
          <w:p w14:paraId="31E4060A">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210" w:type="pct"/>
            <w:vAlign w:val="center"/>
          </w:tcPr>
          <w:p w14:paraId="63118A29">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设备名称</w:t>
            </w:r>
          </w:p>
        </w:tc>
        <w:tc>
          <w:tcPr>
            <w:tcW w:w="679" w:type="pct"/>
            <w:vAlign w:val="center"/>
          </w:tcPr>
          <w:p w14:paraId="445FA55E">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型号、规格</w:t>
            </w:r>
          </w:p>
        </w:tc>
        <w:tc>
          <w:tcPr>
            <w:tcW w:w="368" w:type="pct"/>
            <w:vAlign w:val="center"/>
          </w:tcPr>
          <w:p w14:paraId="3B843E92">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单位</w:t>
            </w:r>
          </w:p>
        </w:tc>
        <w:tc>
          <w:tcPr>
            <w:tcW w:w="383" w:type="pct"/>
            <w:vAlign w:val="center"/>
          </w:tcPr>
          <w:p w14:paraId="2549D4D1">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数量</w:t>
            </w:r>
          </w:p>
        </w:tc>
        <w:tc>
          <w:tcPr>
            <w:tcW w:w="1966" w:type="pct"/>
            <w:vAlign w:val="center"/>
          </w:tcPr>
          <w:p w14:paraId="74D54E79">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tc>
      </w:tr>
      <w:tr w14:paraId="684F566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90" w:type="pct"/>
            <w:vAlign w:val="center"/>
          </w:tcPr>
          <w:p w14:paraId="1159BF46">
            <w:pPr>
              <w:numPr>
                <w:ilvl w:val="0"/>
                <w:numId w:val="7"/>
              </w:numPr>
              <w:adjustRightInd w:val="0"/>
              <w:snapToGrid w:val="0"/>
              <w:ind w:left="425" w:hanging="425"/>
              <w:jc w:val="center"/>
              <w:rPr>
                <w:rFonts w:hint="eastAsia" w:ascii="宋体" w:hAnsi="宋体" w:eastAsia="宋体" w:cs="宋体"/>
                <w:color w:val="auto"/>
                <w:szCs w:val="21"/>
                <w:highlight w:val="none"/>
              </w:rPr>
            </w:pPr>
          </w:p>
        </w:tc>
        <w:tc>
          <w:tcPr>
            <w:tcW w:w="1210" w:type="pct"/>
            <w:vAlign w:val="center"/>
          </w:tcPr>
          <w:p w14:paraId="574C5210">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可燃气体报警系统</w:t>
            </w:r>
          </w:p>
        </w:tc>
        <w:tc>
          <w:tcPr>
            <w:tcW w:w="679" w:type="pct"/>
            <w:vAlign w:val="center"/>
          </w:tcPr>
          <w:p w14:paraId="4D35F3C6">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68" w:type="pct"/>
            <w:vAlign w:val="center"/>
          </w:tcPr>
          <w:p w14:paraId="69941FA4">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套</w:t>
            </w:r>
          </w:p>
        </w:tc>
        <w:tc>
          <w:tcPr>
            <w:tcW w:w="383" w:type="pct"/>
            <w:vAlign w:val="center"/>
          </w:tcPr>
          <w:p w14:paraId="012742F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966" w:type="pct"/>
            <w:vAlign w:val="center"/>
          </w:tcPr>
          <w:p w14:paraId="3015FE37">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eastAsia="zh-CN"/>
              </w:rPr>
              <w:t>台</w:t>
            </w:r>
            <w:r>
              <w:rPr>
                <w:rFonts w:hint="eastAsia" w:ascii="宋体" w:hAnsi="宋体" w:eastAsia="宋体" w:cs="宋体"/>
                <w:color w:val="auto"/>
                <w:szCs w:val="21"/>
                <w:highlight w:val="none"/>
              </w:rPr>
              <w:t>主机（</w:t>
            </w:r>
            <w:r>
              <w:rPr>
                <w:rFonts w:hint="eastAsia" w:ascii="宋体" w:hAnsi="宋体" w:eastAsia="宋体" w:cs="宋体"/>
                <w:color w:val="auto"/>
                <w:szCs w:val="21"/>
                <w:highlight w:val="none"/>
                <w:lang w:eastAsia="zh-CN"/>
              </w:rPr>
              <w:t>东南面</w:t>
            </w:r>
            <w:r>
              <w:rPr>
                <w:rFonts w:hint="eastAsia" w:ascii="宋体" w:hAnsi="宋体" w:cs="宋体"/>
                <w:color w:val="auto"/>
                <w:szCs w:val="21"/>
                <w:highlight w:val="none"/>
                <w:lang w:eastAsia="zh-CN"/>
              </w:rPr>
              <w:t>应急物资库</w:t>
            </w:r>
            <w:r>
              <w:rPr>
                <w:rFonts w:hint="eastAsia" w:ascii="宋体" w:hAnsi="宋体" w:eastAsia="宋体" w:cs="宋体"/>
                <w:color w:val="auto"/>
                <w:szCs w:val="21"/>
                <w:highlight w:val="none"/>
              </w:rPr>
              <w:t>内），</w:t>
            </w:r>
          </w:p>
          <w:p w14:paraId="73AA547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个探头</w:t>
            </w:r>
          </w:p>
        </w:tc>
      </w:tr>
      <w:tr w14:paraId="4AB051BA">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90" w:type="pct"/>
            <w:vAlign w:val="center"/>
          </w:tcPr>
          <w:p w14:paraId="517AB140">
            <w:pPr>
              <w:numPr>
                <w:ilvl w:val="0"/>
                <w:numId w:val="7"/>
              </w:numPr>
              <w:adjustRightInd w:val="0"/>
              <w:snapToGrid w:val="0"/>
              <w:ind w:left="425" w:hanging="425"/>
              <w:jc w:val="center"/>
              <w:rPr>
                <w:rFonts w:hint="eastAsia" w:ascii="宋体" w:hAnsi="宋体" w:eastAsia="宋体" w:cs="宋体"/>
                <w:color w:val="auto"/>
                <w:szCs w:val="21"/>
                <w:highlight w:val="none"/>
              </w:rPr>
            </w:pPr>
          </w:p>
        </w:tc>
        <w:tc>
          <w:tcPr>
            <w:tcW w:w="1210" w:type="pct"/>
            <w:vAlign w:val="center"/>
          </w:tcPr>
          <w:p w14:paraId="6F622B13">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防爆</w:t>
            </w:r>
            <w:r>
              <w:rPr>
                <w:rFonts w:hint="eastAsia" w:ascii="宋体" w:hAnsi="宋体" w:eastAsia="宋体" w:cs="宋体"/>
                <w:color w:val="auto"/>
                <w:szCs w:val="21"/>
                <w:highlight w:val="none"/>
              </w:rPr>
              <w:t>视频监控系统</w:t>
            </w:r>
          </w:p>
        </w:tc>
        <w:tc>
          <w:tcPr>
            <w:tcW w:w="679" w:type="pct"/>
            <w:vAlign w:val="center"/>
          </w:tcPr>
          <w:p w14:paraId="5C202D53">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68" w:type="pct"/>
            <w:vAlign w:val="center"/>
          </w:tcPr>
          <w:p w14:paraId="148BD5B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套</w:t>
            </w:r>
          </w:p>
        </w:tc>
        <w:tc>
          <w:tcPr>
            <w:tcW w:w="383" w:type="pct"/>
            <w:vAlign w:val="center"/>
          </w:tcPr>
          <w:p w14:paraId="7437617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966" w:type="pct"/>
            <w:vAlign w:val="center"/>
          </w:tcPr>
          <w:p w14:paraId="700E5C50">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1个主机（</w:t>
            </w:r>
            <w:r>
              <w:rPr>
                <w:rFonts w:hint="eastAsia" w:ascii="宋体" w:hAnsi="宋体" w:eastAsia="宋体" w:cs="宋体"/>
                <w:color w:val="auto"/>
                <w:szCs w:val="21"/>
                <w:highlight w:val="none"/>
                <w:lang w:eastAsia="zh-CN"/>
              </w:rPr>
              <w:t>西</w:t>
            </w:r>
            <w:r>
              <w:rPr>
                <w:rFonts w:hint="eastAsia" w:ascii="宋体" w:hAnsi="宋体" w:cs="宋体"/>
                <w:color w:val="auto"/>
                <w:szCs w:val="21"/>
                <w:highlight w:val="none"/>
                <w:lang w:eastAsia="zh-CN"/>
              </w:rPr>
              <w:t>南</w:t>
            </w:r>
            <w:r>
              <w:rPr>
                <w:rFonts w:hint="eastAsia" w:ascii="宋体" w:hAnsi="宋体" w:eastAsia="宋体" w:cs="宋体"/>
                <w:color w:val="auto"/>
                <w:szCs w:val="21"/>
                <w:highlight w:val="none"/>
                <w:lang w:eastAsia="zh-CN"/>
              </w:rPr>
              <w:t>面值班室内</w:t>
            </w:r>
            <w:r>
              <w:rPr>
                <w:rFonts w:hint="eastAsia" w:ascii="宋体" w:hAnsi="宋体" w:eastAsia="宋体" w:cs="宋体"/>
                <w:color w:val="auto"/>
                <w:szCs w:val="21"/>
                <w:highlight w:val="none"/>
              </w:rPr>
              <w:t>）</w:t>
            </w:r>
          </w:p>
          <w:p w14:paraId="757445FD">
            <w:pPr>
              <w:adjustRightInd w:val="0"/>
              <w:snapToGrid w:val="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4个探头</w:t>
            </w:r>
            <w:r>
              <w:rPr>
                <w:rFonts w:hint="eastAsia" w:ascii="宋体" w:hAnsi="宋体" w:eastAsia="宋体" w:cs="宋体"/>
                <w:color w:val="auto"/>
                <w:szCs w:val="21"/>
                <w:highlight w:val="none"/>
                <w:lang w:eastAsia="zh-CN"/>
              </w:rPr>
              <w:t>，监控视频录像保存时间</w:t>
            </w:r>
            <w:r>
              <w:rPr>
                <w:rFonts w:hint="eastAsia" w:ascii="宋体" w:hAnsi="宋体" w:eastAsia="宋体" w:cs="宋体"/>
                <w:color w:val="auto"/>
                <w:szCs w:val="21"/>
                <w:highlight w:val="none"/>
                <w:lang w:val="en-US" w:eastAsia="zh-CN"/>
              </w:rPr>
              <w:t>3个月</w:t>
            </w:r>
          </w:p>
        </w:tc>
      </w:tr>
      <w:tr w14:paraId="0660D0C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90" w:type="pct"/>
            <w:vAlign w:val="center"/>
          </w:tcPr>
          <w:p w14:paraId="17800C0F">
            <w:pPr>
              <w:numPr>
                <w:ilvl w:val="0"/>
                <w:numId w:val="7"/>
              </w:numPr>
              <w:adjustRightInd w:val="0"/>
              <w:snapToGrid w:val="0"/>
              <w:ind w:left="425" w:hanging="425"/>
              <w:jc w:val="center"/>
              <w:rPr>
                <w:rFonts w:hint="eastAsia" w:ascii="宋体" w:hAnsi="宋体" w:eastAsia="宋体" w:cs="宋体"/>
                <w:color w:val="auto"/>
                <w:szCs w:val="21"/>
                <w:highlight w:val="none"/>
              </w:rPr>
            </w:pPr>
          </w:p>
        </w:tc>
        <w:tc>
          <w:tcPr>
            <w:tcW w:w="1210" w:type="pct"/>
            <w:vAlign w:val="center"/>
          </w:tcPr>
          <w:p w14:paraId="2191C5F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防爆</w:t>
            </w:r>
            <w:r>
              <w:rPr>
                <w:rFonts w:hint="eastAsia" w:ascii="宋体" w:hAnsi="宋体" w:eastAsia="宋体" w:cs="宋体"/>
                <w:color w:val="auto"/>
                <w:szCs w:val="21"/>
                <w:highlight w:val="none"/>
              </w:rPr>
              <w:t>轴流排风机</w:t>
            </w:r>
          </w:p>
        </w:tc>
        <w:tc>
          <w:tcPr>
            <w:tcW w:w="679" w:type="pct"/>
            <w:vAlign w:val="center"/>
          </w:tcPr>
          <w:p w14:paraId="5FEBF8D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直径600mm</w:t>
            </w:r>
          </w:p>
        </w:tc>
        <w:tc>
          <w:tcPr>
            <w:tcW w:w="368" w:type="pct"/>
            <w:vAlign w:val="center"/>
          </w:tcPr>
          <w:p w14:paraId="70173984">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个</w:t>
            </w:r>
          </w:p>
        </w:tc>
        <w:tc>
          <w:tcPr>
            <w:tcW w:w="383" w:type="pct"/>
            <w:vAlign w:val="center"/>
          </w:tcPr>
          <w:p w14:paraId="5B5D6115">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966" w:type="pct"/>
            <w:vAlign w:val="center"/>
          </w:tcPr>
          <w:p w14:paraId="4C3A071D">
            <w:pPr>
              <w:adjustRightInd w:val="0"/>
              <w:snapToGrid w:val="0"/>
              <w:jc w:val="center"/>
              <w:rPr>
                <w:rFonts w:hint="default" w:ascii="宋体" w:hAnsi="宋体" w:eastAsia="宋体" w:cs="宋体"/>
                <w:color w:val="auto"/>
                <w:szCs w:val="21"/>
                <w:highlight w:val="none"/>
                <w:lang w:val="en-US"/>
              </w:rPr>
            </w:pPr>
            <w:r>
              <w:rPr>
                <w:rFonts w:hint="default" w:ascii="宋体" w:hAnsi="宋体" w:eastAsia="宋体" w:cs="宋体"/>
                <w:color w:val="auto"/>
                <w:sz w:val="21"/>
                <w:szCs w:val="21"/>
                <w:highlight w:val="none"/>
                <w:lang w:val="en-US" w:eastAsia="zh-CN"/>
              </w:rPr>
              <w:t>5号仓储</w:t>
            </w:r>
            <w:r>
              <w:rPr>
                <w:rFonts w:hint="default" w:ascii="宋体" w:hAnsi="宋体" w:cs="宋体"/>
                <w:color w:val="auto"/>
                <w:sz w:val="21"/>
                <w:szCs w:val="21"/>
                <w:highlight w:val="none"/>
                <w:lang w:val="en-US" w:eastAsia="zh-CN"/>
              </w:rPr>
              <w:t>1个；</w:t>
            </w:r>
            <w:r>
              <w:rPr>
                <w:rFonts w:hint="eastAsia" w:ascii="宋体" w:hAnsi="宋体" w:eastAsia="宋体" w:cs="宋体"/>
                <w:color w:val="auto"/>
                <w:szCs w:val="21"/>
                <w:highlight w:val="none"/>
              </w:rPr>
              <w:t>2号、3号、4号和6号仓储</w:t>
            </w:r>
            <w:r>
              <w:rPr>
                <w:rFonts w:hint="default" w:ascii="宋体" w:hAnsi="宋体" w:cs="宋体"/>
                <w:color w:val="auto"/>
                <w:sz w:val="21"/>
                <w:szCs w:val="21"/>
                <w:highlight w:val="none"/>
                <w:lang w:val="en-US" w:eastAsia="zh-CN"/>
              </w:rPr>
              <w:t>1个</w:t>
            </w:r>
          </w:p>
        </w:tc>
      </w:tr>
      <w:tr w14:paraId="6FD69D6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90" w:type="pct"/>
            <w:vAlign w:val="center"/>
          </w:tcPr>
          <w:p w14:paraId="1C12AE4D">
            <w:pPr>
              <w:numPr>
                <w:ilvl w:val="0"/>
                <w:numId w:val="7"/>
              </w:numPr>
              <w:adjustRightInd w:val="0"/>
              <w:snapToGrid w:val="0"/>
              <w:ind w:left="425" w:hanging="425"/>
              <w:jc w:val="center"/>
              <w:rPr>
                <w:rFonts w:hint="eastAsia" w:ascii="宋体" w:hAnsi="宋体" w:eastAsia="宋体" w:cs="宋体"/>
                <w:color w:val="auto"/>
                <w:szCs w:val="21"/>
                <w:highlight w:val="none"/>
              </w:rPr>
            </w:pPr>
          </w:p>
        </w:tc>
        <w:tc>
          <w:tcPr>
            <w:tcW w:w="1210" w:type="pct"/>
            <w:vAlign w:val="center"/>
          </w:tcPr>
          <w:p w14:paraId="583EBD32">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防爆空调</w:t>
            </w:r>
          </w:p>
        </w:tc>
        <w:tc>
          <w:tcPr>
            <w:tcW w:w="679" w:type="pct"/>
            <w:vAlign w:val="center"/>
          </w:tcPr>
          <w:p w14:paraId="705D3309">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68" w:type="pct"/>
            <w:vAlign w:val="center"/>
          </w:tcPr>
          <w:p w14:paraId="1ACB1FD5">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台</w:t>
            </w:r>
          </w:p>
        </w:tc>
        <w:tc>
          <w:tcPr>
            <w:tcW w:w="383" w:type="pct"/>
            <w:vAlign w:val="center"/>
          </w:tcPr>
          <w:p w14:paraId="08F96294">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966" w:type="pct"/>
            <w:vAlign w:val="center"/>
          </w:tcPr>
          <w:p w14:paraId="2404665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夏天最高气温时仓库能保持25℃</w:t>
            </w:r>
          </w:p>
        </w:tc>
      </w:tr>
      <w:tr w14:paraId="3F8A28C0">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90" w:type="pct"/>
            <w:vAlign w:val="center"/>
          </w:tcPr>
          <w:p w14:paraId="32ECFE3E">
            <w:pPr>
              <w:numPr>
                <w:ilvl w:val="0"/>
                <w:numId w:val="7"/>
              </w:numPr>
              <w:adjustRightInd w:val="0"/>
              <w:snapToGrid w:val="0"/>
              <w:ind w:left="425" w:hanging="425"/>
              <w:jc w:val="center"/>
              <w:rPr>
                <w:rFonts w:hint="eastAsia" w:ascii="宋体" w:hAnsi="宋体" w:eastAsia="宋体" w:cs="宋体"/>
                <w:color w:val="auto"/>
                <w:szCs w:val="21"/>
                <w:highlight w:val="none"/>
              </w:rPr>
            </w:pPr>
          </w:p>
        </w:tc>
        <w:tc>
          <w:tcPr>
            <w:tcW w:w="1210" w:type="pct"/>
            <w:vAlign w:val="center"/>
          </w:tcPr>
          <w:p w14:paraId="20794743">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洗眼器</w:t>
            </w:r>
          </w:p>
        </w:tc>
        <w:tc>
          <w:tcPr>
            <w:tcW w:w="679" w:type="pct"/>
            <w:vAlign w:val="center"/>
          </w:tcPr>
          <w:p w14:paraId="1B1D5D5F">
            <w:pPr>
              <w:adjustRightInd w:val="0"/>
              <w:snapToGrid w:val="0"/>
              <w:jc w:val="center"/>
              <w:rPr>
                <w:rFonts w:hint="eastAsia" w:ascii="宋体" w:hAnsi="宋体" w:eastAsia="宋体" w:cs="宋体"/>
                <w:color w:val="auto"/>
                <w:szCs w:val="21"/>
                <w:highlight w:val="none"/>
              </w:rPr>
            </w:pPr>
          </w:p>
        </w:tc>
        <w:tc>
          <w:tcPr>
            <w:tcW w:w="368" w:type="pct"/>
            <w:vAlign w:val="center"/>
          </w:tcPr>
          <w:p w14:paraId="529E5690">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台</w:t>
            </w:r>
          </w:p>
        </w:tc>
        <w:tc>
          <w:tcPr>
            <w:tcW w:w="383" w:type="pct"/>
            <w:vAlign w:val="center"/>
          </w:tcPr>
          <w:p w14:paraId="1E08DF05">
            <w:pPr>
              <w:adjustRightInd w:val="0"/>
              <w:snapToGrid w:val="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1966" w:type="pct"/>
            <w:vAlign w:val="center"/>
          </w:tcPr>
          <w:p w14:paraId="21E1C7C5">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2号仓储</w:t>
            </w:r>
            <w:r>
              <w:rPr>
                <w:rFonts w:hint="eastAsia" w:ascii="宋体" w:hAnsi="宋体" w:cs="宋体"/>
                <w:color w:val="auto"/>
                <w:szCs w:val="21"/>
                <w:highlight w:val="none"/>
                <w:lang w:eastAsia="zh-CN"/>
              </w:rPr>
              <w:t>门口</w:t>
            </w:r>
          </w:p>
        </w:tc>
      </w:tr>
      <w:tr w14:paraId="08F0C6C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90" w:type="pct"/>
            <w:vAlign w:val="center"/>
          </w:tcPr>
          <w:p w14:paraId="31E9D866">
            <w:pPr>
              <w:numPr>
                <w:ilvl w:val="0"/>
                <w:numId w:val="7"/>
              </w:numPr>
              <w:adjustRightInd w:val="0"/>
              <w:snapToGrid w:val="0"/>
              <w:ind w:left="425" w:hanging="425"/>
              <w:jc w:val="center"/>
              <w:rPr>
                <w:rFonts w:hint="eastAsia" w:ascii="宋体" w:hAnsi="宋体" w:eastAsia="宋体" w:cs="宋体"/>
                <w:color w:val="auto"/>
                <w:szCs w:val="21"/>
                <w:highlight w:val="none"/>
              </w:rPr>
            </w:pPr>
          </w:p>
        </w:tc>
        <w:tc>
          <w:tcPr>
            <w:tcW w:w="1210" w:type="pct"/>
            <w:vAlign w:val="center"/>
          </w:tcPr>
          <w:p w14:paraId="7CDF4F8B">
            <w:pPr>
              <w:pStyle w:val="16"/>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人体静电消除器</w:t>
            </w:r>
          </w:p>
        </w:tc>
        <w:tc>
          <w:tcPr>
            <w:tcW w:w="679" w:type="pct"/>
            <w:vAlign w:val="center"/>
          </w:tcPr>
          <w:p w14:paraId="19B0D25C">
            <w:pPr>
              <w:adjustRightInd w:val="0"/>
              <w:snapToGrid w:val="0"/>
              <w:jc w:val="center"/>
              <w:rPr>
                <w:rFonts w:hint="eastAsia" w:ascii="宋体" w:hAnsi="宋体" w:eastAsia="宋体" w:cs="宋体"/>
                <w:color w:val="auto"/>
                <w:szCs w:val="21"/>
                <w:highlight w:val="none"/>
              </w:rPr>
            </w:pPr>
          </w:p>
        </w:tc>
        <w:tc>
          <w:tcPr>
            <w:tcW w:w="368" w:type="pct"/>
            <w:vAlign w:val="center"/>
          </w:tcPr>
          <w:p w14:paraId="75DFEBBB">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个</w:t>
            </w:r>
          </w:p>
        </w:tc>
        <w:tc>
          <w:tcPr>
            <w:tcW w:w="383" w:type="pct"/>
            <w:vAlign w:val="center"/>
          </w:tcPr>
          <w:p w14:paraId="13B11203">
            <w:pPr>
              <w:adjustRightInd w:val="0"/>
              <w:snapToGrid w:val="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1966" w:type="pct"/>
            <w:vAlign w:val="center"/>
          </w:tcPr>
          <w:p w14:paraId="7929861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3号、4号仓储</w:t>
            </w:r>
            <w:r>
              <w:rPr>
                <w:rFonts w:hint="eastAsia" w:ascii="宋体" w:hAnsi="宋体" w:cs="宋体"/>
                <w:color w:val="auto"/>
                <w:szCs w:val="21"/>
                <w:highlight w:val="none"/>
                <w:lang w:eastAsia="zh-CN"/>
              </w:rPr>
              <w:t>门口之间</w:t>
            </w:r>
          </w:p>
        </w:tc>
      </w:tr>
      <w:tr w14:paraId="2A01985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90" w:type="pct"/>
            <w:vAlign w:val="center"/>
          </w:tcPr>
          <w:p w14:paraId="33A0A47D">
            <w:pPr>
              <w:numPr>
                <w:ilvl w:val="0"/>
                <w:numId w:val="7"/>
              </w:numPr>
              <w:adjustRightInd w:val="0"/>
              <w:snapToGrid w:val="0"/>
              <w:ind w:left="425" w:hanging="425"/>
              <w:jc w:val="center"/>
              <w:rPr>
                <w:rFonts w:hint="eastAsia" w:ascii="宋体" w:hAnsi="宋体" w:eastAsia="宋体" w:cs="宋体"/>
                <w:color w:val="auto"/>
                <w:szCs w:val="21"/>
                <w:highlight w:val="none"/>
              </w:rPr>
            </w:pPr>
            <w:bookmarkStart w:id="493" w:name="_Toc498075570"/>
            <w:bookmarkStart w:id="494" w:name="_Toc223505176"/>
            <w:bookmarkStart w:id="495" w:name="_Toc330991142"/>
          </w:p>
        </w:tc>
        <w:tc>
          <w:tcPr>
            <w:tcW w:w="1210" w:type="pct"/>
            <w:vAlign w:val="center"/>
          </w:tcPr>
          <w:p w14:paraId="1A686714">
            <w:pPr>
              <w:pStyle w:val="16"/>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温湿度计</w:t>
            </w:r>
          </w:p>
        </w:tc>
        <w:tc>
          <w:tcPr>
            <w:tcW w:w="679" w:type="pct"/>
            <w:vAlign w:val="center"/>
          </w:tcPr>
          <w:p w14:paraId="294B8188">
            <w:pPr>
              <w:adjustRightInd w:val="0"/>
              <w:snapToGrid w:val="0"/>
              <w:jc w:val="center"/>
              <w:rPr>
                <w:rFonts w:hint="eastAsia" w:ascii="宋体" w:hAnsi="宋体" w:eastAsia="宋体" w:cs="宋体"/>
                <w:color w:val="auto"/>
                <w:szCs w:val="21"/>
                <w:highlight w:val="none"/>
              </w:rPr>
            </w:pPr>
          </w:p>
        </w:tc>
        <w:tc>
          <w:tcPr>
            <w:tcW w:w="368" w:type="pct"/>
            <w:vAlign w:val="center"/>
          </w:tcPr>
          <w:p w14:paraId="6E3FCAEF">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个</w:t>
            </w:r>
          </w:p>
        </w:tc>
        <w:tc>
          <w:tcPr>
            <w:tcW w:w="383" w:type="pct"/>
            <w:vAlign w:val="center"/>
          </w:tcPr>
          <w:p w14:paraId="63C5D0E6">
            <w:pPr>
              <w:adjustRightInd w:val="0"/>
              <w:snapToGrid w:val="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1966" w:type="pct"/>
            <w:vAlign w:val="center"/>
          </w:tcPr>
          <w:p w14:paraId="47A2802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2号、3号、4号和6号仓储</w:t>
            </w:r>
          </w:p>
        </w:tc>
      </w:tr>
    </w:tbl>
    <w:p w14:paraId="4256B50E">
      <w:pPr>
        <w:pStyle w:val="16"/>
        <w:widowControl/>
        <w:adjustRightInd w:val="0"/>
        <w:snapToGrid w:val="0"/>
        <w:spacing w:before="157" w:beforeLines="50" w:line="360" w:lineRule="auto"/>
        <w:ind w:left="0" w:firstLine="560" w:firstLineChars="200"/>
        <w:contextualSpacing/>
        <w:jc w:val="both"/>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rPr>
        <w:t>危化品仓库可燃气体检测报警器</w:t>
      </w:r>
      <w:r>
        <w:rPr>
          <w:rFonts w:hint="eastAsia" w:ascii="宋体" w:hAnsi="宋体" w:eastAsia="宋体" w:cs="宋体"/>
          <w:b w:val="0"/>
          <w:bCs w:val="0"/>
          <w:color w:val="auto"/>
          <w:sz w:val="28"/>
          <w:szCs w:val="28"/>
          <w:highlight w:val="none"/>
          <w:lang w:eastAsia="zh-CN"/>
        </w:rPr>
        <w:t>台账见下表</w:t>
      </w:r>
      <w:r>
        <w:rPr>
          <w:rFonts w:hint="eastAsia" w:ascii="宋体" w:hAnsi="宋体" w:eastAsia="宋体" w:cs="宋体"/>
          <w:b w:val="0"/>
          <w:bCs w:val="0"/>
          <w:color w:val="auto"/>
          <w:sz w:val="28"/>
          <w:szCs w:val="28"/>
          <w:highlight w:val="none"/>
          <w:lang w:val="en-US" w:eastAsia="zh-CN"/>
        </w:rPr>
        <w:t>，校准报告见附件。</w:t>
      </w:r>
    </w:p>
    <w:p w14:paraId="2D09FB1D">
      <w:pPr>
        <w:pStyle w:val="16"/>
        <w:widowControl/>
        <w:adjustRightInd w:val="0"/>
        <w:snapToGrid w:val="0"/>
        <w:spacing w:line="360" w:lineRule="auto"/>
        <w:ind w:left="0"/>
        <w:contextualSpacing/>
        <w:jc w:val="center"/>
        <w:rPr>
          <w:rFonts w:hint="eastAsia" w:ascii="黑体" w:hAnsi="黑体" w:eastAsia="黑体" w:cs="黑体"/>
          <w:b/>
          <w:bCs/>
          <w:color w:val="auto"/>
          <w:sz w:val="24"/>
          <w:highlight w:val="none"/>
          <w:lang w:eastAsia="zh-CN"/>
        </w:rPr>
      </w:pPr>
    </w:p>
    <w:p w14:paraId="09110CF8">
      <w:pPr>
        <w:pStyle w:val="16"/>
        <w:widowControl/>
        <w:adjustRightInd w:val="0"/>
        <w:snapToGrid w:val="0"/>
        <w:spacing w:line="360" w:lineRule="auto"/>
        <w:ind w:left="0"/>
        <w:contextualSpacing/>
        <w:jc w:val="center"/>
        <w:rPr>
          <w:rFonts w:hint="eastAsia" w:ascii="黑体" w:hAnsi="黑体" w:eastAsia="黑体" w:cs="黑体"/>
          <w:b/>
          <w:bCs/>
          <w:color w:val="auto"/>
          <w:sz w:val="24"/>
          <w:highlight w:val="none"/>
        </w:rPr>
      </w:pPr>
      <w:r>
        <w:rPr>
          <w:rFonts w:hint="eastAsia" w:ascii="黑体" w:hAnsi="黑体" w:eastAsia="黑体" w:cs="黑体"/>
          <w:b/>
          <w:bCs/>
          <w:color w:val="auto"/>
          <w:sz w:val="24"/>
          <w:highlight w:val="none"/>
          <w:lang w:eastAsia="zh-CN"/>
        </w:rPr>
        <w:t>表</w:t>
      </w:r>
      <w:r>
        <w:rPr>
          <w:rFonts w:hint="eastAsia" w:ascii="黑体" w:hAnsi="黑体" w:eastAsia="黑体" w:cs="黑体"/>
          <w:b/>
          <w:bCs/>
          <w:color w:val="auto"/>
          <w:sz w:val="24"/>
          <w:highlight w:val="none"/>
          <w:lang w:val="en-US" w:eastAsia="zh-CN"/>
        </w:rPr>
        <w:t xml:space="preserve">2.7-3 </w:t>
      </w:r>
      <w:r>
        <w:rPr>
          <w:rFonts w:hint="eastAsia" w:ascii="黑体" w:hAnsi="黑体" w:eastAsia="黑体" w:cs="黑体"/>
          <w:b/>
          <w:bCs/>
          <w:color w:val="auto"/>
          <w:sz w:val="24"/>
          <w:highlight w:val="none"/>
        </w:rPr>
        <w:t>危化品仓库可燃气体检测报警器一览表</w:t>
      </w:r>
    </w:p>
    <w:tbl>
      <w:tblPr>
        <w:tblStyle w:val="61"/>
        <w:tblW w:w="499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73"/>
        <w:gridCol w:w="1470"/>
        <w:gridCol w:w="794"/>
        <w:gridCol w:w="555"/>
        <w:gridCol w:w="885"/>
        <w:gridCol w:w="1020"/>
        <w:gridCol w:w="1410"/>
        <w:gridCol w:w="1357"/>
        <w:gridCol w:w="1228"/>
      </w:tblGrid>
      <w:tr w14:paraId="4E318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jc w:val="center"/>
        </w:trPr>
        <w:tc>
          <w:tcPr>
            <w:tcW w:w="358" w:type="pct"/>
            <w:tcBorders>
              <w:tl2br w:val="nil"/>
              <w:tr2bl w:val="nil"/>
            </w:tcBorders>
            <w:shd w:val="clear" w:color="auto" w:fill="auto"/>
            <w:noWrap/>
            <w:vAlign w:val="center"/>
          </w:tcPr>
          <w:p w14:paraId="015B3634">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782" w:type="pct"/>
            <w:tcBorders>
              <w:tl2br w:val="nil"/>
              <w:tr2bl w:val="nil"/>
            </w:tcBorders>
            <w:shd w:val="clear" w:color="auto" w:fill="auto"/>
            <w:noWrap/>
            <w:vAlign w:val="center"/>
          </w:tcPr>
          <w:p w14:paraId="1D347CDD">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型号</w:t>
            </w:r>
          </w:p>
        </w:tc>
        <w:tc>
          <w:tcPr>
            <w:tcW w:w="422" w:type="pct"/>
            <w:tcBorders>
              <w:tl2br w:val="nil"/>
              <w:tr2bl w:val="nil"/>
            </w:tcBorders>
            <w:shd w:val="clear" w:color="auto" w:fill="auto"/>
            <w:noWrap/>
            <w:vAlign w:val="center"/>
          </w:tcPr>
          <w:p w14:paraId="52CFA140">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出厂编号</w:t>
            </w:r>
          </w:p>
        </w:tc>
        <w:tc>
          <w:tcPr>
            <w:tcW w:w="295" w:type="pct"/>
            <w:tcBorders>
              <w:tl2br w:val="nil"/>
              <w:tr2bl w:val="nil"/>
            </w:tcBorders>
            <w:shd w:val="clear" w:color="auto" w:fill="auto"/>
            <w:noWrap/>
            <w:vAlign w:val="center"/>
          </w:tcPr>
          <w:p w14:paraId="0617B87E">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数量</w:t>
            </w:r>
          </w:p>
        </w:tc>
        <w:tc>
          <w:tcPr>
            <w:tcW w:w="471" w:type="pct"/>
            <w:tcBorders>
              <w:tl2br w:val="nil"/>
              <w:tr2bl w:val="nil"/>
            </w:tcBorders>
            <w:shd w:val="clear" w:color="auto" w:fill="auto"/>
            <w:vAlign w:val="center"/>
          </w:tcPr>
          <w:p w14:paraId="1B275309">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具体安装位置</w:t>
            </w:r>
          </w:p>
        </w:tc>
        <w:tc>
          <w:tcPr>
            <w:tcW w:w="543" w:type="pct"/>
            <w:tcBorders>
              <w:tl2br w:val="nil"/>
              <w:tr2bl w:val="nil"/>
            </w:tcBorders>
            <w:shd w:val="clear" w:color="auto" w:fill="auto"/>
            <w:vAlign w:val="center"/>
          </w:tcPr>
          <w:p w14:paraId="6510D91C">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color w:val="auto"/>
                <w:kern w:val="0"/>
                <w:szCs w:val="21"/>
                <w:highlight w:val="none"/>
                <w:u w:val="none"/>
                <w:lang w:val="en-US" w:eastAsia="zh-CN" w:bidi="ar"/>
              </w:rPr>
              <w:t>安装高度（m）</w:t>
            </w:r>
          </w:p>
        </w:tc>
        <w:tc>
          <w:tcPr>
            <w:tcW w:w="750" w:type="pct"/>
            <w:tcBorders>
              <w:tl2br w:val="nil"/>
              <w:tr2bl w:val="nil"/>
            </w:tcBorders>
            <w:shd w:val="clear" w:color="auto" w:fill="auto"/>
            <w:vAlign w:val="center"/>
          </w:tcPr>
          <w:p w14:paraId="2A783BD8">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color w:val="auto"/>
                <w:kern w:val="0"/>
                <w:szCs w:val="21"/>
                <w:highlight w:val="none"/>
                <w:u w:val="none"/>
                <w:lang w:val="en-US" w:eastAsia="zh-CN" w:bidi="ar"/>
              </w:rPr>
              <w:t>报警限值</w:t>
            </w:r>
          </w:p>
        </w:tc>
        <w:tc>
          <w:tcPr>
            <w:tcW w:w="722" w:type="pct"/>
            <w:tcBorders>
              <w:tl2br w:val="nil"/>
              <w:tr2bl w:val="nil"/>
            </w:tcBorders>
            <w:shd w:val="clear" w:color="auto" w:fill="auto"/>
            <w:vAlign w:val="center"/>
          </w:tcPr>
          <w:p w14:paraId="18825EDD">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该区域环境内气体</w:t>
            </w:r>
          </w:p>
        </w:tc>
        <w:tc>
          <w:tcPr>
            <w:tcW w:w="653" w:type="pct"/>
            <w:tcBorders>
              <w:tl2br w:val="nil"/>
              <w:tr2bl w:val="nil"/>
            </w:tcBorders>
            <w:shd w:val="clear" w:color="auto" w:fill="auto"/>
            <w:noWrap/>
            <w:vAlign w:val="center"/>
          </w:tcPr>
          <w:p w14:paraId="684CA43C">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校准时间</w:t>
            </w:r>
          </w:p>
        </w:tc>
      </w:tr>
      <w:tr w14:paraId="424C7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58" w:type="pct"/>
            <w:tcBorders>
              <w:tl2br w:val="nil"/>
              <w:tr2bl w:val="nil"/>
            </w:tcBorders>
            <w:shd w:val="clear" w:color="auto" w:fill="auto"/>
            <w:noWrap/>
            <w:vAlign w:val="center"/>
          </w:tcPr>
          <w:p w14:paraId="5F522389">
            <w:pPr>
              <w:keepNext w:val="0"/>
              <w:keepLines w:val="0"/>
              <w:widowControl/>
              <w:numPr>
                <w:ilvl w:val="0"/>
                <w:numId w:val="8"/>
              </w:numPr>
              <w:suppressLineNumbers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82" w:type="pct"/>
            <w:tcBorders>
              <w:tl2br w:val="nil"/>
              <w:tr2bl w:val="nil"/>
            </w:tcBorders>
            <w:shd w:val="clear" w:color="auto" w:fill="auto"/>
            <w:noWrap/>
            <w:vAlign w:val="center"/>
          </w:tcPr>
          <w:p w14:paraId="722183D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QH10点型气体探测器</w:t>
            </w:r>
          </w:p>
        </w:tc>
        <w:tc>
          <w:tcPr>
            <w:tcW w:w="422" w:type="pct"/>
            <w:tcBorders>
              <w:tl2br w:val="nil"/>
              <w:tr2bl w:val="nil"/>
            </w:tcBorders>
            <w:shd w:val="clear" w:color="auto" w:fill="auto"/>
            <w:noWrap/>
            <w:vAlign w:val="center"/>
          </w:tcPr>
          <w:p w14:paraId="29F4C3C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B14Y510994</w:t>
            </w:r>
          </w:p>
        </w:tc>
        <w:tc>
          <w:tcPr>
            <w:tcW w:w="295" w:type="pct"/>
            <w:tcBorders>
              <w:tl2br w:val="nil"/>
              <w:tr2bl w:val="nil"/>
            </w:tcBorders>
            <w:shd w:val="clear" w:color="auto" w:fill="auto"/>
            <w:noWrap/>
            <w:vAlign w:val="center"/>
          </w:tcPr>
          <w:p w14:paraId="5836CF3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71" w:type="pct"/>
            <w:tcBorders>
              <w:tl2br w:val="nil"/>
              <w:tr2bl w:val="nil"/>
            </w:tcBorders>
            <w:shd w:val="clear" w:color="auto" w:fill="auto"/>
            <w:vAlign w:val="center"/>
          </w:tcPr>
          <w:p w14:paraId="4421C0C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2号仓储</w:t>
            </w:r>
          </w:p>
        </w:tc>
        <w:tc>
          <w:tcPr>
            <w:tcW w:w="543" w:type="pct"/>
            <w:tcBorders>
              <w:tl2br w:val="nil"/>
              <w:tr2bl w:val="nil"/>
            </w:tcBorders>
            <w:shd w:val="clear" w:color="auto" w:fill="auto"/>
            <w:vAlign w:val="center"/>
          </w:tcPr>
          <w:p w14:paraId="71BE2D1E">
            <w:pPr>
              <w:keepNext w:val="0"/>
              <w:keepLines w:val="0"/>
              <w:widowControl/>
              <w:suppressLineNumbers w:val="0"/>
              <w:adjustRightInd w:val="0"/>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0.3</w:t>
            </w:r>
          </w:p>
        </w:tc>
        <w:tc>
          <w:tcPr>
            <w:tcW w:w="750" w:type="pct"/>
            <w:tcBorders>
              <w:tl2br w:val="nil"/>
              <w:tr2bl w:val="nil"/>
            </w:tcBorders>
            <w:shd w:val="clear" w:color="auto" w:fill="auto"/>
            <w:vAlign w:val="center"/>
          </w:tcPr>
          <w:p w14:paraId="05B9A795">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一级：25%LEL</w:t>
            </w:r>
          </w:p>
          <w:p w14:paraId="3A84AC3D">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szCs w:val="21"/>
                <w:highlight w:val="none"/>
              </w:rPr>
              <w:t>二级：50%LEL</w:t>
            </w:r>
          </w:p>
        </w:tc>
        <w:tc>
          <w:tcPr>
            <w:tcW w:w="722" w:type="pct"/>
            <w:tcBorders>
              <w:tl2br w:val="nil"/>
              <w:tr2bl w:val="nil"/>
            </w:tcBorders>
            <w:shd w:val="clear" w:color="auto" w:fill="auto"/>
            <w:vAlign w:val="center"/>
          </w:tcPr>
          <w:p w14:paraId="00F4051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丙酮，苯乙烯，油漆</w:t>
            </w:r>
          </w:p>
        </w:tc>
        <w:tc>
          <w:tcPr>
            <w:tcW w:w="653" w:type="pct"/>
            <w:tcBorders>
              <w:tl2br w:val="nil"/>
              <w:tr2bl w:val="nil"/>
            </w:tcBorders>
            <w:shd w:val="clear" w:color="auto" w:fill="auto"/>
            <w:noWrap/>
            <w:vAlign w:val="center"/>
          </w:tcPr>
          <w:p w14:paraId="0E373D5E">
            <w:pPr>
              <w:keepNext w:val="0"/>
              <w:keepLines w:val="0"/>
              <w:widowControl/>
              <w:suppressLineNumbers w:val="0"/>
              <w:adjustRightInd w:val="0"/>
              <w:snapToGrid w:val="0"/>
              <w:jc w:val="center"/>
              <w:textAlignment w:val="center"/>
              <w:rPr>
                <w:rFonts w:hint="default"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w:t>
            </w:r>
            <w:r>
              <w:rPr>
                <w:rFonts w:hint="eastAsia" w:ascii="宋体" w:hAnsi="宋体" w:cs="宋体"/>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23</w:t>
            </w:r>
          </w:p>
        </w:tc>
      </w:tr>
      <w:tr w14:paraId="26707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58" w:type="pct"/>
            <w:tcBorders>
              <w:tl2br w:val="nil"/>
              <w:tr2bl w:val="nil"/>
            </w:tcBorders>
            <w:shd w:val="clear" w:color="auto" w:fill="auto"/>
            <w:noWrap/>
            <w:vAlign w:val="center"/>
          </w:tcPr>
          <w:p w14:paraId="425EE974">
            <w:pPr>
              <w:keepNext w:val="0"/>
              <w:keepLines w:val="0"/>
              <w:widowControl/>
              <w:numPr>
                <w:ilvl w:val="0"/>
                <w:numId w:val="8"/>
              </w:numPr>
              <w:suppressLineNumbers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82" w:type="pct"/>
            <w:tcBorders>
              <w:tl2br w:val="nil"/>
              <w:tr2bl w:val="nil"/>
            </w:tcBorders>
            <w:shd w:val="clear" w:color="auto" w:fill="auto"/>
            <w:noWrap/>
            <w:vAlign w:val="center"/>
          </w:tcPr>
          <w:p w14:paraId="060D9A3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QH10点型气体探测器</w:t>
            </w:r>
          </w:p>
        </w:tc>
        <w:tc>
          <w:tcPr>
            <w:tcW w:w="422" w:type="pct"/>
            <w:tcBorders>
              <w:tl2br w:val="nil"/>
              <w:tr2bl w:val="nil"/>
            </w:tcBorders>
            <w:shd w:val="clear" w:color="auto" w:fill="auto"/>
            <w:noWrap/>
            <w:vAlign w:val="center"/>
          </w:tcPr>
          <w:p w14:paraId="0270FAD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B14Y510946</w:t>
            </w:r>
          </w:p>
        </w:tc>
        <w:tc>
          <w:tcPr>
            <w:tcW w:w="295" w:type="pct"/>
            <w:tcBorders>
              <w:tl2br w:val="nil"/>
              <w:tr2bl w:val="nil"/>
            </w:tcBorders>
            <w:shd w:val="clear" w:color="auto" w:fill="auto"/>
            <w:noWrap/>
            <w:vAlign w:val="center"/>
          </w:tcPr>
          <w:p w14:paraId="25DBA3C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71" w:type="pct"/>
            <w:tcBorders>
              <w:tl2br w:val="nil"/>
              <w:tr2bl w:val="nil"/>
            </w:tcBorders>
            <w:shd w:val="clear" w:color="auto" w:fill="auto"/>
            <w:vAlign w:val="center"/>
          </w:tcPr>
          <w:p w14:paraId="271A85A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3号仓储</w:t>
            </w:r>
          </w:p>
        </w:tc>
        <w:tc>
          <w:tcPr>
            <w:tcW w:w="543" w:type="pct"/>
            <w:tcBorders>
              <w:tl2br w:val="nil"/>
              <w:tr2bl w:val="nil"/>
            </w:tcBorders>
            <w:shd w:val="clear" w:color="auto" w:fill="auto"/>
            <w:vAlign w:val="center"/>
          </w:tcPr>
          <w:p w14:paraId="362785FB">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0.3</w:t>
            </w:r>
          </w:p>
        </w:tc>
        <w:tc>
          <w:tcPr>
            <w:tcW w:w="750" w:type="pct"/>
            <w:tcBorders>
              <w:tl2br w:val="nil"/>
              <w:tr2bl w:val="nil"/>
            </w:tcBorders>
            <w:shd w:val="clear" w:color="auto" w:fill="auto"/>
            <w:vAlign w:val="center"/>
          </w:tcPr>
          <w:p w14:paraId="1E31B0B3">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一级：25%LEL</w:t>
            </w:r>
          </w:p>
          <w:p w14:paraId="76FDFF41">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szCs w:val="21"/>
                <w:highlight w:val="none"/>
              </w:rPr>
              <w:t>二级：50%LEL</w:t>
            </w:r>
          </w:p>
        </w:tc>
        <w:tc>
          <w:tcPr>
            <w:tcW w:w="722" w:type="pct"/>
            <w:tcBorders>
              <w:tl2br w:val="nil"/>
              <w:tr2bl w:val="nil"/>
            </w:tcBorders>
            <w:shd w:val="clear" w:color="auto" w:fill="auto"/>
            <w:vAlign w:val="center"/>
          </w:tcPr>
          <w:p w14:paraId="5DDE2BE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丙酮，苯乙烯，油漆</w:t>
            </w:r>
          </w:p>
        </w:tc>
        <w:tc>
          <w:tcPr>
            <w:tcW w:w="653" w:type="pct"/>
            <w:tcBorders>
              <w:tl2br w:val="nil"/>
              <w:tr2bl w:val="nil"/>
            </w:tcBorders>
            <w:shd w:val="clear" w:color="auto" w:fill="auto"/>
            <w:noWrap/>
            <w:vAlign w:val="center"/>
          </w:tcPr>
          <w:p w14:paraId="7D0219F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w:t>
            </w:r>
            <w:r>
              <w:rPr>
                <w:rFonts w:hint="eastAsia" w:ascii="宋体" w:hAnsi="宋体" w:cs="宋体"/>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23</w:t>
            </w:r>
          </w:p>
        </w:tc>
      </w:tr>
      <w:tr w14:paraId="55629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58" w:type="pct"/>
            <w:tcBorders>
              <w:tl2br w:val="nil"/>
              <w:tr2bl w:val="nil"/>
            </w:tcBorders>
            <w:shd w:val="clear" w:color="auto" w:fill="auto"/>
            <w:noWrap/>
            <w:vAlign w:val="center"/>
          </w:tcPr>
          <w:p w14:paraId="382228C7">
            <w:pPr>
              <w:keepNext w:val="0"/>
              <w:keepLines w:val="0"/>
              <w:widowControl/>
              <w:numPr>
                <w:ilvl w:val="0"/>
                <w:numId w:val="8"/>
              </w:numPr>
              <w:suppressLineNumbers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82" w:type="pct"/>
            <w:tcBorders>
              <w:tl2br w:val="nil"/>
              <w:tr2bl w:val="nil"/>
            </w:tcBorders>
            <w:shd w:val="clear" w:color="auto" w:fill="auto"/>
            <w:noWrap/>
            <w:vAlign w:val="center"/>
          </w:tcPr>
          <w:p w14:paraId="6ED73E7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QH10点型气体探测器</w:t>
            </w:r>
          </w:p>
        </w:tc>
        <w:tc>
          <w:tcPr>
            <w:tcW w:w="422" w:type="pct"/>
            <w:tcBorders>
              <w:tl2br w:val="nil"/>
              <w:tr2bl w:val="nil"/>
            </w:tcBorders>
            <w:shd w:val="clear" w:color="auto" w:fill="auto"/>
            <w:noWrap/>
            <w:vAlign w:val="center"/>
          </w:tcPr>
          <w:p w14:paraId="650D565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B14Y510857</w:t>
            </w:r>
          </w:p>
        </w:tc>
        <w:tc>
          <w:tcPr>
            <w:tcW w:w="295" w:type="pct"/>
            <w:tcBorders>
              <w:tl2br w:val="nil"/>
              <w:tr2bl w:val="nil"/>
            </w:tcBorders>
            <w:shd w:val="clear" w:color="auto" w:fill="auto"/>
            <w:noWrap/>
            <w:vAlign w:val="center"/>
          </w:tcPr>
          <w:p w14:paraId="0E65161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71" w:type="pct"/>
            <w:tcBorders>
              <w:tl2br w:val="nil"/>
              <w:tr2bl w:val="nil"/>
            </w:tcBorders>
            <w:shd w:val="clear" w:color="auto" w:fill="auto"/>
            <w:vAlign w:val="center"/>
          </w:tcPr>
          <w:p w14:paraId="56CE0BE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6号仓储</w:t>
            </w:r>
          </w:p>
        </w:tc>
        <w:tc>
          <w:tcPr>
            <w:tcW w:w="543" w:type="pct"/>
            <w:tcBorders>
              <w:tl2br w:val="nil"/>
              <w:tr2bl w:val="nil"/>
            </w:tcBorders>
            <w:shd w:val="clear" w:color="auto" w:fill="auto"/>
            <w:vAlign w:val="center"/>
          </w:tcPr>
          <w:p w14:paraId="439182A5">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0.3</w:t>
            </w:r>
          </w:p>
        </w:tc>
        <w:tc>
          <w:tcPr>
            <w:tcW w:w="750" w:type="pct"/>
            <w:tcBorders>
              <w:tl2br w:val="nil"/>
              <w:tr2bl w:val="nil"/>
            </w:tcBorders>
            <w:shd w:val="clear" w:color="auto" w:fill="auto"/>
            <w:vAlign w:val="center"/>
          </w:tcPr>
          <w:p w14:paraId="132A3690">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一级：25%LEL</w:t>
            </w:r>
          </w:p>
          <w:p w14:paraId="79F6A3A9">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szCs w:val="21"/>
                <w:highlight w:val="none"/>
              </w:rPr>
              <w:t>二级：50%LEL</w:t>
            </w:r>
          </w:p>
        </w:tc>
        <w:tc>
          <w:tcPr>
            <w:tcW w:w="722" w:type="pct"/>
            <w:tcBorders>
              <w:tl2br w:val="nil"/>
              <w:tr2bl w:val="nil"/>
            </w:tcBorders>
            <w:shd w:val="clear" w:color="auto" w:fill="auto"/>
            <w:vAlign w:val="center"/>
          </w:tcPr>
          <w:p w14:paraId="64F8860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丙酮，苯乙烯，油漆</w:t>
            </w:r>
          </w:p>
        </w:tc>
        <w:tc>
          <w:tcPr>
            <w:tcW w:w="653" w:type="pct"/>
            <w:tcBorders>
              <w:tl2br w:val="nil"/>
              <w:tr2bl w:val="nil"/>
            </w:tcBorders>
            <w:shd w:val="clear" w:color="auto" w:fill="auto"/>
            <w:noWrap/>
            <w:vAlign w:val="center"/>
          </w:tcPr>
          <w:p w14:paraId="4837F5D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w:t>
            </w:r>
            <w:r>
              <w:rPr>
                <w:rFonts w:hint="eastAsia" w:ascii="宋体" w:hAnsi="宋体" w:cs="宋体"/>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23</w:t>
            </w:r>
          </w:p>
        </w:tc>
      </w:tr>
      <w:tr w14:paraId="19575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58" w:type="pct"/>
            <w:tcBorders>
              <w:tl2br w:val="nil"/>
              <w:tr2bl w:val="nil"/>
            </w:tcBorders>
            <w:shd w:val="clear" w:color="auto" w:fill="auto"/>
            <w:noWrap/>
            <w:vAlign w:val="center"/>
          </w:tcPr>
          <w:p w14:paraId="3B6DA4EE">
            <w:pPr>
              <w:keepNext w:val="0"/>
              <w:keepLines w:val="0"/>
              <w:widowControl/>
              <w:numPr>
                <w:ilvl w:val="0"/>
                <w:numId w:val="8"/>
              </w:numPr>
              <w:suppressLineNumbers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82" w:type="pct"/>
            <w:tcBorders>
              <w:tl2br w:val="nil"/>
              <w:tr2bl w:val="nil"/>
            </w:tcBorders>
            <w:shd w:val="clear" w:color="auto" w:fill="auto"/>
            <w:noWrap/>
            <w:vAlign w:val="center"/>
          </w:tcPr>
          <w:p w14:paraId="03C209B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QH10点型气体探测器</w:t>
            </w:r>
          </w:p>
        </w:tc>
        <w:tc>
          <w:tcPr>
            <w:tcW w:w="422" w:type="pct"/>
            <w:tcBorders>
              <w:tl2br w:val="nil"/>
              <w:tr2bl w:val="nil"/>
            </w:tcBorders>
            <w:shd w:val="clear" w:color="auto" w:fill="auto"/>
            <w:noWrap/>
            <w:vAlign w:val="center"/>
          </w:tcPr>
          <w:p w14:paraId="783E5DC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B14YA18048</w:t>
            </w:r>
          </w:p>
        </w:tc>
        <w:tc>
          <w:tcPr>
            <w:tcW w:w="295" w:type="pct"/>
            <w:tcBorders>
              <w:tl2br w:val="nil"/>
              <w:tr2bl w:val="nil"/>
            </w:tcBorders>
            <w:shd w:val="clear" w:color="auto" w:fill="auto"/>
            <w:noWrap/>
            <w:vAlign w:val="center"/>
          </w:tcPr>
          <w:p w14:paraId="433B6F6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71" w:type="pct"/>
            <w:tcBorders>
              <w:tl2br w:val="nil"/>
              <w:tr2bl w:val="nil"/>
            </w:tcBorders>
            <w:shd w:val="clear" w:color="auto" w:fill="auto"/>
            <w:vAlign w:val="center"/>
          </w:tcPr>
          <w:p w14:paraId="7C9C4FF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6号仓储</w:t>
            </w:r>
          </w:p>
        </w:tc>
        <w:tc>
          <w:tcPr>
            <w:tcW w:w="543" w:type="pct"/>
            <w:tcBorders>
              <w:tl2br w:val="nil"/>
              <w:tr2bl w:val="nil"/>
            </w:tcBorders>
            <w:shd w:val="clear" w:color="auto" w:fill="auto"/>
            <w:vAlign w:val="center"/>
          </w:tcPr>
          <w:p w14:paraId="1456F5C0">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0.3</w:t>
            </w:r>
          </w:p>
        </w:tc>
        <w:tc>
          <w:tcPr>
            <w:tcW w:w="750" w:type="pct"/>
            <w:tcBorders>
              <w:tl2br w:val="nil"/>
              <w:tr2bl w:val="nil"/>
            </w:tcBorders>
            <w:shd w:val="clear" w:color="auto" w:fill="auto"/>
            <w:vAlign w:val="center"/>
          </w:tcPr>
          <w:p w14:paraId="24C5EA94">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一级：25%LEL</w:t>
            </w:r>
          </w:p>
          <w:p w14:paraId="4146B14C">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szCs w:val="21"/>
                <w:highlight w:val="none"/>
              </w:rPr>
              <w:t>二级：50%LEL</w:t>
            </w:r>
          </w:p>
        </w:tc>
        <w:tc>
          <w:tcPr>
            <w:tcW w:w="722" w:type="pct"/>
            <w:tcBorders>
              <w:tl2br w:val="nil"/>
              <w:tr2bl w:val="nil"/>
            </w:tcBorders>
            <w:shd w:val="clear" w:color="auto" w:fill="auto"/>
            <w:vAlign w:val="center"/>
          </w:tcPr>
          <w:p w14:paraId="0E20950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丙酮，苯乙烯，油漆</w:t>
            </w:r>
          </w:p>
        </w:tc>
        <w:tc>
          <w:tcPr>
            <w:tcW w:w="653" w:type="pct"/>
            <w:tcBorders>
              <w:tl2br w:val="nil"/>
              <w:tr2bl w:val="nil"/>
            </w:tcBorders>
            <w:shd w:val="clear" w:color="auto" w:fill="auto"/>
            <w:noWrap/>
            <w:vAlign w:val="center"/>
          </w:tcPr>
          <w:p w14:paraId="65871BC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w:t>
            </w:r>
            <w:r>
              <w:rPr>
                <w:rFonts w:hint="eastAsia" w:ascii="宋体" w:hAnsi="宋体" w:cs="宋体"/>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23</w:t>
            </w:r>
          </w:p>
        </w:tc>
      </w:tr>
      <w:tr w14:paraId="0963C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58" w:type="pct"/>
            <w:tcBorders>
              <w:tl2br w:val="nil"/>
              <w:tr2bl w:val="nil"/>
            </w:tcBorders>
            <w:shd w:val="clear" w:color="auto" w:fill="auto"/>
            <w:noWrap/>
            <w:vAlign w:val="center"/>
          </w:tcPr>
          <w:p w14:paraId="53C86A7A">
            <w:pPr>
              <w:keepNext w:val="0"/>
              <w:keepLines w:val="0"/>
              <w:widowControl/>
              <w:numPr>
                <w:ilvl w:val="0"/>
                <w:numId w:val="8"/>
              </w:numPr>
              <w:suppressLineNumbers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82" w:type="pct"/>
            <w:tcBorders>
              <w:tl2br w:val="nil"/>
              <w:tr2bl w:val="nil"/>
            </w:tcBorders>
            <w:shd w:val="clear" w:color="auto" w:fill="auto"/>
            <w:noWrap/>
            <w:vAlign w:val="center"/>
          </w:tcPr>
          <w:p w14:paraId="377A61D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QH11点型气体探测器</w:t>
            </w:r>
          </w:p>
        </w:tc>
        <w:tc>
          <w:tcPr>
            <w:tcW w:w="422" w:type="pct"/>
            <w:tcBorders>
              <w:tl2br w:val="nil"/>
              <w:tr2bl w:val="nil"/>
            </w:tcBorders>
            <w:shd w:val="clear" w:color="auto" w:fill="auto"/>
            <w:noWrap/>
            <w:vAlign w:val="center"/>
          </w:tcPr>
          <w:p w14:paraId="14C58D1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B14Y510937</w:t>
            </w:r>
          </w:p>
        </w:tc>
        <w:tc>
          <w:tcPr>
            <w:tcW w:w="295" w:type="pct"/>
            <w:tcBorders>
              <w:tl2br w:val="nil"/>
              <w:tr2bl w:val="nil"/>
            </w:tcBorders>
            <w:shd w:val="clear" w:color="auto" w:fill="auto"/>
            <w:noWrap/>
            <w:vAlign w:val="center"/>
          </w:tcPr>
          <w:p w14:paraId="543368F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71" w:type="pct"/>
            <w:tcBorders>
              <w:tl2br w:val="nil"/>
              <w:tr2bl w:val="nil"/>
            </w:tcBorders>
            <w:shd w:val="clear" w:color="auto" w:fill="auto"/>
            <w:vAlign w:val="center"/>
          </w:tcPr>
          <w:p w14:paraId="339F8D2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5号仓储</w:t>
            </w:r>
          </w:p>
        </w:tc>
        <w:tc>
          <w:tcPr>
            <w:tcW w:w="543" w:type="pct"/>
            <w:tcBorders>
              <w:tl2br w:val="nil"/>
              <w:tr2bl w:val="nil"/>
            </w:tcBorders>
            <w:shd w:val="clear" w:color="auto" w:fill="auto"/>
            <w:vAlign w:val="center"/>
          </w:tcPr>
          <w:p w14:paraId="40F369BD">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0.3</w:t>
            </w:r>
          </w:p>
        </w:tc>
        <w:tc>
          <w:tcPr>
            <w:tcW w:w="750" w:type="pct"/>
            <w:tcBorders>
              <w:tl2br w:val="nil"/>
              <w:tr2bl w:val="nil"/>
            </w:tcBorders>
            <w:shd w:val="clear" w:color="auto" w:fill="auto"/>
            <w:vAlign w:val="center"/>
          </w:tcPr>
          <w:p w14:paraId="0A2C668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一级：25%LEL</w:t>
            </w:r>
          </w:p>
          <w:p w14:paraId="086B597C">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szCs w:val="21"/>
                <w:highlight w:val="none"/>
              </w:rPr>
              <w:t>二级：50%LEL</w:t>
            </w:r>
          </w:p>
        </w:tc>
        <w:tc>
          <w:tcPr>
            <w:tcW w:w="722" w:type="pct"/>
            <w:tcBorders>
              <w:tl2br w:val="nil"/>
              <w:tr2bl w:val="nil"/>
            </w:tcBorders>
            <w:shd w:val="clear" w:color="auto" w:fill="auto"/>
            <w:vAlign w:val="center"/>
          </w:tcPr>
          <w:p w14:paraId="13D1A62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甲乙酮</w:t>
            </w:r>
          </w:p>
        </w:tc>
        <w:tc>
          <w:tcPr>
            <w:tcW w:w="653" w:type="pct"/>
            <w:tcBorders>
              <w:tl2br w:val="nil"/>
              <w:tr2bl w:val="nil"/>
            </w:tcBorders>
            <w:shd w:val="clear" w:color="auto" w:fill="auto"/>
            <w:noWrap/>
            <w:vAlign w:val="center"/>
          </w:tcPr>
          <w:p w14:paraId="326543FF">
            <w:pPr>
              <w:keepNext w:val="0"/>
              <w:keepLines w:val="0"/>
              <w:widowControl/>
              <w:suppressLineNumbers w:val="0"/>
              <w:adjustRightInd w:val="0"/>
              <w:snapToGrid w:val="0"/>
              <w:jc w:val="center"/>
              <w:textAlignment w:val="center"/>
              <w:rPr>
                <w:rFonts w:hint="default"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w:t>
            </w:r>
            <w:r>
              <w:rPr>
                <w:rFonts w:hint="eastAsia" w:ascii="宋体" w:hAnsi="宋体" w:cs="宋体"/>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23</w:t>
            </w:r>
          </w:p>
        </w:tc>
      </w:tr>
    </w:tbl>
    <w:p w14:paraId="2A59466F">
      <w:pPr>
        <w:adjustRightInd w:val="0"/>
        <w:snapToGrid w:val="0"/>
        <w:spacing w:before="157" w:beforeLines="50" w:afterLines="0" w:line="360" w:lineRule="auto"/>
        <w:outlineLvl w:val="1"/>
        <w:rPr>
          <w:rFonts w:ascii="黑体" w:hAnsi="黑体" w:eastAsia="黑体" w:cs="Times New Roman"/>
          <w:b/>
          <w:color w:val="auto"/>
          <w:sz w:val="28"/>
          <w:szCs w:val="28"/>
          <w:highlight w:val="none"/>
        </w:rPr>
      </w:pPr>
      <w:bookmarkStart w:id="496" w:name="_Toc11147"/>
      <w:bookmarkStart w:id="497" w:name="_Toc3773"/>
      <w:bookmarkStart w:id="498" w:name="_Toc19579"/>
      <w:bookmarkStart w:id="499" w:name="_Toc28780"/>
      <w:bookmarkStart w:id="500" w:name="_Toc12472"/>
      <w:bookmarkStart w:id="501" w:name="_Toc18856"/>
      <w:bookmarkStart w:id="502" w:name="_Toc6561"/>
      <w:bookmarkStart w:id="503" w:name="_Toc23003"/>
      <w:bookmarkStart w:id="504" w:name="_Toc16553"/>
      <w:bookmarkStart w:id="505" w:name="_Toc22267"/>
      <w:bookmarkStart w:id="506" w:name="_Toc3769"/>
      <w:bookmarkStart w:id="507" w:name="_Toc11755"/>
      <w:bookmarkStart w:id="508" w:name="_Toc2837"/>
      <w:bookmarkStart w:id="509" w:name="_Toc60846587"/>
      <w:bookmarkStart w:id="510" w:name="_Toc25471"/>
      <w:bookmarkStart w:id="511" w:name="_Toc9114"/>
      <w:bookmarkStart w:id="512" w:name="_Toc22544"/>
      <w:bookmarkStart w:id="513" w:name="_Toc4492"/>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8</w:t>
      </w:r>
      <w:r>
        <w:rPr>
          <w:rFonts w:ascii="黑体" w:hAnsi="黑体" w:eastAsia="黑体" w:cs="Times New Roman"/>
          <w:b/>
          <w:color w:val="auto"/>
          <w:sz w:val="28"/>
          <w:szCs w:val="28"/>
          <w:highlight w:val="none"/>
        </w:rPr>
        <w:t xml:space="preserve"> 公用工程及其辅助设备</w:t>
      </w:r>
      <w:bookmarkEnd w:id="493"/>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p>
    <w:p w14:paraId="27C6336B">
      <w:pPr>
        <w:adjustRightInd w:val="0"/>
        <w:snapToGrid w:val="0"/>
        <w:spacing w:beforeLines="0" w:afterLines="0" w:line="360" w:lineRule="auto"/>
        <w:outlineLvl w:val="2"/>
        <w:rPr>
          <w:rFonts w:hint="eastAsia" w:ascii="黑体" w:hAnsi="黑体" w:eastAsia="黑体" w:cs="Times New Roman"/>
          <w:b/>
          <w:color w:val="auto"/>
          <w:sz w:val="28"/>
          <w:szCs w:val="28"/>
          <w:highlight w:val="none"/>
        </w:rPr>
      </w:pPr>
      <w:bookmarkStart w:id="514" w:name="_Toc18388"/>
      <w:bookmarkStart w:id="515" w:name="_Toc3870"/>
      <w:bookmarkStart w:id="516" w:name="_Toc7938"/>
      <w:bookmarkStart w:id="517" w:name="_Toc12930"/>
      <w:bookmarkStart w:id="518" w:name="_Toc30249"/>
      <w:bookmarkStart w:id="519" w:name="_Toc28702"/>
      <w:bookmarkStart w:id="520" w:name="_Toc845"/>
      <w:bookmarkStart w:id="521" w:name="_Toc12550"/>
      <w:bookmarkStart w:id="522" w:name="_Toc2444"/>
      <w:bookmarkStart w:id="523" w:name="_Toc28383"/>
      <w:bookmarkStart w:id="524" w:name="_Toc60846588"/>
      <w:bookmarkStart w:id="525" w:name="_Toc21333"/>
      <w:bookmarkStart w:id="526" w:name="_Toc13808"/>
      <w:bookmarkStart w:id="527" w:name="_Toc18942"/>
      <w:bookmarkStart w:id="528" w:name="_Toc27458"/>
      <w:bookmarkStart w:id="529" w:name="_Toc3788"/>
      <w:bookmarkStart w:id="530" w:name="_Toc10627"/>
      <w:bookmarkStart w:id="531" w:name="_Toc498075571"/>
      <w:bookmarkStart w:id="532" w:name="_Toc22026"/>
      <w:r>
        <w:rPr>
          <w:rFonts w:ascii="黑体" w:hAnsi="黑体" w:eastAsia="黑体" w:cs="Times New Roman"/>
          <w:b/>
          <w:color w:val="auto"/>
          <w:sz w:val="28"/>
          <w:szCs w:val="28"/>
          <w:highlight w:val="none"/>
        </w:rPr>
        <w:t>2.</w:t>
      </w:r>
      <w:r>
        <w:rPr>
          <w:rFonts w:hint="default" w:ascii="黑体" w:hAnsi="黑体" w:eastAsia="黑体" w:cs="Times New Roman"/>
          <w:b/>
          <w:color w:val="auto"/>
          <w:sz w:val="28"/>
          <w:szCs w:val="28"/>
          <w:highlight w:val="none"/>
          <w:lang w:val="en-US" w:eastAsia="zh-CN"/>
        </w:rPr>
        <w:t>8</w:t>
      </w:r>
      <w:r>
        <w:rPr>
          <w:rFonts w:ascii="黑体" w:hAnsi="黑体" w:eastAsia="黑体" w:cs="Times New Roman"/>
          <w:b/>
          <w:color w:val="auto"/>
          <w:sz w:val="28"/>
          <w:szCs w:val="28"/>
          <w:highlight w:val="none"/>
        </w:rPr>
        <w:t xml:space="preserve">.1 </w:t>
      </w:r>
      <w:r>
        <w:rPr>
          <w:rFonts w:hint="eastAsia" w:ascii="黑体" w:hAnsi="黑体" w:eastAsia="黑体" w:cs="Times New Roman"/>
          <w:b/>
          <w:color w:val="auto"/>
          <w:sz w:val="28"/>
          <w:szCs w:val="28"/>
          <w:highlight w:val="none"/>
        </w:rPr>
        <w:t>供水</w:t>
      </w:r>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p>
    <w:p w14:paraId="2F15283A">
      <w:pPr>
        <w:pStyle w:val="96"/>
        <w:spacing w:beforeLines="0" w:afterLines="0" w:line="360" w:lineRule="auto"/>
        <w:ind w:firstLine="560"/>
        <w:rPr>
          <w:rFonts w:cs="宋体"/>
          <w:color w:val="auto"/>
          <w:highlight w:val="none"/>
        </w:rPr>
      </w:pPr>
      <w:r>
        <w:rPr>
          <w:rFonts w:hint="eastAsia" w:ascii="宋体" w:hAnsi="宋体" w:eastAsia="宋体" w:cs="宋体"/>
          <w:b w:val="0"/>
          <w:bCs w:val="0"/>
          <w:color w:val="auto"/>
          <w:sz w:val="28"/>
          <w:szCs w:val="28"/>
          <w:highlight w:val="none"/>
        </w:rPr>
        <w:t>危化品仓库</w:t>
      </w:r>
      <w:r>
        <w:rPr>
          <w:rFonts w:hint="eastAsia" w:cs="宋体"/>
          <w:color w:val="auto"/>
          <w:highlight w:val="none"/>
        </w:rPr>
        <w:t>基本不消耗水（作业场所洗眼器使用少量水），厂区内供水采用自来水，用水由市政给水管网系统提供。</w:t>
      </w:r>
    </w:p>
    <w:p w14:paraId="43E824D9">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533" w:name="_Toc8477"/>
      <w:bookmarkStart w:id="534" w:name="_Toc14328"/>
      <w:bookmarkStart w:id="535" w:name="_Toc19730"/>
      <w:bookmarkStart w:id="536" w:name="_Toc16788"/>
      <w:bookmarkStart w:id="537" w:name="_Toc21953"/>
      <w:bookmarkStart w:id="538" w:name="_Toc5112"/>
      <w:bookmarkStart w:id="539" w:name="_Toc12760"/>
      <w:bookmarkStart w:id="540" w:name="_Toc27501"/>
      <w:bookmarkStart w:id="541" w:name="_Toc10205"/>
      <w:bookmarkStart w:id="542" w:name="_Toc14299"/>
      <w:bookmarkStart w:id="543" w:name="_Toc28346"/>
      <w:bookmarkStart w:id="544" w:name="_Toc30625"/>
      <w:bookmarkStart w:id="545" w:name="_Toc14195"/>
      <w:bookmarkStart w:id="546" w:name="_Toc8542"/>
      <w:bookmarkStart w:id="547" w:name="_Toc4723"/>
      <w:r>
        <w:rPr>
          <w:rFonts w:ascii="黑体" w:hAnsi="黑体" w:eastAsia="黑体" w:cs="Times New Roman"/>
          <w:b/>
          <w:color w:val="auto"/>
          <w:sz w:val="28"/>
          <w:szCs w:val="28"/>
          <w:highlight w:val="none"/>
        </w:rPr>
        <w:t>2.</w:t>
      </w:r>
      <w:r>
        <w:rPr>
          <w:rFonts w:hint="default" w:ascii="黑体" w:hAnsi="黑体" w:eastAsia="黑体" w:cs="Times New Roman"/>
          <w:b/>
          <w:color w:val="auto"/>
          <w:sz w:val="28"/>
          <w:szCs w:val="28"/>
          <w:highlight w:val="none"/>
          <w:lang w:val="en-US" w:eastAsia="zh-CN"/>
        </w:rPr>
        <w:t>8</w:t>
      </w:r>
      <w:r>
        <w:rPr>
          <w:rFonts w:ascii="黑体" w:hAnsi="黑体" w:eastAsia="黑体" w:cs="Times New Roman"/>
          <w:b/>
          <w:color w:val="auto"/>
          <w:sz w:val="28"/>
          <w:szCs w:val="28"/>
          <w:highlight w:val="none"/>
        </w:rPr>
        <w:t xml:space="preserve">.2 </w:t>
      </w:r>
      <w:r>
        <w:rPr>
          <w:rFonts w:hint="eastAsia" w:ascii="黑体" w:hAnsi="黑体" w:eastAsia="黑体" w:cs="Times New Roman"/>
          <w:b/>
          <w:color w:val="auto"/>
          <w:sz w:val="28"/>
          <w:szCs w:val="28"/>
          <w:highlight w:val="none"/>
        </w:rPr>
        <w:t>供电</w:t>
      </w:r>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p>
    <w:p w14:paraId="4529991A">
      <w:pPr>
        <w:pStyle w:val="96"/>
        <w:spacing w:beforeLines="0" w:afterLines="0" w:line="360" w:lineRule="auto"/>
        <w:ind w:firstLine="560"/>
        <w:rPr>
          <w:rFonts w:cs="宋体"/>
          <w:color w:val="auto"/>
          <w:highlight w:val="none"/>
        </w:rPr>
      </w:pPr>
      <w:r>
        <w:rPr>
          <w:rFonts w:hint="eastAsia" w:ascii="宋体" w:hAnsi="宋体" w:eastAsia="宋体" w:cs="宋体"/>
          <w:b w:val="0"/>
          <w:bCs w:val="0"/>
          <w:color w:val="auto"/>
          <w:sz w:val="28"/>
          <w:szCs w:val="28"/>
          <w:highlight w:val="none"/>
        </w:rPr>
        <w:t>危化品仓库</w:t>
      </w:r>
      <w:r>
        <w:rPr>
          <w:rFonts w:hint="eastAsia" w:cs="宋体"/>
          <w:color w:val="auto"/>
          <w:highlight w:val="none"/>
        </w:rPr>
        <w:t>用电量不大，供电依托原有设施，能满足要求。供电电源引自市政电网。</w:t>
      </w:r>
    </w:p>
    <w:p w14:paraId="6A3C57CD">
      <w:pPr>
        <w:pStyle w:val="96"/>
        <w:spacing w:beforeLines="0" w:afterLines="0" w:line="360" w:lineRule="auto"/>
        <w:ind w:firstLine="560"/>
        <w:rPr>
          <w:rFonts w:hint="eastAsia" w:ascii="宋体" w:hAnsi="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rPr>
        <w:t>危化品仓库</w:t>
      </w:r>
      <w:r>
        <w:rPr>
          <w:rFonts w:hint="eastAsia" w:ascii="宋体" w:hAnsi="宋体" w:cs="宋体"/>
          <w:b w:val="0"/>
          <w:bCs w:val="0"/>
          <w:color w:val="auto"/>
          <w:sz w:val="28"/>
          <w:szCs w:val="28"/>
          <w:highlight w:val="none"/>
          <w:lang w:eastAsia="zh-CN"/>
        </w:rPr>
        <w:t>内设置了防爆型照明灯，照明灯固定在房梁或天花板上。</w:t>
      </w:r>
    </w:p>
    <w:p w14:paraId="2C789585">
      <w:pPr>
        <w:pStyle w:val="96"/>
        <w:spacing w:beforeLines="0" w:afterLines="0" w:line="360" w:lineRule="auto"/>
        <w:ind w:firstLine="560"/>
        <w:rPr>
          <w:rFonts w:hint="eastAsia" w:cs="宋体"/>
          <w:color w:val="auto"/>
          <w:highlight w:val="none"/>
        </w:rPr>
      </w:pPr>
      <w:r>
        <w:rPr>
          <w:rFonts w:hint="eastAsia" w:cs="宋体"/>
          <w:color w:val="auto"/>
          <w:highlight w:val="none"/>
        </w:rPr>
        <w:t>危化品仓库电气选用防爆类型</w:t>
      </w:r>
      <w:r>
        <w:rPr>
          <w:rFonts w:hint="eastAsia" w:cs="宋体"/>
          <w:color w:val="auto"/>
          <w:highlight w:val="none"/>
          <w:lang w:eastAsia="zh-CN"/>
        </w:rPr>
        <w:t>，防爆等级为</w:t>
      </w:r>
      <w:r>
        <w:rPr>
          <w:rFonts w:hint="eastAsia" w:cs="宋体"/>
          <w:color w:val="auto"/>
          <w:highlight w:val="none"/>
          <w:lang w:val="en-US" w:eastAsia="zh-CN"/>
        </w:rPr>
        <w:t>ExdⅡBT4或ExdⅡCT6</w:t>
      </w:r>
      <w:r>
        <w:rPr>
          <w:rFonts w:hint="eastAsia" w:cs="宋体"/>
          <w:color w:val="auto"/>
          <w:highlight w:val="none"/>
        </w:rPr>
        <w:t>。</w:t>
      </w:r>
    </w:p>
    <w:p w14:paraId="77F768F7">
      <w:pPr>
        <w:pStyle w:val="96"/>
        <w:spacing w:beforeLines="0" w:afterLines="0" w:line="360" w:lineRule="auto"/>
        <w:ind w:firstLine="0" w:firstLineChars="0"/>
        <w:rPr>
          <w:rFonts w:hint="eastAsia" w:eastAsia="宋体" w:cs="宋体"/>
          <w:color w:val="auto"/>
          <w:highlight w:val="none"/>
          <w:lang w:eastAsia="zh-CN"/>
        </w:rPr>
      </w:pPr>
      <w:r>
        <w:rPr>
          <w:rFonts w:hint="eastAsia" w:cs="宋体"/>
          <w:color w:val="auto"/>
          <w:highlight w:val="none"/>
        </w:rPr>
        <w:t>危化品仓库</w:t>
      </w:r>
      <w:r>
        <w:rPr>
          <w:rFonts w:hint="eastAsia" w:cs="宋体"/>
          <w:color w:val="auto"/>
          <w:highlight w:val="none"/>
          <w:lang w:eastAsia="zh-CN"/>
        </w:rPr>
        <w:t>为二类防雷建筑，防雷设施包含接闪带、引下线和接地装置，防雷设施定期检测合格，雷电防护装置定期检测报告检测附件。</w:t>
      </w:r>
    </w:p>
    <w:p w14:paraId="09CC5477">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548" w:name="_Toc29286"/>
      <w:bookmarkStart w:id="549" w:name="_Toc25990"/>
      <w:bookmarkStart w:id="550" w:name="_Toc11973"/>
      <w:bookmarkStart w:id="551" w:name="_Toc3382"/>
      <w:bookmarkStart w:id="552" w:name="_Toc498075573"/>
      <w:bookmarkStart w:id="553" w:name="_Toc20854"/>
      <w:bookmarkStart w:id="554" w:name="_Toc8715"/>
      <w:bookmarkStart w:id="555" w:name="_Toc60846590"/>
      <w:bookmarkStart w:id="556" w:name="_Toc9116"/>
      <w:bookmarkStart w:id="557" w:name="_Toc31281"/>
      <w:bookmarkStart w:id="558" w:name="_Toc17904"/>
      <w:bookmarkStart w:id="559" w:name="_Toc28499"/>
      <w:bookmarkStart w:id="560" w:name="_Toc10694"/>
      <w:bookmarkStart w:id="561" w:name="_Toc17866"/>
      <w:bookmarkStart w:id="562" w:name="_Toc13374"/>
      <w:bookmarkStart w:id="563" w:name="_Toc21156"/>
      <w:bookmarkStart w:id="564" w:name="_Toc13566"/>
      <w:bookmarkStart w:id="565" w:name="_Toc899"/>
      <w:bookmarkStart w:id="566" w:name="_Toc4987"/>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8</w:t>
      </w:r>
      <w:r>
        <w:rPr>
          <w:rFonts w:ascii="黑体" w:hAnsi="黑体" w:eastAsia="黑体" w:cs="Times New Roman"/>
          <w:b/>
          <w:color w:val="auto"/>
          <w:sz w:val="28"/>
          <w:szCs w:val="28"/>
          <w:highlight w:val="none"/>
        </w:rPr>
        <w:t xml:space="preserve">.3 </w:t>
      </w:r>
      <w:r>
        <w:rPr>
          <w:rFonts w:hint="eastAsia" w:ascii="黑体" w:hAnsi="黑体" w:eastAsia="黑体" w:cs="Times New Roman"/>
          <w:b/>
          <w:color w:val="auto"/>
          <w:sz w:val="28"/>
          <w:szCs w:val="28"/>
          <w:highlight w:val="none"/>
        </w:rPr>
        <w:t>消防</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p>
    <w:p w14:paraId="3DEC3007">
      <w:pPr>
        <w:pStyle w:val="96"/>
        <w:spacing w:beforeLines="0" w:afterLines="0" w:line="360" w:lineRule="auto"/>
        <w:ind w:firstLine="560"/>
        <w:rPr>
          <w:rFonts w:cs="宋体"/>
          <w:color w:val="auto"/>
          <w:highlight w:val="none"/>
        </w:rPr>
      </w:pPr>
      <w:r>
        <w:rPr>
          <w:rFonts w:hint="eastAsia" w:ascii="宋体" w:hAnsi="宋体" w:eastAsia="宋体" w:cs="宋体"/>
          <w:b w:val="0"/>
          <w:bCs w:val="0"/>
          <w:color w:val="auto"/>
          <w:sz w:val="28"/>
          <w:szCs w:val="28"/>
          <w:highlight w:val="none"/>
        </w:rPr>
        <w:t>危化品仓库</w:t>
      </w:r>
      <w:r>
        <w:rPr>
          <w:rFonts w:hint="eastAsia" w:cs="宋体"/>
          <w:color w:val="auto"/>
          <w:highlight w:val="none"/>
        </w:rPr>
        <w:t>已有的消防设施包括室外消火栓、消防箱、水带、水枪，配置情况见下表。</w:t>
      </w:r>
    </w:p>
    <w:p w14:paraId="4D2FD768">
      <w:pPr>
        <w:pStyle w:val="96"/>
        <w:spacing w:beforeLines="0" w:afterLines="0" w:line="360" w:lineRule="auto"/>
        <w:ind w:firstLine="560"/>
        <w:rPr>
          <w:rFonts w:cs="宋体"/>
          <w:color w:val="auto"/>
          <w:highlight w:val="none"/>
        </w:rPr>
      </w:pPr>
      <w:r>
        <w:rPr>
          <w:rFonts w:hint="eastAsia" w:cs="宋体"/>
          <w:color w:val="auto"/>
          <w:highlight w:val="none"/>
        </w:rPr>
        <w:t>本项目距临海市尤溪街道消防中队</w:t>
      </w:r>
      <w:r>
        <w:rPr>
          <w:rFonts w:cs="宋体"/>
          <w:color w:val="auto"/>
          <w:highlight w:val="none"/>
        </w:rPr>
        <w:t>1</w:t>
      </w:r>
      <w:r>
        <w:rPr>
          <w:rFonts w:hint="eastAsia" w:cs="宋体"/>
          <w:color w:val="auto"/>
          <w:highlight w:val="none"/>
        </w:rPr>
        <w:t>公里，发生事故时可作为外部依托力量。</w:t>
      </w:r>
    </w:p>
    <w:p w14:paraId="45F827B4">
      <w:pPr>
        <w:pStyle w:val="96"/>
        <w:spacing w:beforeLines="0" w:afterLines="0" w:line="360" w:lineRule="auto"/>
        <w:ind w:firstLine="0" w:firstLineChars="0"/>
        <w:jc w:val="center"/>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表</w:t>
      </w:r>
      <w:r>
        <w:rPr>
          <w:rFonts w:ascii="黑体" w:hAnsi="黑体" w:eastAsia="黑体" w:cs="宋体"/>
          <w:b/>
          <w:bCs/>
          <w:color w:val="auto"/>
          <w:sz w:val="24"/>
          <w:szCs w:val="24"/>
          <w:highlight w:val="none"/>
        </w:rPr>
        <w:t>2.</w:t>
      </w:r>
      <w:r>
        <w:rPr>
          <w:rFonts w:hint="eastAsia" w:ascii="黑体" w:hAnsi="黑体" w:eastAsia="黑体" w:cs="宋体"/>
          <w:b/>
          <w:bCs/>
          <w:color w:val="auto"/>
          <w:sz w:val="24"/>
          <w:szCs w:val="24"/>
          <w:highlight w:val="none"/>
          <w:lang w:val="en-US" w:eastAsia="zh-CN"/>
        </w:rPr>
        <w:t>8</w:t>
      </w:r>
      <w:r>
        <w:rPr>
          <w:rFonts w:ascii="黑体" w:hAnsi="黑体" w:eastAsia="黑体" w:cs="宋体"/>
          <w:b/>
          <w:bCs/>
          <w:color w:val="auto"/>
          <w:sz w:val="24"/>
          <w:szCs w:val="24"/>
          <w:highlight w:val="none"/>
        </w:rPr>
        <w:t>-1</w:t>
      </w:r>
      <w:r>
        <w:rPr>
          <w:rFonts w:hint="eastAsia" w:ascii="黑体" w:hAnsi="黑体" w:eastAsia="黑体" w:cs="宋体"/>
          <w:b/>
          <w:bCs/>
          <w:color w:val="auto"/>
          <w:sz w:val="24"/>
          <w:szCs w:val="24"/>
          <w:highlight w:val="none"/>
          <w:lang w:val="en-US" w:eastAsia="zh-CN"/>
        </w:rPr>
        <w:t xml:space="preserve"> </w:t>
      </w:r>
      <w:r>
        <w:rPr>
          <w:rFonts w:hint="eastAsia" w:ascii="黑体" w:hAnsi="黑体" w:eastAsia="黑体" w:cs="宋体"/>
          <w:b/>
          <w:bCs/>
          <w:color w:val="auto"/>
          <w:sz w:val="24"/>
          <w:szCs w:val="24"/>
          <w:highlight w:val="none"/>
        </w:rPr>
        <w:t>消防器材配置一览表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2186"/>
        <w:gridCol w:w="1528"/>
        <w:gridCol w:w="2608"/>
        <w:gridCol w:w="733"/>
        <w:gridCol w:w="1675"/>
      </w:tblGrid>
      <w:tr w14:paraId="3B9C4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54" w:type="pct"/>
            <w:shd w:val="clear" w:color="auto" w:fill="auto"/>
            <w:vAlign w:val="center"/>
          </w:tcPr>
          <w:p w14:paraId="0ADEF02F">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163" w:type="pct"/>
            <w:shd w:val="clear" w:color="auto" w:fill="auto"/>
            <w:vAlign w:val="center"/>
          </w:tcPr>
          <w:p w14:paraId="002A49DB">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名称</w:t>
            </w:r>
          </w:p>
        </w:tc>
        <w:tc>
          <w:tcPr>
            <w:tcW w:w="813" w:type="pct"/>
            <w:vAlign w:val="center"/>
          </w:tcPr>
          <w:p w14:paraId="22638908">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规格/型号</w:t>
            </w:r>
          </w:p>
        </w:tc>
        <w:tc>
          <w:tcPr>
            <w:tcW w:w="1387" w:type="pct"/>
            <w:vAlign w:val="center"/>
          </w:tcPr>
          <w:p w14:paraId="1D212D38">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配备位置</w:t>
            </w:r>
          </w:p>
        </w:tc>
        <w:tc>
          <w:tcPr>
            <w:tcW w:w="390" w:type="pct"/>
            <w:shd w:val="clear" w:color="auto" w:fill="auto"/>
            <w:vAlign w:val="center"/>
          </w:tcPr>
          <w:p w14:paraId="7667325B">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数量</w:t>
            </w:r>
          </w:p>
        </w:tc>
        <w:tc>
          <w:tcPr>
            <w:tcW w:w="891" w:type="pct"/>
            <w:shd w:val="clear" w:color="auto" w:fill="auto"/>
            <w:vAlign w:val="center"/>
          </w:tcPr>
          <w:p w14:paraId="6D187F8C">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tc>
      </w:tr>
      <w:tr w14:paraId="773FC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Merge w:val="restart"/>
            <w:shd w:val="clear" w:color="auto" w:fill="auto"/>
            <w:vAlign w:val="center"/>
          </w:tcPr>
          <w:p w14:paraId="26D74E5E">
            <w:pPr>
              <w:numPr>
                <w:ilvl w:val="0"/>
                <w:numId w:val="9"/>
              </w:numPr>
              <w:adjustRightInd w:val="0"/>
              <w:snapToGrid w:val="0"/>
              <w:ind w:left="425" w:hanging="425"/>
              <w:jc w:val="center"/>
              <w:rPr>
                <w:rFonts w:hint="eastAsia" w:ascii="宋体" w:hAnsi="宋体" w:eastAsia="宋体" w:cs="宋体"/>
                <w:color w:val="auto"/>
                <w:szCs w:val="21"/>
                <w:highlight w:val="none"/>
              </w:rPr>
            </w:pPr>
          </w:p>
        </w:tc>
        <w:tc>
          <w:tcPr>
            <w:tcW w:w="1163" w:type="pct"/>
            <w:vMerge w:val="restart"/>
            <w:shd w:val="clear" w:color="auto" w:fill="auto"/>
            <w:vAlign w:val="center"/>
          </w:tcPr>
          <w:p w14:paraId="2E3009A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灭火器</w:t>
            </w:r>
          </w:p>
        </w:tc>
        <w:tc>
          <w:tcPr>
            <w:tcW w:w="813" w:type="pct"/>
            <w:vMerge w:val="restart"/>
            <w:vAlign w:val="center"/>
          </w:tcPr>
          <w:p w14:paraId="4876F527">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MFZ/ABC4</w:t>
            </w:r>
          </w:p>
        </w:tc>
        <w:tc>
          <w:tcPr>
            <w:tcW w:w="1387" w:type="pct"/>
            <w:vAlign w:val="center"/>
          </w:tcPr>
          <w:p w14:paraId="1DBC4B2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危化品仓库门口</w:t>
            </w:r>
          </w:p>
        </w:tc>
        <w:tc>
          <w:tcPr>
            <w:tcW w:w="390" w:type="pct"/>
            <w:shd w:val="clear" w:color="auto" w:fill="auto"/>
            <w:vAlign w:val="center"/>
          </w:tcPr>
          <w:p w14:paraId="03B2839F">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个</w:t>
            </w:r>
          </w:p>
        </w:tc>
        <w:tc>
          <w:tcPr>
            <w:tcW w:w="891" w:type="pct"/>
            <w:shd w:val="clear" w:color="auto" w:fill="auto"/>
            <w:vAlign w:val="center"/>
          </w:tcPr>
          <w:p w14:paraId="547926C8">
            <w:pPr>
              <w:adjustRightInd w:val="0"/>
              <w:snapToGrid w:val="0"/>
              <w:jc w:val="center"/>
              <w:rPr>
                <w:rFonts w:hint="eastAsia" w:ascii="宋体" w:hAnsi="宋体" w:eastAsia="宋体" w:cs="宋体"/>
                <w:color w:val="auto"/>
                <w:szCs w:val="21"/>
                <w:highlight w:val="none"/>
              </w:rPr>
            </w:pPr>
          </w:p>
        </w:tc>
      </w:tr>
      <w:tr w14:paraId="0F102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Merge w:val="continue"/>
            <w:shd w:val="clear" w:color="auto" w:fill="auto"/>
            <w:vAlign w:val="center"/>
          </w:tcPr>
          <w:p w14:paraId="51140E77">
            <w:pPr>
              <w:adjustRightInd w:val="0"/>
              <w:snapToGrid w:val="0"/>
              <w:jc w:val="center"/>
              <w:rPr>
                <w:rFonts w:hint="eastAsia" w:ascii="宋体" w:hAnsi="宋体" w:eastAsia="宋体" w:cs="宋体"/>
                <w:color w:val="auto"/>
                <w:szCs w:val="21"/>
                <w:highlight w:val="none"/>
              </w:rPr>
            </w:pPr>
          </w:p>
        </w:tc>
        <w:tc>
          <w:tcPr>
            <w:tcW w:w="1163" w:type="pct"/>
            <w:vMerge w:val="continue"/>
            <w:shd w:val="clear" w:color="auto" w:fill="auto"/>
            <w:vAlign w:val="center"/>
          </w:tcPr>
          <w:p w14:paraId="4A9C45BE">
            <w:pPr>
              <w:adjustRightInd w:val="0"/>
              <w:snapToGrid w:val="0"/>
              <w:jc w:val="center"/>
              <w:rPr>
                <w:rFonts w:hint="eastAsia" w:ascii="宋体" w:hAnsi="宋体" w:eastAsia="宋体" w:cs="宋体"/>
                <w:color w:val="auto"/>
                <w:szCs w:val="21"/>
                <w:highlight w:val="none"/>
              </w:rPr>
            </w:pPr>
          </w:p>
        </w:tc>
        <w:tc>
          <w:tcPr>
            <w:tcW w:w="813" w:type="pct"/>
            <w:vMerge w:val="continue"/>
            <w:vAlign w:val="center"/>
          </w:tcPr>
          <w:p w14:paraId="67563359">
            <w:pPr>
              <w:adjustRightInd w:val="0"/>
              <w:snapToGrid w:val="0"/>
              <w:jc w:val="center"/>
              <w:rPr>
                <w:rFonts w:hint="eastAsia" w:ascii="宋体" w:hAnsi="宋体" w:eastAsia="宋体" w:cs="宋体"/>
                <w:color w:val="auto"/>
                <w:szCs w:val="21"/>
                <w:highlight w:val="none"/>
              </w:rPr>
            </w:pPr>
          </w:p>
        </w:tc>
        <w:tc>
          <w:tcPr>
            <w:tcW w:w="1387" w:type="pct"/>
            <w:vAlign w:val="center"/>
          </w:tcPr>
          <w:p w14:paraId="1847C856">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危化品仓库楼道口</w:t>
            </w:r>
          </w:p>
        </w:tc>
        <w:tc>
          <w:tcPr>
            <w:tcW w:w="390" w:type="pct"/>
            <w:shd w:val="clear" w:color="auto" w:fill="auto"/>
            <w:vAlign w:val="center"/>
          </w:tcPr>
          <w:p w14:paraId="55771F33">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个</w:t>
            </w:r>
          </w:p>
        </w:tc>
        <w:tc>
          <w:tcPr>
            <w:tcW w:w="891" w:type="pct"/>
            <w:shd w:val="clear" w:color="auto" w:fill="auto"/>
            <w:vAlign w:val="center"/>
          </w:tcPr>
          <w:p w14:paraId="581D0DAD">
            <w:pPr>
              <w:adjustRightInd w:val="0"/>
              <w:snapToGrid w:val="0"/>
              <w:jc w:val="center"/>
              <w:rPr>
                <w:rFonts w:hint="eastAsia" w:ascii="宋体" w:hAnsi="宋体" w:eastAsia="宋体" w:cs="宋体"/>
                <w:color w:val="auto"/>
                <w:szCs w:val="21"/>
                <w:highlight w:val="none"/>
              </w:rPr>
            </w:pPr>
          </w:p>
        </w:tc>
      </w:tr>
      <w:tr w14:paraId="056B3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shd w:val="clear" w:color="auto" w:fill="auto"/>
            <w:vAlign w:val="center"/>
          </w:tcPr>
          <w:p w14:paraId="1B912863">
            <w:pPr>
              <w:numPr>
                <w:ilvl w:val="0"/>
                <w:numId w:val="9"/>
              </w:numPr>
              <w:adjustRightInd w:val="0"/>
              <w:snapToGrid w:val="0"/>
              <w:ind w:left="425" w:hanging="425"/>
              <w:jc w:val="center"/>
              <w:rPr>
                <w:rFonts w:hint="eastAsia" w:ascii="宋体" w:hAnsi="宋体" w:eastAsia="宋体" w:cs="宋体"/>
                <w:color w:val="auto"/>
                <w:szCs w:val="21"/>
                <w:highlight w:val="none"/>
              </w:rPr>
            </w:pPr>
          </w:p>
        </w:tc>
        <w:tc>
          <w:tcPr>
            <w:tcW w:w="1163" w:type="pct"/>
            <w:shd w:val="clear" w:color="auto" w:fill="auto"/>
            <w:vAlign w:val="center"/>
          </w:tcPr>
          <w:p w14:paraId="517FA944">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消防栓</w:t>
            </w:r>
          </w:p>
        </w:tc>
        <w:tc>
          <w:tcPr>
            <w:tcW w:w="813" w:type="pct"/>
            <w:vAlign w:val="center"/>
          </w:tcPr>
          <w:p w14:paraId="31D06FF0">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SS150/80-1.6</w:t>
            </w:r>
          </w:p>
        </w:tc>
        <w:tc>
          <w:tcPr>
            <w:tcW w:w="1387" w:type="pct"/>
            <w:vAlign w:val="center"/>
          </w:tcPr>
          <w:p w14:paraId="0F4EFD57">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危化品仓库西侧绿化带</w:t>
            </w:r>
          </w:p>
        </w:tc>
        <w:tc>
          <w:tcPr>
            <w:tcW w:w="390" w:type="pct"/>
            <w:shd w:val="clear" w:color="auto" w:fill="auto"/>
            <w:vAlign w:val="center"/>
          </w:tcPr>
          <w:p w14:paraId="2F148576">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个</w:t>
            </w:r>
          </w:p>
        </w:tc>
        <w:tc>
          <w:tcPr>
            <w:tcW w:w="891" w:type="pct"/>
            <w:shd w:val="clear" w:color="auto" w:fill="auto"/>
            <w:vAlign w:val="center"/>
          </w:tcPr>
          <w:p w14:paraId="20D25EC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距离小于60m</w:t>
            </w:r>
          </w:p>
        </w:tc>
      </w:tr>
      <w:tr w14:paraId="5AE5F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shd w:val="clear" w:color="auto" w:fill="auto"/>
            <w:vAlign w:val="center"/>
          </w:tcPr>
          <w:p w14:paraId="705490B8">
            <w:pPr>
              <w:numPr>
                <w:ilvl w:val="0"/>
                <w:numId w:val="9"/>
              </w:numPr>
              <w:adjustRightInd w:val="0"/>
              <w:snapToGrid w:val="0"/>
              <w:ind w:left="425" w:hanging="425"/>
              <w:jc w:val="center"/>
              <w:rPr>
                <w:rFonts w:hint="eastAsia" w:ascii="宋体" w:hAnsi="宋体" w:eastAsia="宋体" w:cs="宋体"/>
                <w:color w:val="auto"/>
                <w:szCs w:val="21"/>
                <w:highlight w:val="none"/>
              </w:rPr>
            </w:pPr>
          </w:p>
        </w:tc>
        <w:tc>
          <w:tcPr>
            <w:tcW w:w="1163" w:type="pct"/>
            <w:shd w:val="clear" w:color="auto" w:fill="auto"/>
            <w:vAlign w:val="center"/>
          </w:tcPr>
          <w:p w14:paraId="3095B2FD">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手推式干粉灭火器</w:t>
            </w:r>
          </w:p>
        </w:tc>
        <w:tc>
          <w:tcPr>
            <w:tcW w:w="813" w:type="pct"/>
            <w:vAlign w:val="center"/>
          </w:tcPr>
          <w:p w14:paraId="4669C89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MFZ/ABC35</w:t>
            </w:r>
          </w:p>
        </w:tc>
        <w:tc>
          <w:tcPr>
            <w:tcW w:w="1387" w:type="pct"/>
            <w:vAlign w:val="center"/>
          </w:tcPr>
          <w:p w14:paraId="1683CD2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危化品仓库门口</w:t>
            </w:r>
          </w:p>
        </w:tc>
        <w:tc>
          <w:tcPr>
            <w:tcW w:w="390" w:type="pct"/>
            <w:shd w:val="clear" w:color="auto" w:fill="auto"/>
            <w:vAlign w:val="center"/>
          </w:tcPr>
          <w:p w14:paraId="2C85F37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个</w:t>
            </w:r>
          </w:p>
        </w:tc>
        <w:tc>
          <w:tcPr>
            <w:tcW w:w="891" w:type="pct"/>
            <w:shd w:val="clear" w:color="auto" w:fill="auto"/>
            <w:vAlign w:val="center"/>
          </w:tcPr>
          <w:p w14:paraId="3231CBDC">
            <w:pPr>
              <w:adjustRightInd w:val="0"/>
              <w:snapToGrid w:val="0"/>
              <w:jc w:val="center"/>
              <w:rPr>
                <w:rFonts w:hint="eastAsia" w:ascii="宋体" w:hAnsi="宋体" w:eastAsia="宋体" w:cs="宋体"/>
                <w:color w:val="auto"/>
                <w:szCs w:val="21"/>
                <w:highlight w:val="none"/>
              </w:rPr>
            </w:pPr>
          </w:p>
        </w:tc>
      </w:tr>
      <w:tr w14:paraId="5DB13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shd w:val="clear" w:color="auto" w:fill="auto"/>
            <w:vAlign w:val="center"/>
          </w:tcPr>
          <w:p w14:paraId="7FCD901E">
            <w:pPr>
              <w:numPr>
                <w:ilvl w:val="0"/>
                <w:numId w:val="9"/>
              </w:numPr>
              <w:adjustRightInd w:val="0"/>
              <w:snapToGrid w:val="0"/>
              <w:ind w:left="425" w:hanging="425"/>
              <w:jc w:val="center"/>
              <w:rPr>
                <w:rFonts w:hint="eastAsia" w:ascii="宋体" w:hAnsi="宋体" w:eastAsia="宋体" w:cs="宋体"/>
                <w:color w:val="auto"/>
                <w:szCs w:val="21"/>
                <w:highlight w:val="none"/>
              </w:rPr>
            </w:pPr>
          </w:p>
        </w:tc>
        <w:tc>
          <w:tcPr>
            <w:tcW w:w="1163" w:type="pct"/>
            <w:shd w:val="clear" w:color="auto" w:fill="auto"/>
            <w:vAlign w:val="center"/>
          </w:tcPr>
          <w:p w14:paraId="072DA16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推车式水基型灭火器</w:t>
            </w:r>
          </w:p>
        </w:tc>
        <w:tc>
          <w:tcPr>
            <w:tcW w:w="813" w:type="pct"/>
            <w:vAlign w:val="center"/>
          </w:tcPr>
          <w:p w14:paraId="273826B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MPTZ/45</w:t>
            </w:r>
          </w:p>
        </w:tc>
        <w:tc>
          <w:tcPr>
            <w:tcW w:w="1387" w:type="pct"/>
            <w:vAlign w:val="center"/>
          </w:tcPr>
          <w:p w14:paraId="0C603EC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危化品仓库楼道口</w:t>
            </w:r>
          </w:p>
        </w:tc>
        <w:tc>
          <w:tcPr>
            <w:tcW w:w="390" w:type="pct"/>
            <w:shd w:val="clear" w:color="auto" w:fill="auto"/>
            <w:vAlign w:val="center"/>
          </w:tcPr>
          <w:p w14:paraId="346999E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个</w:t>
            </w:r>
          </w:p>
        </w:tc>
        <w:tc>
          <w:tcPr>
            <w:tcW w:w="891" w:type="pct"/>
            <w:shd w:val="clear" w:color="auto" w:fill="auto"/>
            <w:vAlign w:val="center"/>
          </w:tcPr>
          <w:p w14:paraId="07F4E92E">
            <w:pPr>
              <w:adjustRightInd w:val="0"/>
              <w:snapToGrid w:val="0"/>
              <w:jc w:val="center"/>
              <w:rPr>
                <w:rFonts w:hint="eastAsia" w:ascii="宋体" w:hAnsi="宋体" w:eastAsia="宋体" w:cs="宋体"/>
                <w:color w:val="auto"/>
                <w:szCs w:val="21"/>
                <w:highlight w:val="none"/>
              </w:rPr>
            </w:pPr>
          </w:p>
        </w:tc>
      </w:tr>
      <w:tr w14:paraId="59BED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shd w:val="clear" w:color="auto" w:fill="auto"/>
            <w:vAlign w:val="center"/>
          </w:tcPr>
          <w:p w14:paraId="419E94B5">
            <w:pPr>
              <w:numPr>
                <w:ilvl w:val="0"/>
                <w:numId w:val="9"/>
              </w:numPr>
              <w:adjustRightInd w:val="0"/>
              <w:snapToGrid w:val="0"/>
              <w:ind w:left="425" w:hanging="425"/>
              <w:jc w:val="center"/>
              <w:rPr>
                <w:rFonts w:hint="eastAsia" w:ascii="宋体" w:hAnsi="宋体" w:eastAsia="宋体" w:cs="宋体"/>
                <w:color w:val="auto"/>
                <w:szCs w:val="21"/>
                <w:highlight w:val="none"/>
              </w:rPr>
            </w:pPr>
          </w:p>
        </w:tc>
        <w:tc>
          <w:tcPr>
            <w:tcW w:w="1163" w:type="pct"/>
            <w:shd w:val="clear" w:color="auto" w:fill="auto"/>
            <w:vAlign w:val="center"/>
          </w:tcPr>
          <w:p w14:paraId="28EDA935">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消防沙池</w:t>
            </w:r>
          </w:p>
        </w:tc>
        <w:tc>
          <w:tcPr>
            <w:tcW w:w="813" w:type="pct"/>
            <w:vAlign w:val="center"/>
          </w:tcPr>
          <w:p w14:paraId="7E70B5D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0.5m</w:t>
            </w:r>
            <w:r>
              <w:rPr>
                <w:rFonts w:hint="eastAsia" w:ascii="宋体" w:hAnsi="宋体" w:eastAsia="宋体" w:cs="宋体"/>
                <w:color w:val="auto"/>
                <w:szCs w:val="21"/>
                <w:highlight w:val="none"/>
                <w:vertAlign w:val="superscript"/>
              </w:rPr>
              <w:t>3</w:t>
            </w:r>
          </w:p>
        </w:tc>
        <w:tc>
          <w:tcPr>
            <w:tcW w:w="1387" w:type="pct"/>
            <w:vAlign w:val="center"/>
          </w:tcPr>
          <w:p w14:paraId="4720BE22">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危化品仓库门口</w:t>
            </w:r>
          </w:p>
        </w:tc>
        <w:tc>
          <w:tcPr>
            <w:tcW w:w="390" w:type="pct"/>
            <w:shd w:val="clear" w:color="auto" w:fill="auto"/>
            <w:vAlign w:val="center"/>
          </w:tcPr>
          <w:p w14:paraId="3A55D539">
            <w:pPr>
              <w:adjustRightInd w:val="0"/>
              <w:snapToGrid w:val="0"/>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eastAsia="zh-CN"/>
              </w:rPr>
              <w:t>个</w:t>
            </w:r>
          </w:p>
        </w:tc>
        <w:tc>
          <w:tcPr>
            <w:tcW w:w="891" w:type="pct"/>
            <w:shd w:val="clear" w:color="auto" w:fill="auto"/>
            <w:vAlign w:val="center"/>
          </w:tcPr>
          <w:p w14:paraId="339D5B4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配备有砂铲</w:t>
            </w:r>
          </w:p>
        </w:tc>
      </w:tr>
      <w:tr w14:paraId="57261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shd w:val="clear" w:color="auto" w:fill="auto"/>
            <w:vAlign w:val="center"/>
          </w:tcPr>
          <w:p w14:paraId="4949291F">
            <w:pPr>
              <w:numPr>
                <w:ilvl w:val="0"/>
                <w:numId w:val="9"/>
              </w:numPr>
              <w:adjustRightInd w:val="0"/>
              <w:snapToGrid w:val="0"/>
              <w:ind w:left="425" w:hanging="425"/>
              <w:jc w:val="center"/>
              <w:rPr>
                <w:rFonts w:hint="eastAsia" w:ascii="宋体" w:hAnsi="宋体" w:eastAsia="宋体" w:cs="宋体"/>
                <w:color w:val="auto"/>
                <w:szCs w:val="21"/>
                <w:highlight w:val="none"/>
              </w:rPr>
            </w:pPr>
          </w:p>
        </w:tc>
        <w:tc>
          <w:tcPr>
            <w:tcW w:w="1163" w:type="pct"/>
            <w:shd w:val="clear" w:color="auto" w:fill="auto"/>
            <w:vAlign w:val="center"/>
          </w:tcPr>
          <w:p w14:paraId="7E5CEA8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CN"/>
              </w:rPr>
              <w:t>半固定式泡沫</w:t>
            </w:r>
            <w:r>
              <w:rPr>
                <w:rFonts w:hint="eastAsia" w:ascii="宋体" w:hAnsi="宋体" w:eastAsia="宋体" w:cs="宋体"/>
                <w:color w:val="auto"/>
                <w:kern w:val="0"/>
                <w:szCs w:val="21"/>
                <w:highlight w:val="none"/>
              </w:rPr>
              <w:t>灭火装置</w:t>
            </w:r>
          </w:p>
        </w:tc>
        <w:tc>
          <w:tcPr>
            <w:tcW w:w="813" w:type="pct"/>
            <w:vAlign w:val="center"/>
          </w:tcPr>
          <w:p w14:paraId="107DD0D1">
            <w:pPr>
              <w:adjustRightInd w:val="0"/>
              <w:snapToGrid w:val="0"/>
              <w:jc w:val="center"/>
              <w:rPr>
                <w:rFonts w:hint="eastAsia" w:ascii="宋体" w:hAnsi="宋体" w:eastAsia="宋体" w:cs="宋体"/>
                <w:color w:val="auto"/>
                <w:szCs w:val="21"/>
                <w:highlight w:val="none"/>
              </w:rPr>
            </w:pPr>
          </w:p>
        </w:tc>
        <w:tc>
          <w:tcPr>
            <w:tcW w:w="1387" w:type="pct"/>
            <w:vAlign w:val="center"/>
          </w:tcPr>
          <w:p w14:paraId="32C19BA2">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危化品仓库楼道口</w:t>
            </w:r>
          </w:p>
        </w:tc>
        <w:tc>
          <w:tcPr>
            <w:tcW w:w="390" w:type="pct"/>
            <w:shd w:val="clear" w:color="auto" w:fill="auto"/>
            <w:vAlign w:val="center"/>
          </w:tcPr>
          <w:p w14:paraId="5D7D38E5">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1台</w:t>
            </w:r>
          </w:p>
        </w:tc>
        <w:tc>
          <w:tcPr>
            <w:tcW w:w="891" w:type="pct"/>
            <w:shd w:val="clear" w:color="auto" w:fill="auto"/>
            <w:vAlign w:val="center"/>
          </w:tcPr>
          <w:p w14:paraId="3AE691F0">
            <w:pPr>
              <w:adjustRightInd w:val="0"/>
              <w:snapToGrid w:val="0"/>
              <w:jc w:val="center"/>
              <w:rPr>
                <w:rFonts w:hint="eastAsia" w:ascii="宋体" w:hAnsi="宋体" w:eastAsia="宋体" w:cs="宋体"/>
                <w:color w:val="auto"/>
                <w:szCs w:val="21"/>
                <w:highlight w:val="none"/>
              </w:rPr>
            </w:pPr>
          </w:p>
        </w:tc>
      </w:tr>
    </w:tbl>
    <w:p w14:paraId="1FB30E8E">
      <w:pPr>
        <w:adjustRightInd w:val="0"/>
        <w:snapToGrid w:val="0"/>
        <w:spacing w:before="157" w:beforeLines="50" w:afterLines="0" w:line="360" w:lineRule="auto"/>
        <w:jc w:val="left"/>
        <w:outlineLvl w:val="1"/>
        <w:rPr>
          <w:rFonts w:ascii="黑体" w:hAnsi="黑体" w:eastAsia="黑体" w:cs="Times New Roman"/>
          <w:b/>
          <w:color w:val="auto"/>
          <w:sz w:val="28"/>
          <w:szCs w:val="28"/>
          <w:highlight w:val="none"/>
        </w:rPr>
      </w:pPr>
      <w:bookmarkStart w:id="567" w:name="_Toc9873"/>
      <w:bookmarkStart w:id="568" w:name="_Toc12922"/>
      <w:bookmarkStart w:id="569" w:name="_Toc10461"/>
      <w:bookmarkStart w:id="570" w:name="_Toc31136"/>
      <w:bookmarkStart w:id="571" w:name="_Toc5437"/>
      <w:bookmarkStart w:id="572" w:name="_Toc26788"/>
      <w:bookmarkStart w:id="573" w:name="_Toc60846591"/>
      <w:bookmarkStart w:id="574" w:name="_Toc30664"/>
      <w:bookmarkStart w:id="575" w:name="_Toc21778"/>
      <w:bookmarkStart w:id="576" w:name="_Toc13648"/>
      <w:bookmarkStart w:id="577" w:name="_Toc4937"/>
      <w:bookmarkStart w:id="578" w:name="_Toc13483"/>
      <w:bookmarkStart w:id="579" w:name="_Toc3977"/>
      <w:bookmarkStart w:id="580" w:name="_Toc25330"/>
      <w:bookmarkStart w:id="581" w:name="_Toc4131"/>
      <w:bookmarkStart w:id="582" w:name="_Toc20707"/>
      <w:bookmarkStart w:id="583" w:name="_Toc19503"/>
      <w:bookmarkStart w:id="584" w:name="_Toc12746"/>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 xml:space="preserve">9 </w:t>
      </w:r>
      <w:r>
        <w:rPr>
          <w:rFonts w:hint="eastAsia" w:ascii="黑体" w:hAnsi="黑体" w:eastAsia="黑体" w:cs="Times New Roman"/>
          <w:b/>
          <w:color w:val="auto"/>
          <w:sz w:val="28"/>
          <w:szCs w:val="28"/>
          <w:highlight w:val="none"/>
        </w:rPr>
        <w:t>工作制度</w:t>
      </w:r>
      <w:bookmarkEnd w:id="494"/>
      <w:bookmarkEnd w:id="495"/>
      <w:r>
        <w:rPr>
          <w:rFonts w:hint="eastAsia" w:ascii="黑体" w:hAnsi="黑体" w:eastAsia="黑体" w:cs="Times New Roman"/>
          <w:b/>
          <w:color w:val="auto"/>
          <w:sz w:val="28"/>
          <w:szCs w:val="28"/>
          <w:highlight w:val="none"/>
        </w:rPr>
        <w:t>与劳动定员</w:t>
      </w:r>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p>
    <w:p w14:paraId="2B5F47A9">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585" w:name="_Toc8663"/>
      <w:bookmarkStart w:id="586" w:name="_Toc24268"/>
      <w:bookmarkStart w:id="587" w:name="_Toc6482"/>
      <w:bookmarkStart w:id="588" w:name="_Toc26148"/>
      <w:bookmarkStart w:id="589" w:name="_Toc17124"/>
      <w:bookmarkStart w:id="590" w:name="_Toc3015"/>
      <w:bookmarkStart w:id="591" w:name="_Toc31158"/>
      <w:bookmarkStart w:id="592" w:name="_Toc11341"/>
      <w:bookmarkStart w:id="593" w:name="_Toc3216"/>
      <w:bookmarkStart w:id="594" w:name="_Toc21474"/>
      <w:bookmarkStart w:id="595" w:name="_Toc18221"/>
      <w:bookmarkStart w:id="596" w:name="_Toc498075575"/>
      <w:bookmarkStart w:id="597" w:name="_Toc22268"/>
      <w:bookmarkStart w:id="598" w:name="_Toc60846592"/>
      <w:bookmarkStart w:id="599" w:name="_Toc19983"/>
      <w:bookmarkStart w:id="600" w:name="_Toc17546"/>
      <w:bookmarkStart w:id="601" w:name="_Toc9074"/>
      <w:bookmarkStart w:id="602" w:name="_Toc12978"/>
      <w:bookmarkStart w:id="603" w:name="_Toc26137"/>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9</w:t>
      </w:r>
      <w:r>
        <w:rPr>
          <w:rFonts w:ascii="黑体" w:hAnsi="黑体" w:eastAsia="黑体" w:cs="Times New Roman"/>
          <w:b/>
          <w:color w:val="auto"/>
          <w:sz w:val="28"/>
          <w:szCs w:val="28"/>
          <w:highlight w:val="none"/>
        </w:rPr>
        <w:t xml:space="preserve">.1 </w:t>
      </w:r>
      <w:r>
        <w:rPr>
          <w:rFonts w:hint="eastAsia" w:ascii="黑体" w:hAnsi="黑体" w:eastAsia="黑体" w:cs="Times New Roman"/>
          <w:b/>
          <w:color w:val="auto"/>
          <w:sz w:val="28"/>
          <w:szCs w:val="28"/>
          <w:highlight w:val="none"/>
        </w:rPr>
        <w:t>工作制度</w:t>
      </w:r>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p>
    <w:p w14:paraId="5946A9C6">
      <w:pPr>
        <w:adjustRightInd w:val="0"/>
        <w:snapToGrid w:val="0"/>
        <w:spacing w:beforeLines="0" w:afterLines="0" w:line="360" w:lineRule="auto"/>
        <w:ind w:firstLine="560" w:firstLineChars="200"/>
        <w:rPr>
          <w:rFonts w:ascii="Times New Roman" w:hAnsi="Times New Roman" w:cs="Times New Roman"/>
          <w:bCs/>
          <w:color w:val="auto"/>
          <w:sz w:val="28"/>
          <w:szCs w:val="28"/>
          <w:highlight w:val="none"/>
        </w:rPr>
      </w:pPr>
      <w:r>
        <w:rPr>
          <w:rFonts w:hint="eastAsia" w:ascii="Times New Roman" w:hAnsi="Times New Roman" w:cs="Times New Roman"/>
          <w:bCs/>
          <w:color w:val="auto"/>
          <w:sz w:val="28"/>
          <w:szCs w:val="28"/>
          <w:highlight w:val="none"/>
        </w:rPr>
        <w:t>危化品仓库全年工作日</w:t>
      </w:r>
      <w:r>
        <w:rPr>
          <w:rFonts w:ascii="Times New Roman" w:hAnsi="Times New Roman" w:cs="Times New Roman"/>
          <w:bCs/>
          <w:color w:val="auto"/>
          <w:sz w:val="28"/>
          <w:szCs w:val="28"/>
          <w:highlight w:val="none"/>
        </w:rPr>
        <w:t>290</w:t>
      </w:r>
      <w:r>
        <w:rPr>
          <w:rFonts w:hint="eastAsia" w:ascii="Times New Roman" w:hAnsi="Times New Roman" w:cs="Times New Roman"/>
          <w:bCs/>
          <w:color w:val="auto"/>
          <w:sz w:val="28"/>
          <w:szCs w:val="28"/>
          <w:highlight w:val="none"/>
        </w:rPr>
        <w:t>天，常日班。</w:t>
      </w:r>
    </w:p>
    <w:p w14:paraId="3AE61709">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604" w:name="_Toc25299"/>
      <w:bookmarkStart w:id="605" w:name="_Toc18332"/>
      <w:bookmarkStart w:id="606" w:name="_Toc24020"/>
      <w:bookmarkStart w:id="607" w:name="_Toc24825"/>
      <w:bookmarkStart w:id="608" w:name="_Toc22684"/>
      <w:bookmarkStart w:id="609" w:name="_Toc24324"/>
      <w:bookmarkStart w:id="610" w:name="_Toc9150"/>
      <w:bookmarkStart w:id="611" w:name="_Toc22002"/>
      <w:bookmarkStart w:id="612" w:name="_Toc29007"/>
      <w:bookmarkStart w:id="613" w:name="_Toc12110"/>
      <w:bookmarkStart w:id="614" w:name="_Toc30381"/>
      <w:bookmarkStart w:id="615" w:name="_Toc60846593"/>
      <w:bookmarkStart w:id="616" w:name="_Toc498075576"/>
      <w:bookmarkStart w:id="617" w:name="_Toc5473"/>
      <w:bookmarkStart w:id="618" w:name="_Toc27383"/>
      <w:bookmarkStart w:id="619" w:name="_Toc17035"/>
      <w:bookmarkStart w:id="620" w:name="_Toc22019"/>
      <w:bookmarkStart w:id="621" w:name="_Toc13893"/>
      <w:bookmarkStart w:id="622" w:name="_Toc291"/>
      <w:r>
        <w:rPr>
          <w:rFonts w:ascii="黑体" w:hAnsi="黑体" w:eastAsia="黑体" w:cs="Times New Roman"/>
          <w:b/>
          <w:color w:val="auto"/>
          <w:sz w:val="28"/>
          <w:szCs w:val="28"/>
          <w:highlight w:val="none"/>
        </w:rPr>
        <w:t>2.</w:t>
      </w:r>
      <w:r>
        <w:rPr>
          <w:rFonts w:hint="eastAsia" w:ascii="黑体" w:hAnsi="黑体" w:eastAsia="黑体" w:cs="Times New Roman"/>
          <w:b/>
          <w:color w:val="auto"/>
          <w:sz w:val="28"/>
          <w:szCs w:val="28"/>
          <w:highlight w:val="none"/>
          <w:lang w:val="en-US" w:eastAsia="zh-CN"/>
        </w:rPr>
        <w:t>9</w:t>
      </w:r>
      <w:r>
        <w:rPr>
          <w:rFonts w:ascii="黑体" w:hAnsi="黑体" w:eastAsia="黑体" w:cs="Times New Roman"/>
          <w:b/>
          <w:color w:val="auto"/>
          <w:sz w:val="28"/>
          <w:szCs w:val="28"/>
          <w:highlight w:val="none"/>
        </w:rPr>
        <w:t xml:space="preserve">.2 </w:t>
      </w:r>
      <w:r>
        <w:rPr>
          <w:rFonts w:hint="eastAsia" w:ascii="黑体" w:hAnsi="黑体" w:eastAsia="黑体" w:cs="Times New Roman"/>
          <w:b/>
          <w:color w:val="auto"/>
          <w:sz w:val="28"/>
          <w:szCs w:val="28"/>
          <w:highlight w:val="none"/>
        </w:rPr>
        <w:t>劳动定员</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4A75D34D">
      <w:pPr>
        <w:adjustRightInd w:val="0"/>
        <w:snapToGrid w:val="0"/>
        <w:spacing w:beforeLines="0" w:afterLines="0" w:line="360" w:lineRule="auto"/>
        <w:ind w:firstLine="560" w:firstLineChars="200"/>
        <w:rPr>
          <w:rFonts w:ascii="Times New Roman" w:hAnsi="Times New Roman" w:cs="Times New Roman"/>
          <w:bCs/>
          <w:color w:val="auto"/>
          <w:sz w:val="28"/>
          <w:szCs w:val="28"/>
          <w:highlight w:val="none"/>
        </w:rPr>
      </w:pPr>
      <w:r>
        <w:rPr>
          <w:rFonts w:hint="eastAsia" w:ascii="Times New Roman" w:hAnsi="Times New Roman" w:cs="Times New Roman"/>
          <w:bCs/>
          <w:color w:val="auto"/>
          <w:sz w:val="28"/>
          <w:szCs w:val="28"/>
          <w:highlight w:val="none"/>
        </w:rPr>
        <w:t>危化品仓库定员</w:t>
      </w:r>
      <w:r>
        <w:rPr>
          <w:rFonts w:hint="eastAsia" w:ascii="Times New Roman" w:hAnsi="Times New Roman" w:cs="Times New Roman"/>
          <w:bCs/>
          <w:color w:val="auto"/>
          <w:sz w:val="28"/>
          <w:szCs w:val="28"/>
          <w:highlight w:val="none"/>
          <w:lang w:val="en-US" w:eastAsia="zh-CN"/>
        </w:rPr>
        <w:t>3</w:t>
      </w:r>
      <w:r>
        <w:rPr>
          <w:rFonts w:hint="eastAsia" w:ascii="Times New Roman" w:hAnsi="Times New Roman" w:cs="Times New Roman"/>
          <w:bCs/>
          <w:color w:val="auto"/>
          <w:sz w:val="28"/>
          <w:szCs w:val="28"/>
          <w:highlight w:val="none"/>
        </w:rPr>
        <w:t>人，其中管理人员</w:t>
      </w:r>
      <w:r>
        <w:rPr>
          <w:rFonts w:ascii="Times New Roman" w:hAnsi="Times New Roman" w:cs="Times New Roman"/>
          <w:bCs/>
          <w:color w:val="auto"/>
          <w:sz w:val="28"/>
          <w:szCs w:val="28"/>
          <w:highlight w:val="none"/>
        </w:rPr>
        <w:t>1</w:t>
      </w:r>
      <w:r>
        <w:rPr>
          <w:rFonts w:hint="eastAsia" w:ascii="Times New Roman" w:hAnsi="Times New Roman" w:cs="Times New Roman"/>
          <w:bCs/>
          <w:color w:val="auto"/>
          <w:sz w:val="28"/>
          <w:szCs w:val="28"/>
          <w:highlight w:val="none"/>
        </w:rPr>
        <w:t>人，装卸工</w:t>
      </w:r>
      <w:r>
        <w:rPr>
          <w:rFonts w:ascii="Times New Roman" w:hAnsi="Times New Roman" w:cs="Times New Roman"/>
          <w:bCs/>
          <w:color w:val="auto"/>
          <w:sz w:val="28"/>
          <w:szCs w:val="28"/>
          <w:highlight w:val="none"/>
        </w:rPr>
        <w:t>1</w:t>
      </w:r>
      <w:r>
        <w:rPr>
          <w:rFonts w:hint="eastAsia" w:ascii="Times New Roman" w:hAnsi="Times New Roman" w:cs="Times New Roman"/>
          <w:bCs/>
          <w:color w:val="auto"/>
          <w:sz w:val="28"/>
          <w:szCs w:val="28"/>
          <w:highlight w:val="none"/>
        </w:rPr>
        <w:t>人，仓库保管员</w:t>
      </w:r>
      <w:r>
        <w:rPr>
          <w:rFonts w:ascii="Times New Roman" w:hAnsi="Times New Roman" w:cs="Times New Roman"/>
          <w:bCs/>
          <w:color w:val="auto"/>
          <w:sz w:val="28"/>
          <w:szCs w:val="28"/>
          <w:highlight w:val="none"/>
        </w:rPr>
        <w:t>1</w:t>
      </w:r>
      <w:r>
        <w:rPr>
          <w:rFonts w:hint="eastAsia" w:ascii="Times New Roman" w:hAnsi="Times New Roman" w:cs="Times New Roman"/>
          <w:bCs/>
          <w:color w:val="auto"/>
          <w:sz w:val="28"/>
          <w:szCs w:val="28"/>
          <w:highlight w:val="none"/>
        </w:rPr>
        <w:t>人。</w:t>
      </w:r>
    </w:p>
    <w:p w14:paraId="1144D732">
      <w:pPr>
        <w:adjustRightInd w:val="0"/>
        <w:snapToGrid w:val="0"/>
        <w:spacing w:beforeLines="0" w:afterLines="0" w:line="360" w:lineRule="auto"/>
        <w:jc w:val="left"/>
        <w:outlineLvl w:val="1"/>
        <w:rPr>
          <w:rFonts w:ascii="黑体" w:hAnsi="黑体" w:eastAsia="黑体" w:cs="Times New Roman"/>
          <w:b/>
          <w:color w:val="auto"/>
          <w:sz w:val="28"/>
          <w:szCs w:val="28"/>
          <w:highlight w:val="none"/>
        </w:rPr>
      </w:pPr>
      <w:bookmarkStart w:id="623" w:name="_Toc28266"/>
      <w:bookmarkStart w:id="624" w:name="_Toc26225"/>
      <w:bookmarkStart w:id="625" w:name="_Toc23590"/>
      <w:bookmarkStart w:id="626" w:name="_Toc498075577"/>
      <w:bookmarkStart w:id="627" w:name="_Toc17869"/>
      <w:bookmarkStart w:id="628" w:name="_Toc27349"/>
      <w:bookmarkStart w:id="629" w:name="_Toc26639"/>
      <w:bookmarkStart w:id="630" w:name="_Toc2154"/>
      <w:bookmarkStart w:id="631" w:name="_Toc25496"/>
      <w:bookmarkStart w:id="632" w:name="_Toc25048"/>
      <w:bookmarkStart w:id="633" w:name="_Toc6004"/>
      <w:bookmarkStart w:id="634" w:name="_Toc21235"/>
      <w:bookmarkStart w:id="635" w:name="_Toc24704"/>
      <w:bookmarkStart w:id="636" w:name="_Toc19239"/>
      <w:bookmarkStart w:id="637" w:name="_Toc60846594"/>
      <w:bookmarkStart w:id="638" w:name="_Toc24182"/>
      <w:bookmarkStart w:id="639" w:name="_Toc18168"/>
      <w:bookmarkStart w:id="640" w:name="_Toc5861"/>
      <w:bookmarkStart w:id="641" w:name="_Toc5906"/>
      <w:r>
        <w:rPr>
          <w:rFonts w:ascii="黑体" w:hAnsi="黑体" w:eastAsia="黑体" w:cs="Times New Roman"/>
          <w:b/>
          <w:color w:val="auto"/>
          <w:sz w:val="28"/>
          <w:szCs w:val="28"/>
          <w:highlight w:val="none"/>
        </w:rPr>
        <w:t>2.1</w:t>
      </w:r>
      <w:r>
        <w:rPr>
          <w:rFonts w:hint="eastAsia" w:ascii="黑体" w:hAnsi="黑体" w:eastAsia="黑体" w:cs="Times New Roman"/>
          <w:b/>
          <w:color w:val="auto"/>
          <w:sz w:val="28"/>
          <w:szCs w:val="28"/>
          <w:highlight w:val="none"/>
          <w:lang w:val="en-US" w:eastAsia="zh-CN"/>
        </w:rPr>
        <w:t>0</w:t>
      </w:r>
      <w:r>
        <w:rPr>
          <w:rFonts w:ascii="黑体" w:hAnsi="黑体" w:eastAsia="黑体" w:cs="Times New Roman"/>
          <w:b/>
          <w:color w:val="auto"/>
          <w:sz w:val="28"/>
          <w:szCs w:val="28"/>
          <w:highlight w:val="none"/>
        </w:rPr>
        <w:t xml:space="preserve"> 安全管理</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p>
    <w:p w14:paraId="0C82F34A">
      <w:pPr>
        <w:pStyle w:val="24"/>
        <w:adjustRightInd w:val="0"/>
        <w:snapToGrid w:val="0"/>
        <w:spacing w:beforeLines="0" w:after="0" w:afterLines="0" w:line="360" w:lineRule="auto"/>
        <w:ind w:firstLine="560" w:firstLineChars="200"/>
        <w:rPr>
          <w:rFonts w:hint="default" w:eastAsia="宋体"/>
          <w:color w:val="auto"/>
          <w:sz w:val="28"/>
          <w:szCs w:val="28"/>
          <w:highlight w:val="none"/>
          <w:lang w:val="en-US" w:eastAsia="zh-CN"/>
        </w:rPr>
      </w:pPr>
      <w:bookmarkStart w:id="642" w:name="_Toc60846595"/>
      <w:bookmarkStart w:id="643" w:name="_Toc498075578"/>
      <w:r>
        <w:rPr>
          <w:rFonts w:hint="eastAsia" w:ascii="宋体" w:hAnsi="宋体" w:eastAsia="宋体" w:cs="宋体"/>
          <w:color w:val="auto"/>
          <w:sz w:val="28"/>
          <w:szCs w:val="28"/>
          <w:highlight w:val="none"/>
        </w:rPr>
        <w:t>伟星临海钮扣分公司</w:t>
      </w:r>
      <w:r>
        <w:rPr>
          <w:rFonts w:hint="eastAsia" w:ascii="宋体" w:hAnsi="宋体" w:eastAsia="宋体" w:cs="宋体"/>
          <w:color w:val="auto"/>
          <w:sz w:val="28"/>
          <w:szCs w:val="28"/>
          <w:highlight w:val="none"/>
          <w:lang w:eastAsia="zh-CN"/>
        </w:rPr>
        <w:t>为安全生产标准化三级企业（轻工），有效时间至</w:t>
      </w:r>
      <w:r>
        <w:rPr>
          <w:rFonts w:hint="eastAsia" w:ascii="宋体" w:hAnsi="宋体" w:eastAsia="宋体" w:cs="宋体"/>
          <w:color w:val="auto"/>
          <w:sz w:val="28"/>
          <w:szCs w:val="28"/>
          <w:highlight w:val="none"/>
          <w:lang w:val="en-US" w:eastAsia="zh-CN"/>
        </w:rPr>
        <w:t>2026年3月。安全生产标准化证书见附件。</w:t>
      </w:r>
    </w:p>
    <w:p w14:paraId="038074AC">
      <w:pPr>
        <w:adjustRightInd w:val="0"/>
        <w:snapToGrid w:val="0"/>
        <w:spacing w:beforeLines="0" w:afterLines="0" w:line="360" w:lineRule="auto"/>
        <w:outlineLvl w:val="2"/>
        <w:rPr>
          <w:rFonts w:ascii="黑体" w:hAnsi="黑体" w:eastAsia="黑体" w:cs="Times New Roman"/>
          <w:bCs/>
          <w:color w:val="auto"/>
          <w:sz w:val="28"/>
          <w:szCs w:val="28"/>
          <w:highlight w:val="none"/>
        </w:rPr>
      </w:pPr>
      <w:bookmarkStart w:id="644" w:name="_Toc21618"/>
      <w:bookmarkStart w:id="645" w:name="_Toc19811"/>
      <w:bookmarkStart w:id="646" w:name="_Toc9953"/>
      <w:bookmarkStart w:id="647" w:name="_Toc28688"/>
      <w:bookmarkStart w:id="648" w:name="_Toc3730"/>
      <w:bookmarkStart w:id="649" w:name="_Toc29662"/>
      <w:bookmarkStart w:id="650" w:name="_Toc6270"/>
      <w:bookmarkStart w:id="651" w:name="_Toc20945"/>
      <w:bookmarkStart w:id="652" w:name="_Toc16618"/>
      <w:bookmarkStart w:id="653" w:name="_Toc9512"/>
      <w:bookmarkStart w:id="654" w:name="_Toc1144"/>
      <w:bookmarkStart w:id="655" w:name="_Toc30995"/>
      <w:bookmarkStart w:id="656" w:name="_Toc7705"/>
      <w:bookmarkStart w:id="657" w:name="_Toc26330"/>
      <w:bookmarkStart w:id="658" w:name="_Toc29144"/>
      <w:bookmarkStart w:id="659" w:name="_Toc26352"/>
      <w:bookmarkStart w:id="660" w:name="_Toc13139"/>
      <w:r>
        <w:rPr>
          <w:rFonts w:ascii="黑体" w:hAnsi="黑体" w:eastAsia="黑体" w:cs="Times New Roman"/>
          <w:b/>
          <w:color w:val="auto"/>
          <w:sz w:val="28"/>
          <w:szCs w:val="28"/>
          <w:highlight w:val="none"/>
        </w:rPr>
        <w:t>2.1</w:t>
      </w:r>
      <w:r>
        <w:rPr>
          <w:rFonts w:hint="eastAsia" w:ascii="黑体" w:hAnsi="黑体" w:eastAsia="黑体" w:cs="Times New Roman"/>
          <w:b/>
          <w:color w:val="auto"/>
          <w:sz w:val="28"/>
          <w:szCs w:val="28"/>
          <w:highlight w:val="none"/>
          <w:lang w:val="en-US" w:eastAsia="zh-CN"/>
        </w:rPr>
        <w:t>0</w:t>
      </w:r>
      <w:r>
        <w:rPr>
          <w:rFonts w:ascii="黑体" w:hAnsi="黑体" w:eastAsia="黑体" w:cs="Times New Roman"/>
          <w:b/>
          <w:color w:val="auto"/>
          <w:sz w:val="28"/>
          <w:szCs w:val="28"/>
          <w:highlight w:val="none"/>
        </w:rPr>
        <w:t xml:space="preserve">.1 </w:t>
      </w:r>
      <w:r>
        <w:rPr>
          <w:rFonts w:hint="eastAsia" w:ascii="黑体" w:hAnsi="黑体" w:eastAsia="黑体" w:cs="Times New Roman"/>
          <w:b/>
          <w:color w:val="auto"/>
          <w:sz w:val="28"/>
          <w:szCs w:val="28"/>
          <w:highlight w:val="none"/>
        </w:rPr>
        <w:t>安全管理组织机构</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p>
    <w:p w14:paraId="7DC9A8F0">
      <w:pPr>
        <w:pStyle w:val="16"/>
        <w:adjustRightInd w:val="0"/>
        <w:snapToGrid w:val="0"/>
        <w:spacing w:beforeLines="0" w:afterLines="0"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伟星临海钮扣分公司成立安环部，周斌为安环部主任，高祖荣、娄尧为专职安全生产管理人员。</w:t>
      </w:r>
    </w:p>
    <w:p w14:paraId="3CE24FE9">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661" w:name="_Toc1142"/>
      <w:bookmarkStart w:id="662" w:name="_Toc7522"/>
      <w:bookmarkStart w:id="663" w:name="_Toc26903"/>
      <w:bookmarkStart w:id="664" w:name="_Toc2766"/>
      <w:bookmarkStart w:id="665" w:name="_Toc7841"/>
      <w:bookmarkStart w:id="666" w:name="_Toc9973"/>
      <w:bookmarkStart w:id="667" w:name="_Toc20862"/>
      <w:bookmarkStart w:id="668" w:name="_Toc9053"/>
      <w:bookmarkStart w:id="669" w:name="_Toc16973"/>
      <w:bookmarkStart w:id="670" w:name="_Toc28708"/>
      <w:bookmarkStart w:id="671" w:name="_Toc17095"/>
      <w:bookmarkStart w:id="672" w:name="_Toc6368"/>
      <w:bookmarkStart w:id="673" w:name="_Toc2823"/>
      <w:bookmarkStart w:id="674" w:name="_Toc10978"/>
      <w:bookmarkStart w:id="675" w:name="_Toc22394"/>
      <w:bookmarkStart w:id="676" w:name="_Toc9640"/>
      <w:bookmarkStart w:id="677" w:name="_Toc19154"/>
      <w:bookmarkStart w:id="678" w:name="_Toc330991146"/>
      <w:bookmarkStart w:id="679" w:name="_Toc60846596"/>
      <w:bookmarkStart w:id="680" w:name="_Toc498075579"/>
      <w:r>
        <w:rPr>
          <w:rFonts w:ascii="黑体" w:hAnsi="黑体" w:eastAsia="黑体" w:cs="Times New Roman"/>
          <w:b/>
          <w:color w:val="auto"/>
          <w:sz w:val="28"/>
          <w:szCs w:val="28"/>
          <w:highlight w:val="none"/>
        </w:rPr>
        <w:t>2.1</w:t>
      </w:r>
      <w:r>
        <w:rPr>
          <w:rFonts w:hint="eastAsia" w:ascii="黑体" w:hAnsi="黑体" w:eastAsia="黑体" w:cs="Times New Roman"/>
          <w:b/>
          <w:color w:val="auto"/>
          <w:sz w:val="28"/>
          <w:szCs w:val="28"/>
          <w:highlight w:val="none"/>
          <w:lang w:val="en-US" w:eastAsia="zh-CN"/>
        </w:rPr>
        <w:t>0</w:t>
      </w:r>
      <w:r>
        <w:rPr>
          <w:rFonts w:ascii="黑体" w:hAnsi="黑体" w:eastAsia="黑体" w:cs="Times New Roman"/>
          <w:b/>
          <w:color w:val="auto"/>
          <w:sz w:val="28"/>
          <w:szCs w:val="28"/>
          <w:highlight w:val="none"/>
        </w:rPr>
        <w:t>.</w:t>
      </w:r>
      <w:r>
        <w:rPr>
          <w:rFonts w:hint="eastAsia" w:ascii="黑体" w:hAnsi="黑体" w:eastAsia="黑体" w:cs="Times New Roman"/>
          <w:b/>
          <w:color w:val="auto"/>
          <w:sz w:val="28"/>
          <w:szCs w:val="28"/>
          <w:highlight w:val="none"/>
          <w:lang w:val="en-US" w:eastAsia="zh-CN"/>
        </w:rPr>
        <w:t>2</w:t>
      </w:r>
      <w:r>
        <w:rPr>
          <w:rFonts w:ascii="黑体" w:hAnsi="黑体" w:eastAsia="黑体" w:cs="Times New Roman"/>
          <w:b/>
          <w:color w:val="auto"/>
          <w:sz w:val="28"/>
          <w:szCs w:val="28"/>
          <w:highlight w:val="none"/>
        </w:rPr>
        <w:t xml:space="preserve"> </w:t>
      </w:r>
      <w:r>
        <w:rPr>
          <w:rFonts w:hint="eastAsia" w:ascii="黑体" w:hAnsi="黑体" w:eastAsia="黑体" w:cs="Times New Roman"/>
          <w:b/>
          <w:color w:val="auto"/>
          <w:sz w:val="28"/>
          <w:szCs w:val="28"/>
          <w:highlight w:val="none"/>
        </w:rPr>
        <w:t>人员的安全资质证书</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p>
    <w:p w14:paraId="375D6CE8">
      <w:pPr>
        <w:adjustRightInd w:val="0"/>
        <w:snapToGrid w:val="0"/>
        <w:spacing w:beforeLines="0" w:afterLines="0" w:line="360" w:lineRule="auto"/>
        <w:ind w:firstLine="560" w:firstLineChars="200"/>
        <w:rPr>
          <w:rFonts w:ascii="Times New Roman" w:hAnsi="Times New Roman" w:cs="Times New Roman"/>
          <w:bCs/>
          <w:color w:val="auto"/>
          <w:sz w:val="28"/>
          <w:szCs w:val="28"/>
          <w:highlight w:val="none"/>
        </w:rPr>
      </w:pPr>
      <w:r>
        <w:rPr>
          <w:rFonts w:hint="eastAsia" w:ascii="宋体" w:hAnsi="宋体" w:eastAsia="宋体" w:cs="宋体"/>
          <w:color w:val="auto"/>
          <w:sz w:val="28"/>
          <w:szCs w:val="28"/>
          <w:highlight w:val="none"/>
        </w:rPr>
        <w:t>伟星临海钮扣分公司</w:t>
      </w:r>
      <w:r>
        <w:rPr>
          <w:rFonts w:hint="eastAsia" w:ascii="Times New Roman" w:hAnsi="Times New Roman" w:cs="Times New Roman"/>
          <w:bCs/>
          <w:color w:val="auto"/>
          <w:sz w:val="28"/>
          <w:szCs w:val="28"/>
          <w:highlight w:val="none"/>
        </w:rPr>
        <w:t>人员持证情况见</w:t>
      </w:r>
      <w:r>
        <w:rPr>
          <w:rFonts w:hint="eastAsia" w:ascii="Times New Roman" w:hAnsi="Times New Roman" w:cs="Times New Roman"/>
          <w:bCs/>
          <w:color w:val="auto"/>
          <w:sz w:val="28"/>
          <w:szCs w:val="28"/>
          <w:highlight w:val="none"/>
          <w:lang w:eastAsia="zh-CN"/>
        </w:rPr>
        <w:t>下表</w:t>
      </w:r>
      <w:r>
        <w:rPr>
          <w:rFonts w:hint="eastAsia" w:ascii="Times New Roman" w:hAnsi="Times New Roman" w:cs="Times New Roman"/>
          <w:bCs/>
          <w:color w:val="auto"/>
          <w:sz w:val="28"/>
          <w:szCs w:val="28"/>
          <w:highlight w:val="none"/>
        </w:rPr>
        <w:t>，证书见附件。</w:t>
      </w:r>
    </w:p>
    <w:p w14:paraId="3293355F">
      <w:pPr>
        <w:adjustRightInd w:val="0"/>
        <w:snapToGrid w:val="0"/>
        <w:spacing w:line="360" w:lineRule="auto"/>
        <w:ind w:firstLine="0"/>
        <w:jc w:val="center"/>
        <w:rPr>
          <w:rFonts w:ascii="黑体" w:hAnsi="黑体" w:eastAsia="黑体" w:cs="Times New Roman"/>
          <w:b/>
          <w:bCs/>
          <w:color w:val="auto"/>
          <w:sz w:val="24"/>
          <w:szCs w:val="24"/>
          <w:highlight w:val="none"/>
        </w:rPr>
      </w:pPr>
      <w:r>
        <w:rPr>
          <w:rFonts w:hint="eastAsia" w:ascii="黑体" w:hAnsi="黑体" w:eastAsia="黑体" w:cs="Times New Roman"/>
          <w:b/>
          <w:bCs/>
          <w:color w:val="auto"/>
          <w:sz w:val="24"/>
          <w:szCs w:val="24"/>
          <w:highlight w:val="none"/>
          <w:lang w:val="en-US" w:eastAsia="zh-CN"/>
        </w:rPr>
        <w:t xml:space="preserve">表2.10-1 </w:t>
      </w:r>
      <w:r>
        <w:rPr>
          <w:rFonts w:hint="eastAsia" w:ascii="黑体" w:hAnsi="黑体" w:eastAsia="黑体" w:cs="Times New Roman"/>
          <w:b/>
          <w:bCs/>
          <w:color w:val="auto"/>
          <w:sz w:val="24"/>
          <w:szCs w:val="24"/>
          <w:highlight w:val="none"/>
          <w:lang w:eastAsia="zh-CN"/>
        </w:rPr>
        <w:t>主要负责人和安全管理人员</w:t>
      </w:r>
      <w:r>
        <w:rPr>
          <w:rFonts w:ascii="黑体" w:hAnsi="黑体" w:eastAsia="黑体" w:cs="Times New Roman"/>
          <w:b/>
          <w:bCs/>
          <w:color w:val="auto"/>
          <w:sz w:val="24"/>
          <w:szCs w:val="24"/>
          <w:highlight w:val="none"/>
        </w:rPr>
        <w:t>一览表</w:t>
      </w:r>
    </w:p>
    <w:tbl>
      <w:tblPr>
        <w:tblStyle w:val="6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3"/>
        <w:gridCol w:w="1160"/>
        <w:gridCol w:w="1020"/>
        <w:gridCol w:w="1530"/>
        <w:gridCol w:w="1768"/>
        <w:gridCol w:w="1397"/>
        <w:gridCol w:w="2012"/>
      </w:tblGrid>
      <w:tr w14:paraId="03468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22D67">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44FBB">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姓名</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AA3EC">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证书名称</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1240F">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证书编号</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996F0">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证书有效期</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96C64">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lang w:eastAsia="zh-CN"/>
              </w:rPr>
            </w:pPr>
            <w:r>
              <w:rPr>
                <w:rFonts w:hint="eastAsia" w:ascii="宋体" w:hAnsi="宋体" w:eastAsia="宋体" w:cs="宋体"/>
                <w:b/>
                <w:bCs/>
                <w:i w:val="0"/>
                <w:iCs w:val="0"/>
                <w:color w:val="auto"/>
                <w:sz w:val="21"/>
                <w:szCs w:val="21"/>
                <w:highlight w:val="none"/>
                <w:u w:val="none"/>
                <w:lang w:eastAsia="zh-CN"/>
              </w:rPr>
              <w:t>复审记录</w:t>
            </w:r>
          </w:p>
        </w:tc>
        <w:tc>
          <w:tcPr>
            <w:tcW w:w="10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69471">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发证单位</w:t>
            </w:r>
          </w:p>
        </w:tc>
      </w:tr>
      <w:tr w14:paraId="34C21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11E29">
            <w:pPr>
              <w:keepNext w:val="0"/>
              <w:keepLines w:val="0"/>
              <w:widowControl/>
              <w:numPr>
                <w:ilvl w:val="0"/>
                <w:numId w:val="10"/>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A5D8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金祖龙</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8F03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主要负责人</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1D08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332621196508203491</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F13C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2022.10.13至2025.10.12</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8F370">
            <w:pPr>
              <w:keepNext w:val="0"/>
              <w:keepLines w:val="0"/>
              <w:widowControl/>
              <w:suppressLineNumbers w:val="0"/>
              <w:adjustRightInd w:val="0"/>
              <w:snapToGrid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202</w:t>
            </w:r>
            <w:r>
              <w:rPr>
                <w:rFonts w:hint="eastAsia" w:ascii="宋体" w:hAnsi="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lang w:val="en-US" w:eastAsia="zh-CN"/>
              </w:rPr>
              <w:t>.</w:t>
            </w:r>
            <w:r>
              <w:rPr>
                <w:rFonts w:hint="eastAsia" w:ascii="宋体" w:hAnsi="宋体" w:cs="宋体"/>
                <w:i w:val="0"/>
                <w:iCs w:val="0"/>
                <w:color w:val="auto"/>
                <w:sz w:val="21"/>
                <w:szCs w:val="21"/>
                <w:highlight w:val="none"/>
                <w:u w:val="none"/>
                <w:lang w:val="en-US" w:eastAsia="zh-CN"/>
              </w:rPr>
              <w:t>04</w:t>
            </w:r>
            <w:r>
              <w:rPr>
                <w:rFonts w:hint="eastAsia" w:ascii="宋体" w:hAnsi="宋体" w:eastAsia="宋体" w:cs="宋体"/>
                <w:i w:val="0"/>
                <w:iCs w:val="0"/>
                <w:color w:val="auto"/>
                <w:sz w:val="21"/>
                <w:szCs w:val="21"/>
                <w:highlight w:val="none"/>
                <w:u w:val="none"/>
                <w:lang w:val="en-US" w:eastAsia="zh-CN"/>
              </w:rPr>
              <w:t>.</w:t>
            </w:r>
            <w:r>
              <w:rPr>
                <w:rFonts w:hint="eastAsia" w:ascii="宋体" w:hAnsi="宋体" w:cs="宋体"/>
                <w:i w:val="0"/>
                <w:iCs w:val="0"/>
                <w:color w:val="auto"/>
                <w:sz w:val="21"/>
                <w:szCs w:val="21"/>
                <w:highlight w:val="none"/>
                <w:u w:val="none"/>
                <w:lang w:val="en-US" w:eastAsia="zh-CN"/>
              </w:rPr>
              <w:t>30</w:t>
            </w:r>
          </w:p>
        </w:tc>
        <w:tc>
          <w:tcPr>
            <w:tcW w:w="10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E71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临海市应急管理局</w:t>
            </w:r>
          </w:p>
        </w:tc>
      </w:tr>
      <w:tr w14:paraId="0C18D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C875B">
            <w:pPr>
              <w:keepNext w:val="0"/>
              <w:keepLines w:val="0"/>
              <w:widowControl/>
              <w:numPr>
                <w:ilvl w:val="0"/>
                <w:numId w:val="10"/>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CC4D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周斌</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D6DE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安全管理人员</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68BC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171004000129</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B022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2023.05.09至2026.05.08</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4CAC7">
            <w:pPr>
              <w:keepNext w:val="0"/>
              <w:keepLines w:val="0"/>
              <w:widowControl/>
              <w:suppressLineNumbers w:val="0"/>
              <w:adjustRightInd w:val="0"/>
              <w:snapToGrid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2024.4.30</w:t>
            </w:r>
          </w:p>
        </w:tc>
        <w:tc>
          <w:tcPr>
            <w:tcW w:w="10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51C8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临海市应急管理局</w:t>
            </w:r>
          </w:p>
        </w:tc>
      </w:tr>
      <w:tr w14:paraId="127E2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9A3B0">
            <w:pPr>
              <w:keepNext w:val="0"/>
              <w:keepLines w:val="0"/>
              <w:widowControl/>
              <w:numPr>
                <w:ilvl w:val="0"/>
                <w:numId w:val="10"/>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1D9D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高祖荣</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7054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安全管理人员</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EC4D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191004000629</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0FB5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2023.05.09至2026.05.08</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F16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2024.6.8</w:t>
            </w:r>
          </w:p>
        </w:tc>
        <w:tc>
          <w:tcPr>
            <w:tcW w:w="10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9536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临海市应急管理局</w:t>
            </w:r>
          </w:p>
        </w:tc>
      </w:tr>
      <w:tr w14:paraId="6AC51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C2FB5">
            <w:pPr>
              <w:keepNext w:val="0"/>
              <w:keepLines w:val="0"/>
              <w:widowControl/>
              <w:numPr>
                <w:ilvl w:val="0"/>
                <w:numId w:val="10"/>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78F6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娄尧</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2D51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安全管理人员</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861C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default" w:ascii="宋体" w:hAnsi="宋体" w:cs="宋体"/>
                <w:i w:val="0"/>
                <w:iCs w:val="0"/>
                <w:color w:val="auto"/>
                <w:kern w:val="0"/>
                <w:sz w:val="21"/>
                <w:szCs w:val="21"/>
                <w:highlight w:val="none"/>
                <w:u w:val="none"/>
                <w:lang w:val="en-US" w:eastAsia="zh-CN" w:bidi="ar"/>
              </w:rPr>
              <w:t>331082199905195010</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68286">
            <w:pPr>
              <w:keepNext w:val="0"/>
              <w:keepLines w:val="0"/>
              <w:widowControl/>
              <w:suppressLineNumbers w:val="0"/>
              <w:adjustRightInd w:val="0"/>
              <w:snapToGrid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202</w:t>
            </w:r>
            <w:r>
              <w:rPr>
                <w:rFonts w:hint="default" w:ascii="宋体" w:hAnsi="宋体" w:cs="宋体"/>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w:t>
            </w:r>
            <w:r>
              <w:rPr>
                <w:rFonts w:hint="default" w:ascii="宋体" w:hAnsi="宋体" w:cs="宋体"/>
                <w:i w:val="0"/>
                <w:iCs w:val="0"/>
                <w:color w:val="auto"/>
                <w:kern w:val="0"/>
                <w:sz w:val="21"/>
                <w:szCs w:val="21"/>
                <w:highlight w:val="none"/>
                <w:u w:val="none"/>
                <w:lang w:val="en-US" w:eastAsia="zh-CN" w:bidi="ar"/>
              </w:rPr>
              <w:t>05</w:t>
            </w:r>
            <w:r>
              <w:rPr>
                <w:rFonts w:hint="eastAsia" w:ascii="宋体" w:hAnsi="宋体" w:eastAsia="宋体" w:cs="宋体"/>
                <w:i w:val="0"/>
                <w:iCs w:val="0"/>
                <w:color w:val="auto"/>
                <w:kern w:val="0"/>
                <w:sz w:val="21"/>
                <w:szCs w:val="21"/>
                <w:highlight w:val="none"/>
                <w:u w:val="none"/>
                <w:lang w:val="en-US" w:eastAsia="zh-CN" w:bidi="ar"/>
              </w:rPr>
              <w:t>.</w:t>
            </w:r>
            <w:r>
              <w:rPr>
                <w:rFonts w:hint="default" w:ascii="宋体" w:hAnsi="宋体" w:cs="宋体"/>
                <w:i w:val="0"/>
                <w:iCs w:val="0"/>
                <w:color w:val="auto"/>
                <w:kern w:val="0"/>
                <w:sz w:val="21"/>
                <w:szCs w:val="21"/>
                <w:highlight w:val="none"/>
                <w:u w:val="none"/>
                <w:lang w:val="en-US" w:eastAsia="zh-CN" w:bidi="ar"/>
              </w:rPr>
              <w:t>28</w:t>
            </w:r>
            <w:r>
              <w:rPr>
                <w:rFonts w:hint="eastAsia" w:ascii="宋体" w:hAnsi="宋体" w:eastAsia="宋体" w:cs="宋体"/>
                <w:i w:val="0"/>
                <w:iCs w:val="0"/>
                <w:color w:val="auto"/>
                <w:kern w:val="0"/>
                <w:sz w:val="21"/>
                <w:szCs w:val="21"/>
                <w:highlight w:val="none"/>
                <w:u w:val="none"/>
                <w:lang w:val="en-US" w:eastAsia="zh-CN" w:bidi="ar"/>
              </w:rPr>
              <w:t>至202</w:t>
            </w:r>
            <w:r>
              <w:rPr>
                <w:rFonts w:hint="default" w:ascii="宋体" w:hAnsi="宋体" w:cs="宋体"/>
                <w:i w:val="0"/>
                <w:iCs w:val="0"/>
                <w:color w:val="auto"/>
                <w:kern w:val="0"/>
                <w:sz w:val="21"/>
                <w:szCs w:val="21"/>
                <w:highlight w:val="none"/>
                <w:u w:val="none"/>
                <w:lang w:val="en-US" w:eastAsia="zh-CN" w:bidi="ar"/>
              </w:rPr>
              <w:t>7</w:t>
            </w:r>
            <w:r>
              <w:rPr>
                <w:rFonts w:hint="eastAsia" w:ascii="宋体" w:hAnsi="宋体" w:cs="宋体"/>
                <w:i w:val="0"/>
                <w:iCs w:val="0"/>
                <w:color w:val="auto"/>
                <w:kern w:val="0"/>
                <w:sz w:val="21"/>
                <w:szCs w:val="21"/>
                <w:highlight w:val="none"/>
                <w:u w:val="none"/>
                <w:lang w:val="en-US" w:eastAsia="zh-CN" w:bidi="ar"/>
              </w:rPr>
              <w:t>.</w:t>
            </w:r>
            <w:r>
              <w:rPr>
                <w:rFonts w:hint="default" w:ascii="宋体" w:hAnsi="宋体" w:cs="宋体"/>
                <w:i w:val="0"/>
                <w:iCs w:val="0"/>
                <w:color w:val="auto"/>
                <w:kern w:val="0"/>
                <w:sz w:val="21"/>
                <w:szCs w:val="21"/>
                <w:highlight w:val="none"/>
                <w:u w:val="none"/>
                <w:lang w:val="en-US" w:eastAsia="zh-CN" w:bidi="ar"/>
              </w:rPr>
              <w:t>05</w:t>
            </w:r>
            <w:r>
              <w:rPr>
                <w:rFonts w:hint="eastAsia" w:ascii="宋体" w:hAnsi="宋体" w:cs="宋体"/>
                <w:i w:val="0"/>
                <w:iCs w:val="0"/>
                <w:color w:val="auto"/>
                <w:kern w:val="0"/>
                <w:sz w:val="21"/>
                <w:szCs w:val="21"/>
                <w:highlight w:val="none"/>
                <w:u w:val="none"/>
                <w:lang w:val="en-US" w:eastAsia="zh-CN" w:bidi="ar"/>
              </w:rPr>
              <w:t>.</w:t>
            </w:r>
            <w:r>
              <w:rPr>
                <w:rFonts w:hint="default" w:ascii="宋体" w:hAnsi="宋体" w:cs="宋体"/>
                <w:i w:val="0"/>
                <w:iCs w:val="0"/>
                <w:color w:val="auto"/>
                <w:kern w:val="0"/>
                <w:sz w:val="21"/>
                <w:szCs w:val="21"/>
                <w:highlight w:val="none"/>
                <w:u w:val="none"/>
                <w:lang w:val="en-US" w:eastAsia="zh-CN" w:bidi="ar"/>
              </w:rPr>
              <w:t>27</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17917">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default" w:ascii="宋体" w:hAnsi="宋体" w:cs="宋体"/>
                <w:i w:val="0"/>
                <w:iCs w:val="0"/>
                <w:color w:val="auto"/>
                <w:sz w:val="21"/>
                <w:szCs w:val="21"/>
                <w:highlight w:val="none"/>
                <w:u w:val="none"/>
                <w:lang w:val="en-US" w:eastAsia="zh-CN"/>
              </w:rPr>
              <w:t>/</w:t>
            </w:r>
          </w:p>
        </w:tc>
        <w:tc>
          <w:tcPr>
            <w:tcW w:w="10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62BC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临海市应急管理局</w:t>
            </w:r>
          </w:p>
        </w:tc>
      </w:tr>
    </w:tbl>
    <w:p w14:paraId="4ACE516F">
      <w:pPr>
        <w:adjustRightInd w:val="0"/>
        <w:snapToGrid w:val="0"/>
        <w:spacing w:before="157" w:beforeLines="50" w:line="360" w:lineRule="auto"/>
        <w:jc w:val="center"/>
        <w:rPr>
          <w:color w:val="auto"/>
          <w:sz w:val="24"/>
          <w:highlight w:val="none"/>
        </w:rPr>
      </w:pPr>
      <w:r>
        <w:rPr>
          <w:rFonts w:hint="eastAsia" w:ascii="黑体" w:hAnsi="黑体" w:eastAsia="黑体" w:cs="Times New Roman"/>
          <w:b/>
          <w:bCs/>
          <w:color w:val="auto"/>
          <w:sz w:val="24"/>
          <w:szCs w:val="24"/>
          <w:highlight w:val="none"/>
          <w:lang w:eastAsia="zh-CN"/>
        </w:rPr>
        <w:t>表</w:t>
      </w:r>
      <w:r>
        <w:rPr>
          <w:rFonts w:hint="eastAsia" w:ascii="黑体" w:hAnsi="黑体" w:eastAsia="黑体" w:cs="Times New Roman"/>
          <w:b/>
          <w:bCs/>
          <w:color w:val="auto"/>
          <w:sz w:val="24"/>
          <w:szCs w:val="24"/>
          <w:highlight w:val="none"/>
          <w:lang w:val="en-US" w:eastAsia="zh-CN"/>
        </w:rPr>
        <w:t xml:space="preserve">2.10-2 </w:t>
      </w:r>
      <w:r>
        <w:rPr>
          <w:rFonts w:ascii="黑体" w:hAnsi="黑体" w:eastAsia="黑体" w:cs="Times New Roman"/>
          <w:b/>
          <w:bCs/>
          <w:color w:val="auto"/>
          <w:sz w:val="24"/>
          <w:szCs w:val="24"/>
          <w:highlight w:val="none"/>
        </w:rPr>
        <w:t>特种作业人员</w:t>
      </w:r>
      <w:r>
        <w:rPr>
          <w:rFonts w:hint="eastAsia" w:ascii="黑体" w:hAnsi="黑体" w:eastAsia="黑体" w:cs="Times New Roman"/>
          <w:b/>
          <w:bCs/>
          <w:color w:val="auto"/>
          <w:sz w:val="24"/>
          <w:szCs w:val="24"/>
          <w:highlight w:val="none"/>
          <w:lang w:eastAsia="zh-CN"/>
        </w:rPr>
        <w:t>和危化品仓库叉车司机</w:t>
      </w:r>
      <w:r>
        <w:rPr>
          <w:rFonts w:ascii="黑体" w:hAnsi="黑体" w:eastAsia="黑体" w:cs="Times New Roman"/>
          <w:b/>
          <w:bCs/>
          <w:color w:val="auto"/>
          <w:sz w:val="24"/>
          <w:szCs w:val="24"/>
          <w:highlight w:val="none"/>
        </w:rPr>
        <w:t>一览表</w:t>
      </w:r>
    </w:p>
    <w:tbl>
      <w:tblPr>
        <w:tblStyle w:val="6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466"/>
        <w:gridCol w:w="735"/>
        <w:gridCol w:w="1140"/>
        <w:gridCol w:w="1170"/>
        <w:gridCol w:w="1605"/>
        <w:gridCol w:w="1641"/>
        <w:gridCol w:w="1392"/>
        <w:gridCol w:w="1251"/>
      </w:tblGrid>
      <w:tr w14:paraId="1E00FC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blHeader/>
        </w:trPr>
        <w:tc>
          <w:tcPr>
            <w:tcW w:w="247" w:type="pct"/>
            <w:tcBorders>
              <w:tl2br w:val="nil"/>
              <w:tr2bl w:val="nil"/>
            </w:tcBorders>
            <w:shd w:val="clear" w:color="auto" w:fill="auto"/>
            <w:vAlign w:val="center"/>
          </w:tcPr>
          <w:p w14:paraId="5E2E5525">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390" w:type="pct"/>
            <w:tcBorders>
              <w:tl2br w:val="nil"/>
              <w:tr2bl w:val="nil"/>
            </w:tcBorders>
            <w:shd w:val="clear" w:color="auto" w:fill="auto"/>
            <w:vAlign w:val="center"/>
          </w:tcPr>
          <w:p w14:paraId="68D47EAE">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作业类别</w:t>
            </w:r>
          </w:p>
        </w:tc>
        <w:tc>
          <w:tcPr>
            <w:tcW w:w="606" w:type="pct"/>
            <w:tcBorders>
              <w:tl2br w:val="nil"/>
              <w:tr2bl w:val="nil"/>
            </w:tcBorders>
            <w:shd w:val="clear" w:color="auto" w:fill="auto"/>
            <w:vAlign w:val="center"/>
          </w:tcPr>
          <w:p w14:paraId="78215EF6">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准操项目</w:t>
            </w:r>
          </w:p>
        </w:tc>
        <w:tc>
          <w:tcPr>
            <w:tcW w:w="622" w:type="pct"/>
            <w:tcBorders>
              <w:tl2br w:val="nil"/>
              <w:tr2bl w:val="nil"/>
            </w:tcBorders>
            <w:shd w:val="clear" w:color="auto" w:fill="auto"/>
            <w:vAlign w:val="center"/>
          </w:tcPr>
          <w:p w14:paraId="528AB862">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姓名</w:t>
            </w:r>
          </w:p>
        </w:tc>
        <w:tc>
          <w:tcPr>
            <w:tcW w:w="853" w:type="pct"/>
            <w:tcBorders>
              <w:tl2br w:val="nil"/>
              <w:tr2bl w:val="nil"/>
            </w:tcBorders>
            <w:shd w:val="clear" w:color="auto" w:fill="auto"/>
            <w:vAlign w:val="center"/>
          </w:tcPr>
          <w:p w14:paraId="1CFBFD3A">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证件号</w:t>
            </w:r>
          </w:p>
        </w:tc>
        <w:tc>
          <w:tcPr>
            <w:tcW w:w="872" w:type="pct"/>
            <w:tcBorders>
              <w:tl2br w:val="nil"/>
              <w:tr2bl w:val="nil"/>
            </w:tcBorders>
            <w:shd w:val="clear" w:color="auto" w:fill="auto"/>
            <w:vAlign w:val="center"/>
          </w:tcPr>
          <w:p w14:paraId="60F1D7EB">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有效期</w:t>
            </w:r>
          </w:p>
        </w:tc>
        <w:tc>
          <w:tcPr>
            <w:tcW w:w="740" w:type="pct"/>
            <w:tcBorders>
              <w:tl2br w:val="nil"/>
              <w:tr2bl w:val="nil"/>
            </w:tcBorders>
            <w:shd w:val="clear" w:color="auto" w:fill="auto"/>
            <w:vAlign w:val="center"/>
          </w:tcPr>
          <w:p w14:paraId="7C2B4914">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应复审日期</w:t>
            </w:r>
          </w:p>
        </w:tc>
        <w:tc>
          <w:tcPr>
            <w:tcW w:w="665" w:type="pct"/>
            <w:tcBorders>
              <w:tl2br w:val="nil"/>
              <w:tr2bl w:val="nil"/>
            </w:tcBorders>
            <w:shd w:val="clear" w:color="auto" w:fill="auto"/>
            <w:vAlign w:val="center"/>
          </w:tcPr>
          <w:p w14:paraId="1863DAA1">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aps w:val="0"/>
                <w:color w:val="auto"/>
                <w:spacing w:val="0"/>
                <w:sz w:val="21"/>
                <w:szCs w:val="21"/>
                <w:highlight w:val="none"/>
                <w:shd w:val="clear" w:fill="F3F8FC"/>
              </w:rPr>
              <w:t>实际复审日期</w:t>
            </w:r>
          </w:p>
        </w:tc>
      </w:tr>
      <w:tr w14:paraId="1EDA8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7EBDEAD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90" w:type="pct"/>
            <w:vMerge w:val="restart"/>
            <w:tcBorders>
              <w:tl2br w:val="nil"/>
              <w:tr2bl w:val="nil"/>
            </w:tcBorders>
            <w:shd w:val="clear" w:color="auto" w:fill="auto"/>
            <w:vAlign w:val="center"/>
          </w:tcPr>
          <w:p w14:paraId="29E56CF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电工作业</w:t>
            </w:r>
          </w:p>
        </w:tc>
        <w:tc>
          <w:tcPr>
            <w:tcW w:w="606" w:type="pct"/>
            <w:vMerge w:val="restart"/>
            <w:tcBorders>
              <w:tl2br w:val="nil"/>
              <w:tr2bl w:val="nil"/>
            </w:tcBorders>
            <w:shd w:val="clear" w:color="auto" w:fill="auto"/>
            <w:vAlign w:val="center"/>
          </w:tcPr>
          <w:p w14:paraId="135C16F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高压电工进网作业许可证</w:t>
            </w:r>
          </w:p>
        </w:tc>
        <w:tc>
          <w:tcPr>
            <w:tcW w:w="622" w:type="pct"/>
            <w:tcBorders>
              <w:tl2br w:val="nil"/>
              <w:tr2bl w:val="nil"/>
            </w:tcBorders>
            <w:shd w:val="clear" w:color="auto" w:fill="auto"/>
            <w:noWrap/>
            <w:vAlign w:val="center"/>
          </w:tcPr>
          <w:p w14:paraId="1C5A66C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胡加勇</w:t>
            </w:r>
          </w:p>
        </w:tc>
        <w:tc>
          <w:tcPr>
            <w:tcW w:w="853" w:type="pct"/>
            <w:tcBorders>
              <w:tl2br w:val="nil"/>
              <w:tr2bl w:val="nil"/>
            </w:tcBorders>
            <w:shd w:val="clear" w:color="auto" w:fill="auto"/>
            <w:noWrap/>
            <w:vAlign w:val="center"/>
          </w:tcPr>
          <w:p w14:paraId="5E902F6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T332621197005160156</w:t>
            </w:r>
          </w:p>
        </w:tc>
        <w:tc>
          <w:tcPr>
            <w:tcW w:w="872" w:type="pct"/>
            <w:tcBorders>
              <w:tl2br w:val="nil"/>
              <w:tr2bl w:val="nil"/>
            </w:tcBorders>
            <w:shd w:val="clear" w:color="auto" w:fill="auto"/>
            <w:noWrap/>
            <w:vAlign w:val="center"/>
          </w:tcPr>
          <w:p w14:paraId="69D3372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2022</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30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2028</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29</w:t>
            </w:r>
          </w:p>
        </w:tc>
        <w:tc>
          <w:tcPr>
            <w:tcW w:w="740" w:type="pct"/>
            <w:tcBorders>
              <w:tl2br w:val="nil"/>
              <w:tr2bl w:val="nil"/>
            </w:tcBorders>
            <w:shd w:val="clear" w:color="auto" w:fill="auto"/>
            <w:noWrap/>
            <w:vAlign w:val="center"/>
          </w:tcPr>
          <w:p w14:paraId="287F4C52">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2025</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29</w:t>
            </w:r>
          </w:p>
        </w:tc>
        <w:tc>
          <w:tcPr>
            <w:tcW w:w="665" w:type="pct"/>
            <w:tcBorders>
              <w:tl2br w:val="nil"/>
              <w:tr2bl w:val="nil"/>
            </w:tcBorders>
            <w:shd w:val="clear" w:color="auto" w:fill="auto"/>
            <w:noWrap/>
            <w:vAlign w:val="center"/>
          </w:tcPr>
          <w:p w14:paraId="662CBDB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w:t>
            </w:r>
          </w:p>
        </w:tc>
      </w:tr>
      <w:tr w14:paraId="411CF8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1287E91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90" w:type="pct"/>
            <w:vMerge w:val="continue"/>
            <w:tcBorders>
              <w:tl2br w:val="nil"/>
              <w:tr2bl w:val="nil"/>
            </w:tcBorders>
            <w:shd w:val="clear" w:color="auto" w:fill="auto"/>
            <w:vAlign w:val="center"/>
          </w:tcPr>
          <w:p w14:paraId="383D33F1">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1BC0159B">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26CD61A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钱光辉</w:t>
            </w:r>
          </w:p>
        </w:tc>
        <w:tc>
          <w:tcPr>
            <w:tcW w:w="853" w:type="pct"/>
            <w:tcBorders>
              <w:tl2br w:val="nil"/>
              <w:tr2bl w:val="nil"/>
            </w:tcBorders>
            <w:shd w:val="clear" w:color="auto" w:fill="auto"/>
            <w:noWrap/>
            <w:vAlign w:val="center"/>
          </w:tcPr>
          <w:p w14:paraId="72B0BAD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T332621197103303499</w:t>
            </w:r>
          </w:p>
        </w:tc>
        <w:tc>
          <w:tcPr>
            <w:tcW w:w="872" w:type="pct"/>
            <w:tcBorders>
              <w:tl2br w:val="nil"/>
              <w:tr2bl w:val="nil"/>
            </w:tcBorders>
            <w:shd w:val="clear" w:color="auto" w:fill="auto"/>
            <w:noWrap/>
            <w:vAlign w:val="center"/>
          </w:tcPr>
          <w:p w14:paraId="6B123E5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31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30</w:t>
            </w:r>
          </w:p>
        </w:tc>
        <w:tc>
          <w:tcPr>
            <w:tcW w:w="740" w:type="pct"/>
            <w:tcBorders>
              <w:tl2br w:val="nil"/>
              <w:tr2bl w:val="nil"/>
            </w:tcBorders>
            <w:shd w:val="clear" w:color="auto" w:fill="auto"/>
            <w:noWrap/>
            <w:vAlign w:val="center"/>
          </w:tcPr>
          <w:p w14:paraId="2E63BE23">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30</w:t>
            </w:r>
          </w:p>
        </w:tc>
        <w:tc>
          <w:tcPr>
            <w:tcW w:w="665" w:type="pct"/>
            <w:tcBorders>
              <w:tl2br w:val="nil"/>
              <w:tr2bl w:val="nil"/>
            </w:tcBorders>
            <w:shd w:val="clear" w:color="auto" w:fill="auto"/>
            <w:noWrap/>
            <w:vAlign w:val="center"/>
          </w:tcPr>
          <w:p w14:paraId="799975E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06</w:t>
            </w:r>
          </w:p>
        </w:tc>
      </w:tr>
      <w:tr w14:paraId="1158D9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5B93264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390" w:type="pct"/>
            <w:vMerge w:val="continue"/>
            <w:tcBorders>
              <w:tl2br w:val="nil"/>
              <w:tr2bl w:val="nil"/>
            </w:tcBorders>
            <w:shd w:val="clear" w:color="auto" w:fill="auto"/>
            <w:vAlign w:val="center"/>
          </w:tcPr>
          <w:p w14:paraId="119455F0">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40998718">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0F0F846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陈仕祥</w:t>
            </w:r>
          </w:p>
        </w:tc>
        <w:tc>
          <w:tcPr>
            <w:tcW w:w="853" w:type="pct"/>
            <w:tcBorders>
              <w:tl2br w:val="nil"/>
              <w:tr2bl w:val="nil"/>
            </w:tcBorders>
            <w:shd w:val="clear" w:color="auto" w:fill="auto"/>
            <w:noWrap/>
            <w:vAlign w:val="center"/>
          </w:tcPr>
          <w:p w14:paraId="612E490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T332621197306113492</w:t>
            </w:r>
          </w:p>
        </w:tc>
        <w:tc>
          <w:tcPr>
            <w:tcW w:w="872" w:type="pct"/>
            <w:tcBorders>
              <w:tl2br w:val="nil"/>
              <w:tr2bl w:val="nil"/>
            </w:tcBorders>
            <w:shd w:val="clear" w:color="auto" w:fill="auto"/>
            <w:noWrap/>
            <w:vAlign w:val="center"/>
          </w:tcPr>
          <w:p w14:paraId="5859BF6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31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30</w:t>
            </w:r>
          </w:p>
        </w:tc>
        <w:tc>
          <w:tcPr>
            <w:tcW w:w="740" w:type="pct"/>
            <w:tcBorders>
              <w:tl2br w:val="nil"/>
              <w:tr2bl w:val="nil"/>
            </w:tcBorders>
            <w:shd w:val="clear" w:color="auto" w:fill="auto"/>
            <w:noWrap/>
            <w:vAlign w:val="center"/>
          </w:tcPr>
          <w:p w14:paraId="2169E7B5">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30</w:t>
            </w:r>
          </w:p>
        </w:tc>
        <w:tc>
          <w:tcPr>
            <w:tcW w:w="665" w:type="pct"/>
            <w:tcBorders>
              <w:tl2br w:val="nil"/>
              <w:tr2bl w:val="nil"/>
            </w:tcBorders>
            <w:shd w:val="clear" w:color="auto" w:fill="auto"/>
            <w:noWrap/>
            <w:vAlign w:val="center"/>
          </w:tcPr>
          <w:p w14:paraId="149825D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14</w:t>
            </w:r>
          </w:p>
        </w:tc>
      </w:tr>
      <w:tr w14:paraId="1525B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6AA1949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390" w:type="pct"/>
            <w:vMerge w:val="continue"/>
            <w:tcBorders>
              <w:tl2br w:val="nil"/>
              <w:tr2bl w:val="nil"/>
            </w:tcBorders>
            <w:shd w:val="clear" w:color="auto" w:fill="auto"/>
            <w:vAlign w:val="center"/>
          </w:tcPr>
          <w:p w14:paraId="1BDECC70">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restart"/>
            <w:tcBorders>
              <w:tl2br w:val="nil"/>
              <w:tr2bl w:val="nil"/>
            </w:tcBorders>
            <w:shd w:val="clear" w:color="auto" w:fill="auto"/>
            <w:vAlign w:val="center"/>
          </w:tcPr>
          <w:p w14:paraId="3DB3D84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低压电工作业</w:t>
            </w:r>
          </w:p>
        </w:tc>
        <w:tc>
          <w:tcPr>
            <w:tcW w:w="622" w:type="pct"/>
            <w:tcBorders>
              <w:tl2br w:val="nil"/>
              <w:tr2bl w:val="nil"/>
            </w:tcBorders>
            <w:shd w:val="clear" w:color="auto" w:fill="auto"/>
            <w:noWrap/>
            <w:vAlign w:val="center"/>
          </w:tcPr>
          <w:p w14:paraId="2C5E259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胡加勇</w:t>
            </w:r>
          </w:p>
        </w:tc>
        <w:tc>
          <w:tcPr>
            <w:tcW w:w="853" w:type="pct"/>
            <w:tcBorders>
              <w:tl2br w:val="nil"/>
              <w:tr2bl w:val="nil"/>
            </w:tcBorders>
            <w:shd w:val="clear" w:color="auto" w:fill="auto"/>
            <w:noWrap/>
            <w:vAlign w:val="center"/>
          </w:tcPr>
          <w:p w14:paraId="7AF8C69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T332621197005160156</w:t>
            </w:r>
          </w:p>
        </w:tc>
        <w:tc>
          <w:tcPr>
            <w:tcW w:w="872" w:type="pct"/>
            <w:tcBorders>
              <w:tl2br w:val="nil"/>
              <w:tr2bl w:val="nil"/>
            </w:tcBorders>
            <w:shd w:val="clear" w:color="auto" w:fill="auto"/>
            <w:noWrap/>
            <w:vAlign w:val="center"/>
          </w:tcPr>
          <w:p w14:paraId="108D773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16</w:t>
            </w:r>
          </w:p>
        </w:tc>
        <w:tc>
          <w:tcPr>
            <w:tcW w:w="740" w:type="pct"/>
            <w:tcBorders>
              <w:tl2br w:val="nil"/>
              <w:tr2bl w:val="nil"/>
            </w:tcBorders>
            <w:shd w:val="clear" w:color="auto" w:fill="auto"/>
            <w:noWrap/>
            <w:vAlign w:val="center"/>
          </w:tcPr>
          <w:p w14:paraId="53EE0A7F">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16</w:t>
            </w:r>
          </w:p>
        </w:tc>
        <w:tc>
          <w:tcPr>
            <w:tcW w:w="665" w:type="pct"/>
            <w:tcBorders>
              <w:tl2br w:val="nil"/>
              <w:tr2bl w:val="nil"/>
            </w:tcBorders>
            <w:shd w:val="clear" w:color="auto" w:fill="auto"/>
            <w:noWrap/>
            <w:vAlign w:val="center"/>
          </w:tcPr>
          <w:p w14:paraId="076ACED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10</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13</w:t>
            </w:r>
          </w:p>
        </w:tc>
      </w:tr>
      <w:tr w14:paraId="5BF7E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1CD41FD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390" w:type="pct"/>
            <w:vMerge w:val="continue"/>
            <w:tcBorders>
              <w:tl2br w:val="nil"/>
              <w:tr2bl w:val="nil"/>
            </w:tcBorders>
            <w:shd w:val="clear" w:color="auto" w:fill="auto"/>
            <w:vAlign w:val="center"/>
          </w:tcPr>
          <w:p w14:paraId="41DB6944">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654A1568">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25B51D9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陈仕祥</w:t>
            </w:r>
          </w:p>
        </w:tc>
        <w:tc>
          <w:tcPr>
            <w:tcW w:w="853" w:type="pct"/>
            <w:tcBorders>
              <w:tl2br w:val="nil"/>
              <w:tr2bl w:val="nil"/>
            </w:tcBorders>
            <w:shd w:val="clear" w:color="auto" w:fill="auto"/>
            <w:noWrap/>
            <w:vAlign w:val="center"/>
          </w:tcPr>
          <w:p w14:paraId="59A3E5E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T332621197306113492</w:t>
            </w:r>
          </w:p>
        </w:tc>
        <w:tc>
          <w:tcPr>
            <w:tcW w:w="872" w:type="pct"/>
            <w:tcBorders>
              <w:tl2br w:val="nil"/>
              <w:tr2bl w:val="nil"/>
            </w:tcBorders>
            <w:shd w:val="clear" w:color="auto" w:fill="auto"/>
            <w:noWrap/>
            <w:vAlign w:val="center"/>
          </w:tcPr>
          <w:p w14:paraId="2E4127D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25</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24</w:t>
            </w:r>
          </w:p>
        </w:tc>
        <w:tc>
          <w:tcPr>
            <w:tcW w:w="740" w:type="pct"/>
            <w:tcBorders>
              <w:tl2br w:val="nil"/>
              <w:tr2bl w:val="nil"/>
            </w:tcBorders>
            <w:shd w:val="clear" w:color="auto" w:fill="auto"/>
            <w:noWrap/>
            <w:vAlign w:val="center"/>
          </w:tcPr>
          <w:p w14:paraId="5E68179C">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24</w:t>
            </w:r>
          </w:p>
        </w:tc>
        <w:tc>
          <w:tcPr>
            <w:tcW w:w="665" w:type="pct"/>
            <w:tcBorders>
              <w:tl2br w:val="nil"/>
              <w:tr2bl w:val="nil"/>
            </w:tcBorders>
            <w:shd w:val="clear" w:color="auto" w:fill="auto"/>
            <w:noWrap/>
            <w:vAlign w:val="center"/>
          </w:tcPr>
          <w:p w14:paraId="2139E02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w:t>
            </w:r>
          </w:p>
        </w:tc>
      </w:tr>
      <w:tr w14:paraId="3FBC5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60EA295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390" w:type="pct"/>
            <w:vMerge w:val="continue"/>
            <w:tcBorders>
              <w:tl2br w:val="nil"/>
              <w:tr2bl w:val="nil"/>
            </w:tcBorders>
            <w:shd w:val="clear" w:color="auto" w:fill="auto"/>
            <w:vAlign w:val="center"/>
          </w:tcPr>
          <w:p w14:paraId="4FAC9DBF">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17E315EC">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1847223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沈荣元</w:t>
            </w:r>
          </w:p>
        </w:tc>
        <w:tc>
          <w:tcPr>
            <w:tcW w:w="853" w:type="pct"/>
            <w:tcBorders>
              <w:tl2br w:val="nil"/>
              <w:tr2bl w:val="nil"/>
            </w:tcBorders>
            <w:shd w:val="clear" w:color="auto" w:fill="auto"/>
            <w:noWrap/>
            <w:vAlign w:val="center"/>
          </w:tcPr>
          <w:p w14:paraId="6BC6E1A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T33260219801222693X</w:t>
            </w:r>
          </w:p>
        </w:tc>
        <w:tc>
          <w:tcPr>
            <w:tcW w:w="872" w:type="pct"/>
            <w:tcBorders>
              <w:tl2br w:val="nil"/>
              <w:tr2bl w:val="nil"/>
            </w:tcBorders>
            <w:shd w:val="clear" w:color="auto" w:fill="auto"/>
            <w:noWrap/>
            <w:vAlign w:val="center"/>
          </w:tcPr>
          <w:p w14:paraId="7F4D2B6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27</w:t>
            </w:r>
          </w:p>
        </w:tc>
        <w:tc>
          <w:tcPr>
            <w:tcW w:w="740" w:type="pct"/>
            <w:tcBorders>
              <w:tl2br w:val="nil"/>
              <w:tr2bl w:val="nil"/>
            </w:tcBorders>
            <w:shd w:val="clear" w:color="auto" w:fill="auto"/>
            <w:noWrap/>
            <w:vAlign w:val="center"/>
          </w:tcPr>
          <w:p w14:paraId="0507ED93">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27</w:t>
            </w:r>
          </w:p>
        </w:tc>
        <w:tc>
          <w:tcPr>
            <w:tcW w:w="665" w:type="pct"/>
            <w:tcBorders>
              <w:tl2br w:val="nil"/>
              <w:tr2bl w:val="nil"/>
            </w:tcBorders>
            <w:shd w:val="clear" w:color="auto" w:fill="auto"/>
            <w:noWrap/>
            <w:vAlign w:val="center"/>
          </w:tcPr>
          <w:p w14:paraId="63E6D88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292511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11E8F94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390" w:type="pct"/>
            <w:vMerge w:val="continue"/>
            <w:tcBorders>
              <w:tl2br w:val="nil"/>
              <w:tr2bl w:val="nil"/>
            </w:tcBorders>
            <w:shd w:val="clear" w:color="auto" w:fill="auto"/>
            <w:vAlign w:val="center"/>
          </w:tcPr>
          <w:p w14:paraId="2D96F7E3">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04D922E9">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44BE242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黄道健</w:t>
            </w:r>
          </w:p>
        </w:tc>
        <w:tc>
          <w:tcPr>
            <w:tcW w:w="853" w:type="pct"/>
            <w:tcBorders>
              <w:tl2br w:val="nil"/>
              <w:tr2bl w:val="nil"/>
            </w:tcBorders>
            <w:shd w:val="clear" w:color="auto" w:fill="auto"/>
            <w:noWrap/>
            <w:vAlign w:val="center"/>
          </w:tcPr>
          <w:p w14:paraId="7590E20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T33260219750930349X</w:t>
            </w:r>
          </w:p>
        </w:tc>
        <w:tc>
          <w:tcPr>
            <w:tcW w:w="872" w:type="pct"/>
            <w:tcBorders>
              <w:tl2br w:val="nil"/>
              <w:tr2bl w:val="nil"/>
            </w:tcBorders>
            <w:shd w:val="clear" w:color="auto" w:fill="auto"/>
            <w:noWrap/>
            <w:vAlign w:val="center"/>
          </w:tcPr>
          <w:p w14:paraId="2450CEF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3FF0CBCC">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067DC00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1274FF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6D3A62E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390" w:type="pct"/>
            <w:vMerge w:val="continue"/>
            <w:tcBorders>
              <w:tl2br w:val="nil"/>
              <w:tr2bl w:val="nil"/>
            </w:tcBorders>
            <w:shd w:val="clear" w:color="auto" w:fill="auto"/>
            <w:vAlign w:val="center"/>
          </w:tcPr>
          <w:p w14:paraId="74C924B5">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74065624">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29F9873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许志杰</w:t>
            </w:r>
          </w:p>
        </w:tc>
        <w:tc>
          <w:tcPr>
            <w:tcW w:w="853" w:type="pct"/>
            <w:tcBorders>
              <w:tl2br w:val="nil"/>
              <w:tr2bl w:val="nil"/>
            </w:tcBorders>
            <w:shd w:val="clear" w:color="auto" w:fill="auto"/>
            <w:noWrap/>
            <w:vAlign w:val="center"/>
          </w:tcPr>
          <w:p w14:paraId="69BF9BC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T332621197412093499</w:t>
            </w:r>
          </w:p>
        </w:tc>
        <w:tc>
          <w:tcPr>
            <w:tcW w:w="872" w:type="pct"/>
            <w:tcBorders>
              <w:tl2br w:val="nil"/>
              <w:tr2bl w:val="nil"/>
            </w:tcBorders>
            <w:shd w:val="clear" w:color="auto" w:fill="auto"/>
            <w:noWrap/>
            <w:vAlign w:val="center"/>
          </w:tcPr>
          <w:p w14:paraId="3E4F29F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5476FB1F">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6309D41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13ACF9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3C02377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390" w:type="pct"/>
            <w:vMerge w:val="continue"/>
            <w:tcBorders>
              <w:tl2br w:val="nil"/>
              <w:tr2bl w:val="nil"/>
            </w:tcBorders>
            <w:shd w:val="clear" w:color="auto" w:fill="auto"/>
            <w:vAlign w:val="center"/>
          </w:tcPr>
          <w:p w14:paraId="546255E6">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7A9440B8">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606E5C1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郑灵光</w:t>
            </w:r>
          </w:p>
        </w:tc>
        <w:tc>
          <w:tcPr>
            <w:tcW w:w="853" w:type="pct"/>
            <w:tcBorders>
              <w:tl2br w:val="nil"/>
              <w:tr2bl w:val="nil"/>
            </w:tcBorders>
            <w:shd w:val="clear" w:color="auto" w:fill="auto"/>
            <w:noWrap/>
            <w:vAlign w:val="center"/>
          </w:tcPr>
          <w:p w14:paraId="4A62D1A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T332621197205123659</w:t>
            </w:r>
          </w:p>
        </w:tc>
        <w:tc>
          <w:tcPr>
            <w:tcW w:w="872" w:type="pct"/>
            <w:tcBorders>
              <w:tl2br w:val="nil"/>
              <w:tr2bl w:val="nil"/>
            </w:tcBorders>
            <w:shd w:val="clear" w:color="auto" w:fill="auto"/>
            <w:noWrap/>
            <w:vAlign w:val="center"/>
          </w:tcPr>
          <w:p w14:paraId="1CEBFCC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43BD1A9D">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49CED51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3298B2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2804F90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390" w:type="pct"/>
            <w:vMerge w:val="continue"/>
            <w:tcBorders>
              <w:tl2br w:val="nil"/>
              <w:tr2bl w:val="nil"/>
            </w:tcBorders>
            <w:shd w:val="clear" w:color="auto" w:fill="auto"/>
            <w:vAlign w:val="center"/>
          </w:tcPr>
          <w:p w14:paraId="0DA70671">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45EE43ED">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5A60437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黄元甫</w:t>
            </w:r>
          </w:p>
        </w:tc>
        <w:tc>
          <w:tcPr>
            <w:tcW w:w="853" w:type="pct"/>
            <w:tcBorders>
              <w:tl2br w:val="nil"/>
              <w:tr2bl w:val="nil"/>
            </w:tcBorders>
            <w:shd w:val="clear" w:color="auto" w:fill="auto"/>
            <w:noWrap/>
            <w:vAlign w:val="center"/>
          </w:tcPr>
          <w:p w14:paraId="38D50F4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T331082198206217458</w:t>
            </w:r>
          </w:p>
        </w:tc>
        <w:tc>
          <w:tcPr>
            <w:tcW w:w="872" w:type="pct"/>
            <w:tcBorders>
              <w:tl2br w:val="nil"/>
              <w:tr2bl w:val="nil"/>
            </w:tcBorders>
            <w:shd w:val="clear" w:color="auto" w:fill="auto"/>
            <w:noWrap/>
            <w:vAlign w:val="center"/>
          </w:tcPr>
          <w:p w14:paraId="7CBE663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531061CD">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1FF59F1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7B99E1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08E6673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390" w:type="pct"/>
            <w:vMerge w:val="continue"/>
            <w:tcBorders>
              <w:tl2br w:val="nil"/>
              <w:tr2bl w:val="nil"/>
            </w:tcBorders>
            <w:shd w:val="clear" w:color="auto" w:fill="auto"/>
            <w:vAlign w:val="center"/>
          </w:tcPr>
          <w:p w14:paraId="1AF5B41E">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3462DD0A">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0B07865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王有路</w:t>
            </w:r>
          </w:p>
        </w:tc>
        <w:tc>
          <w:tcPr>
            <w:tcW w:w="853" w:type="pct"/>
            <w:tcBorders>
              <w:tl2br w:val="nil"/>
              <w:tr2bl w:val="nil"/>
            </w:tcBorders>
            <w:shd w:val="clear" w:color="auto" w:fill="auto"/>
            <w:noWrap/>
            <w:vAlign w:val="center"/>
          </w:tcPr>
          <w:p w14:paraId="633A216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T341222199410125615</w:t>
            </w:r>
          </w:p>
        </w:tc>
        <w:tc>
          <w:tcPr>
            <w:tcW w:w="872" w:type="pct"/>
            <w:tcBorders>
              <w:tl2br w:val="nil"/>
              <w:tr2bl w:val="nil"/>
            </w:tcBorders>
            <w:shd w:val="clear" w:color="auto" w:fill="auto"/>
            <w:noWrap/>
            <w:vAlign w:val="center"/>
          </w:tcPr>
          <w:p w14:paraId="12ED8AE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32B040F1">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7E5398A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4A2AF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4FE8D61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390" w:type="pct"/>
            <w:vMerge w:val="continue"/>
            <w:tcBorders>
              <w:tl2br w:val="nil"/>
              <w:tr2bl w:val="nil"/>
            </w:tcBorders>
            <w:shd w:val="clear" w:color="auto" w:fill="auto"/>
            <w:vAlign w:val="center"/>
          </w:tcPr>
          <w:p w14:paraId="0A7972DC">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13615968">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01F3FE1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陆宗琦</w:t>
            </w:r>
          </w:p>
        </w:tc>
        <w:tc>
          <w:tcPr>
            <w:tcW w:w="853" w:type="pct"/>
            <w:tcBorders>
              <w:tl2br w:val="nil"/>
              <w:tr2bl w:val="nil"/>
            </w:tcBorders>
            <w:shd w:val="clear" w:color="auto" w:fill="auto"/>
            <w:noWrap/>
            <w:vAlign w:val="center"/>
          </w:tcPr>
          <w:p w14:paraId="3BECDCE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T332602197509103930</w:t>
            </w:r>
          </w:p>
        </w:tc>
        <w:tc>
          <w:tcPr>
            <w:tcW w:w="872" w:type="pct"/>
            <w:tcBorders>
              <w:tl2br w:val="nil"/>
              <w:tr2bl w:val="nil"/>
            </w:tcBorders>
            <w:shd w:val="clear" w:color="auto" w:fill="auto"/>
            <w:noWrap/>
            <w:vAlign w:val="center"/>
          </w:tcPr>
          <w:p w14:paraId="33F3899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5BA2A420">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305D47E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5084F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6501228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390" w:type="pct"/>
            <w:vMerge w:val="continue"/>
            <w:tcBorders>
              <w:tl2br w:val="nil"/>
              <w:tr2bl w:val="nil"/>
            </w:tcBorders>
            <w:shd w:val="clear" w:color="auto" w:fill="auto"/>
            <w:vAlign w:val="center"/>
          </w:tcPr>
          <w:p w14:paraId="5C3B27F5">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00E89F38">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0746800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鲍玉林</w:t>
            </w:r>
          </w:p>
        </w:tc>
        <w:tc>
          <w:tcPr>
            <w:tcW w:w="853" w:type="pct"/>
            <w:tcBorders>
              <w:tl2br w:val="nil"/>
              <w:tr2bl w:val="nil"/>
            </w:tcBorders>
            <w:shd w:val="clear" w:color="auto" w:fill="auto"/>
            <w:noWrap/>
            <w:vAlign w:val="center"/>
          </w:tcPr>
          <w:p w14:paraId="718DB53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T340824198010071435</w:t>
            </w:r>
          </w:p>
        </w:tc>
        <w:tc>
          <w:tcPr>
            <w:tcW w:w="872" w:type="pct"/>
            <w:tcBorders>
              <w:tl2br w:val="nil"/>
              <w:tr2bl w:val="nil"/>
            </w:tcBorders>
            <w:shd w:val="clear" w:color="auto" w:fill="auto"/>
            <w:noWrap/>
            <w:vAlign w:val="center"/>
          </w:tcPr>
          <w:p w14:paraId="490C5C8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23D8DA6B">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2335C5C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12F207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78798F3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390" w:type="pct"/>
            <w:vMerge w:val="continue"/>
            <w:tcBorders>
              <w:tl2br w:val="nil"/>
              <w:tr2bl w:val="nil"/>
            </w:tcBorders>
            <w:shd w:val="clear" w:color="auto" w:fill="auto"/>
            <w:vAlign w:val="center"/>
          </w:tcPr>
          <w:p w14:paraId="70B50632">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2ABB3706">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3561B6F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章足</w:t>
            </w:r>
          </w:p>
        </w:tc>
        <w:tc>
          <w:tcPr>
            <w:tcW w:w="853" w:type="pct"/>
            <w:tcBorders>
              <w:tl2br w:val="nil"/>
              <w:tr2bl w:val="nil"/>
            </w:tcBorders>
            <w:shd w:val="clear" w:color="auto" w:fill="auto"/>
            <w:noWrap/>
            <w:vAlign w:val="center"/>
          </w:tcPr>
          <w:p w14:paraId="375DF78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T331082198202283490</w:t>
            </w:r>
          </w:p>
        </w:tc>
        <w:tc>
          <w:tcPr>
            <w:tcW w:w="872" w:type="pct"/>
            <w:tcBorders>
              <w:tl2br w:val="nil"/>
              <w:tr2bl w:val="nil"/>
            </w:tcBorders>
            <w:shd w:val="clear" w:color="auto" w:fill="auto"/>
            <w:noWrap/>
            <w:vAlign w:val="center"/>
          </w:tcPr>
          <w:p w14:paraId="79124B6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76037EB3">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2D0F616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45C090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279EF28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390" w:type="pct"/>
            <w:vMerge w:val="continue"/>
            <w:tcBorders>
              <w:tl2br w:val="nil"/>
              <w:tr2bl w:val="nil"/>
            </w:tcBorders>
            <w:shd w:val="clear" w:color="auto" w:fill="auto"/>
            <w:vAlign w:val="center"/>
          </w:tcPr>
          <w:p w14:paraId="669AD629">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73083EA9">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5E5D7D9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黄秀尚</w:t>
            </w:r>
          </w:p>
        </w:tc>
        <w:tc>
          <w:tcPr>
            <w:tcW w:w="853" w:type="pct"/>
            <w:tcBorders>
              <w:tl2br w:val="nil"/>
              <w:tr2bl w:val="nil"/>
            </w:tcBorders>
            <w:shd w:val="clear" w:color="auto" w:fill="auto"/>
            <w:noWrap/>
            <w:vAlign w:val="center"/>
          </w:tcPr>
          <w:p w14:paraId="7A8D045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T332621197111193496</w:t>
            </w:r>
          </w:p>
        </w:tc>
        <w:tc>
          <w:tcPr>
            <w:tcW w:w="872" w:type="pct"/>
            <w:tcBorders>
              <w:tl2br w:val="nil"/>
              <w:tr2bl w:val="nil"/>
            </w:tcBorders>
            <w:shd w:val="clear" w:color="auto" w:fill="auto"/>
            <w:noWrap/>
            <w:vAlign w:val="center"/>
          </w:tcPr>
          <w:p w14:paraId="77C8634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6CB7DBE8">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3D0A834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173FE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344E5A1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390" w:type="pct"/>
            <w:vMerge w:val="continue"/>
            <w:tcBorders>
              <w:tl2br w:val="nil"/>
              <w:tr2bl w:val="nil"/>
            </w:tcBorders>
            <w:shd w:val="clear" w:color="auto" w:fill="auto"/>
            <w:vAlign w:val="center"/>
          </w:tcPr>
          <w:p w14:paraId="2DF299C3">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51EFA996">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6D394A6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李克增</w:t>
            </w:r>
          </w:p>
        </w:tc>
        <w:tc>
          <w:tcPr>
            <w:tcW w:w="853" w:type="pct"/>
            <w:tcBorders>
              <w:tl2br w:val="nil"/>
              <w:tr2bl w:val="nil"/>
            </w:tcBorders>
            <w:shd w:val="clear" w:color="auto" w:fill="auto"/>
            <w:noWrap/>
            <w:vAlign w:val="center"/>
          </w:tcPr>
          <w:p w14:paraId="72332CA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T332602197909073494</w:t>
            </w:r>
          </w:p>
        </w:tc>
        <w:tc>
          <w:tcPr>
            <w:tcW w:w="872" w:type="pct"/>
            <w:tcBorders>
              <w:tl2br w:val="nil"/>
              <w:tr2bl w:val="nil"/>
            </w:tcBorders>
            <w:shd w:val="clear" w:color="auto" w:fill="auto"/>
            <w:noWrap/>
            <w:vAlign w:val="center"/>
          </w:tcPr>
          <w:p w14:paraId="2F76064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740" w:type="pct"/>
            <w:tcBorders>
              <w:tl2br w:val="nil"/>
              <w:tr2bl w:val="nil"/>
            </w:tcBorders>
            <w:shd w:val="clear" w:color="auto" w:fill="auto"/>
            <w:noWrap/>
            <w:vAlign w:val="center"/>
          </w:tcPr>
          <w:p w14:paraId="4A5DFCE2">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p>
        </w:tc>
        <w:tc>
          <w:tcPr>
            <w:tcW w:w="665" w:type="pct"/>
            <w:tcBorders>
              <w:tl2br w:val="nil"/>
              <w:tr2bl w:val="nil"/>
            </w:tcBorders>
            <w:shd w:val="clear" w:color="auto" w:fill="auto"/>
            <w:noWrap/>
            <w:vAlign w:val="center"/>
          </w:tcPr>
          <w:p w14:paraId="1B25641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2024.04.17</w:t>
            </w:r>
          </w:p>
        </w:tc>
      </w:tr>
      <w:tr w14:paraId="7A342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7EF53A8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390" w:type="pct"/>
            <w:vMerge w:val="continue"/>
            <w:tcBorders>
              <w:tl2br w:val="nil"/>
              <w:tr2bl w:val="nil"/>
            </w:tcBorders>
            <w:shd w:val="clear" w:color="auto" w:fill="auto"/>
            <w:vAlign w:val="center"/>
          </w:tcPr>
          <w:p w14:paraId="01E1F8BA">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74C2C27F">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77A98B8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屠朝永</w:t>
            </w:r>
          </w:p>
        </w:tc>
        <w:tc>
          <w:tcPr>
            <w:tcW w:w="853" w:type="pct"/>
            <w:tcBorders>
              <w:tl2br w:val="nil"/>
              <w:tr2bl w:val="nil"/>
            </w:tcBorders>
            <w:shd w:val="clear" w:color="auto" w:fill="auto"/>
            <w:noWrap/>
            <w:vAlign w:val="center"/>
          </w:tcPr>
          <w:p w14:paraId="7C12B77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T33260219800520349X</w:t>
            </w:r>
          </w:p>
        </w:tc>
        <w:tc>
          <w:tcPr>
            <w:tcW w:w="872" w:type="pct"/>
            <w:tcBorders>
              <w:tl2br w:val="nil"/>
              <w:tr2bl w:val="nil"/>
            </w:tcBorders>
            <w:shd w:val="clear" w:color="auto" w:fill="auto"/>
            <w:noWrap/>
            <w:vAlign w:val="center"/>
          </w:tcPr>
          <w:p w14:paraId="23EE2D7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16</w:t>
            </w:r>
          </w:p>
        </w:tc>
        <w:tc>
          <w:tcPr>
            <w:tcW w:w="740" w:type="pct"/>
            <w:tcBorders>
              <w:tl2br w:val="nil"/>
              <w:tr2bl w:val="nil"/>
            </w:tcBorders>
            <w:shd w:val="clear" w:color="auto" w:fill="auto"/>
            <w:noWrap/>
            <w:vAlign w:val="center"/>
          </w:tcPr>
          <w:p w14:paraId="4D7FFE89">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16</w:t>
            </w:r>
          </w:p>
        </w:tc>
        <w:tc>
          <w:tcPr>
            <w:tcW w:w="665" w:type="pct"/>
            <w:tcBorders>
              <w:tl2br w:val="nil"/>
              <w:tr2bl w:val="nil"/>
            </w:tcBorders>
            <w:shd w:val="clear" w:color="auto" w:fill="auto"/>
            <w:noWrap/>
            <w:vAlign w:val="center"/>
          </w:tcPr>
          <w:p w14:paraId="008DA48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13</w:t>
            </w:r>
          </w:p>
        </w:tc>
      </w:tr>
      <w:tr w14:paraId="3DC0AD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4472583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390" w:type="pct"/>
            <w:vMerge w:val="continue"/>
            <w:tcBorders>
              <w:tl2br w:val="nil"/>
              <w:tr2bl w:val="nil"/>
            </w:tcBorders>
            <w:shd w:val="clear" w:color="auto" w:fill="auto"/>
            <w:vAlign w:val="center"/>
          </w:tcPr>
          <w:p w14:paraId="29F7535E">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404D9BB4">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5BF9B64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黄直强</w:t>
            </w:r>
          </w:p>
        </w:tc>
        <w:tc>
          <w:tcPr>
            <w:tcW w:w="853" w:type="pct"/>
            <w:tcBorders>
              <w:tl2br w:val="nil"/>
              <w:tr2bl w:val="nil"/>
            </w:tcBorders>
            <w:shd w:val="clear" w:color="auto" w:fill="auto"/>
            <w:noWrap/>
            <w:vAlign w:val="center"/>
          </w:tcPr>
          <w:p w14:paraId="3C6E7A2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T332621197003313497</w:t>
            </w:r>
          </w:p>
        </w:tc>
        <w:tc>
          <w:tcPr>
            <w:tcW w:w="872" w:type="pct"/>
            <w:tcBorders>
              <w:tl2br w:val="nil"/>
              <w:tr2bl w:val="nil"/>
            </w:tcBorders>
            <w:shd w:val="clear" w:color="auto" w:fill="auto"/>
            <w:noWrap/>
            <w:vAlign w:val="center"/>
          </w:tcPr>
          <w:p w14:paraId="2E4EFB3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16</w:t>
            </w:r>
          </w:p>
        </w:tc>
        <w:tc>
          <w:tcPr>
            <w:tcW w:w="740" w:type="pct"/>
            <w:tcBorders>
              <w:tl2br w:val="nil"/>
              <w:tr2bl w:val="nil"/>
            </w:tcBorders>
            <w:shd w:val="clear" w:color="auto" w:fill="auto"/>
            <w:noWrap/>
            <w:vAlign w:val="center"/>
          </w:tcPr>
          <w:p w14:paraId="07B3C71A">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16</w:t>
            </w:r>
          </w:p>
        </w:tc>
        <w:tc>
          <w:tcPr>
            <w:tcW w:w="665" w:type="pct"/>
            <w:tcBorders>
              <w:tl2br w:val="nil"/>
              <w:tr2bl w:val="nil"/>
            </w:tcBorders>
            <w:shd w:val="clear" w:color="auto" w:fill="auto"/>
            <w:noWrap/>
            <w:vAlign w:val="center"/>
          </w:tcPr>
          <w:p w14:paraId="6813181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13</w:t>
            </w:r>
          </w:p>
        </w:tc>
      </w:tr>
      <w:tr w14:paraId="3D80A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6DA4E19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390" w:type="pct"/>
            <w:vMerge w:val="continue"/>
            <w:tcBorders>
              <w:tl2br w:val="nil"/>
              <w:tr2bl w:val="nil"/>
            </w:tcBorders>
            <w:shd w:val="clear" w:color="auto" w:fill="auto"/>
            <w:vAlign w:val="center"/>
          </w:tcPr>
          <w:p w14:paraId="4025F6B8">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64D471C0">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0C8FCC9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王俊富</w:t>
            </w:r>
          </w:p>
        </w:tc>
        <w:tc>
          <w:tcPr>
            <w:tcW w:w="853" w:type="pct"/>
            <w:tcBorders>
              <w:tl2br w:val="nil"/>
              <w:tr2bl w:val="nil"/>
            </w:tcBorders>
            <w:shd w:val="clear" w:color="auto" w:fill="auto"/>
            <w:noWrap/>
            <w:vAlign w:val="center"/>
          </w:tcPr>
          <w:p w14:paraId="732018B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T332621196509253490</w:t>
            </w:r>
          </w:p>
        </w:tc>
        <w:tc>
          <w:tcPr>
            <w:tcW w:w="872" w:type="pct"/>
            <w:tcBorders>
              <w:tl2br w:val="nil"/>
              <w:tr2bl w:val="nil"/>
            </w:tcBorders>
            <w:shd w:val="clear" w:color="auto" w:fill="auto"/>
            <w:noWrap/>
            <w:vAlign w:val="center"/>
          </w:tcPr>
          <w:p w14:paraId="5861030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2025</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24</w:t>
            </w:r>
          </w:p>
        </w:tc>
        <w:tc>
          <w:tcPr>
            <w:tcW w:w="740" w:type="pct"/>
            <w:tcBorders>
              <w:tl2br w:val="nil"/>
              <w:tr2bl w:val="nil"/>
            </w:tcBorders>
            <w:shd w:val="clear" w:color="auto" w:fill="auto"/>
            <w:noWrap/>
            <w:vAlign w:val="center"/>
          </w:tcPr>
          <w:p w14:paraId="098D6AD6">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16</w:t>
            </w:r>
          </w:p>
        </w:tc>
        <w:tc>
          <w:tcPr>
            <w:tcW w:w="665" w:type="pct"/>
            <w:tcBorders>
              <w:tl2br w:val="nil"/>
              <w:tr2bl w:val="nil"/>
            </w:tcBorders>
            <w:shd w:val="clear" w:color="auto" w:fill="auto"/>
            <w:noWrap/>
            <w:vAlign w:val="center"/>
          </w:tcPr>
          <w:p w14:paraId="46C30F0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13</w:t>
            </w:r>
          </w:p>
        </w:tc>
      </w:tr>
      <w:tr w14:paraId="2117E9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1E93ADE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390" w:type="pct"/>
            <w:vMerge w:val="continue"/>
            <w:tcBorders>
              <w:tl2br w:val="nil"/>
              <w:tr2bl w:val="nil"/>
            </w:tcBorders>
            <w:shd w:val="clear" w:color="auto" w:fill="auto"/>
            <w:vAlign w:val="center"/>
          </w:tcPr>
          <w:p w14:paraId="5C568195">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657F613C">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2F31AD8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钱光辉</w:t>
            </w:r>
          </w:p>
        </w:tc>
        <w:tc>
          <w:tcPr>
            <w:tcW w:w="853" w:type="pct"/>
            <w:tcBorders>
              <w:tl2br w:val="nil"/>
              <w:tr2bl w:val="nil"/>
            </w:tcBorders>
            <w:shd w:val="clear" w:color="auto" w:fill="auto"/>
            <w:noWrap/>
            <w:vAlign w:val="center"/>
          </w:tcPr>
          <w:p w14:paraId="52B2C79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T332621197103303499</w:t>
            </w:r>
          </w:p>
        </w:tc>
        <w:tc>
          <w:tcPr>
            <w:tcW w:w="872" w:type="pct"/>
            <w:tcBorders>
              <w:tl2br w:val="nil"/>
              <w:tr2bl w:val="nil"/>
            </w:tcBorders>
            <w:shd w:val="clear" w:color="auto" w:fill="auto"/>
            <w:noWrap/>
            <w:vAlign w:val="center"/>
          </w:tcPr>
          <w:p w14:paraId="0122A65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16</w:t>
            </w:r>
          </w:p>
        </w:tc>
        <w:tc>
          <w:tcPr>
            <w:tcW w:w="740" w:type="pct"/>
            <w:tcBorders>
              <w:tl2br w:val="nil"/>
              <w:tr2bl w:val="nil"/>
            </w:tcBorders>
            <w:shd w:val="clear" w:color="auto" w:fill="auto"/>
            <w:noWrap/>
            <w:vAlign w:val="center"/>
          </w:tcPr>
          <w:p w14:paraId="6B905133">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16</w:t>
            </w:r>
          </w:p>
        </w:tc>
        <w:tc>
          <w:tcPr>
            <w:tcW w:w="665" w:type="pct"/>
            <w:tcBorders>
              <w:tl2br w:val="nil"/>
              <w:tr2bl w:val="nil"/>
            </w:tcBorders>
            <w:shd w:val="clear" w:color="auto" w:fill="auto"/>
            <w:noWrap/>
            <w:vAlign w:val="center"/>
          </w:tcPr>
          <w:p w14:paraId="23CB314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13</w:t>
            </w:r>
          </w:p>
        </w:tc>
      </w:tr>
      <w:tr w14:paraId="72069A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09D27E7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390" w:type="pct"/>
            <w:vMerge w:val="continue"/>
            <w:tcBorders>
              <w:tl2br w:val="nil"/>
              <w:tr2bl w:val="nil"/>
            </w:tcBorders>
            <w:shd w:val="clear" w:color="auto" w:fill="auto"/>
            <w:vAlign w:val="center"/>
          </w:tcPr>
          <w:p w14:paraId="1B610CC7">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0901909C">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2635B8E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黄友广</w:t>
            </w:r>
          </w:p>
        </w:tc>
        <w:tc>
          <w:tcPr>
            <w:tcW w:w="853" w:type="pct"/>
            <w:tcBorders>
              <w:tl2br w:val="nil"/>
              <w:tr2bl w:val="nil"/>
            </w:tcBorders>
            <w:shd w:val="clear" w:color="auto" w:fill="auto"/>
            <w:noWrap/>
            <w:vAlign w:val="center"/>
          </w:tcPr>
          <w:p w14:paraId="58C72B9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T331082198209213938</w:t>
            </w:r>
          </w:p>
        </w:tc>
        <w:tc>
          <w:tcPr>
            <w:tcW w:w="872" w:type="pct"/>
            <w:tcBorders>
              <w:tl2br w:val="nil"/>
              <w:tr2bl w:val="nil"/>
            </w:tcBorders>
            <w:shd w:val="clear" w:color="auto" w:fill="auto"/>
            <w:noWrap/>
            <w:vAlign w:val="center"/>
          </w:tcPr>
          <w:p w14:paraId="016563E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2022</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2028</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25</w:t>
            </w:r>
          </w:p>
        </w:tc>
        <w:tc>
          <w:tcPr>
            <w:tcW w:w="740" w:type="pct"/>
            <w:tcBorders>
              <w:tl2br w:val="nil"/>
              <w:tr2bl w:val="nil"/>
            </w:tcBorders>
            <w:shd w:val="clear" w:color="auto" w:fill="auto"/>
            <w:noWrap/>
            <w:vAlign w:val="center"/>
          </w:tcPr>
          <w:p w14:paraId="5D63961D">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2025</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25</w:t>
            </w:r>
          </w:p>
        </w:tc>
        <w:tc>
          <w:tcPr>
            <w:tcW w:w="665" w:type="pct"/>
            <w:tcBorders>
              <w:tl2br w:val="nil"/>
              <w:tr2bl w:val="nil"/>
            </w:tcBorders>
            <w:shd w:val="clear" w:color="auto" w:fill="auto"/>
            <w:noWrap/>
            <w:vAlign w:val="center"/>
          </w:tcPr>
          <w:p w14:paraId="5CC6B6A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w:t>
            </w:r>
          </w:p>
        </w:tc>
      </w:tr>
      <w:tr w14:paraId="49451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3F331E8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390" w:type="pct"/>
            <w:vMerge w:val="restart"/>
            <w:tcBorders>
              <w:tl2br w:val="nil"/>
              <w:tr2bl w:val="nil"/>
            </w:tcBorders>
            <w:shd w:val="clear" w:color="auto" w:fill="auto"/>
            <w:vAlign w:val="center"/>
          </w:tcPr>
          <w:p w14:paraId="1AF8264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金属焊接切割作业</w:t>
            </w:r>
          </w:p>
        </w:tc>
        <w:tc>
          <w:tcPr>
            <w:tcW w:w="606" w:type="pct"/>
            <w:vMerge w:val="restart"/>
            <w:tcBorders>
              <w:tl2br w:val="nil"/>
              <w:tr2bl w:val="nil"/>
            </w:tcBorders>
            <w:shd w:val="clear" w:color="auto" w:fill="auto"/>
            <w:vAlign w:val="center"/>
          </w:tcPr>
          <w:p w14:paraId="3388430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电焊、气割、气焊</w:t>
            </w:r>
          </w:p>
        </w:tc>
        <w:tc>
          <w:tcPr>
            <w:tcW w:w="622" w:type="pct"/>
            <w:tcBorders>
              <w:tl2br w:val="nil"/>
              <w:tr2bl w:val="nil"/>
            </w:tcBorders>
            <w:shd w:val="clear" w:color="auto" w:fill="auto"/>
            <w:noWrap/>
            <w:vAlign w:val="center"/>
          </w:tcPr>
          <w:p w14:paraId="1B335FA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徐灵江</w:t>
            </w:r>
          </w:p>
        </w:tc>
        <w:tc>
          <w:tcPr>
            <w:tcW w:w="853" w:type="pct"/>
            <w:tcBorders>
              <w:tl2br w:val="nil"/>
              <w:tr2bl w:val="nil"/>
            </w:tcBorders>
            <w:shd w:val="clear" w:color="auto" w:fill="auto"/>
            <w:noWrap/>
            <w:vAlign w:val="center"/>
          </w:tcPr>
          <w:p w14:paraId="48D2EE5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T332626196509060017</w:t>
            </w:r>
          </w:p>
        </w:tc>
        <w:tc>
          <w:tcPr>
            <w:tcW w:w="872" w:type="pct"/>
            <w:tcBorders>
              <w:tl2br w:val="nil"/>
              <w:tr2bl w:val="nil"/>
            </w:tcBorders>
            <w:shd w:val="clear" w:color="auto" w:fill="auto"/>
            <w:noWrap/>
            <w:vAlign w:val="center"/>
          </w:tcPr>
          <w:p w14:paraId="7708419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2019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12</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02</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2025</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09</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05</w:t>
            </w:r>
          </w:p>
        </w:tc>
        <w:tc>
          <w:tcPr>
            <w:tcW w:w="740" w:type="pct"/>
            <w:tcBorders>
              <w:tl2br w:val="nil"/>
              <w:tr2bl w:val="nil"/>
            </w:tcBorders>
            <w:shd w:val="clear" w:color="auto" w:fill="auto"/>
            <w:noWrap/>
            <w:vAlign w:val="center"/>
          </w:tcPr>
          <w:p w14:paraId="52AFC6A9">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2022</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12</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01</w:t>
            </w:r>
          </w:p>
        </w:tc>
        <w:tc>
          <w:tcPr>
            <w:tcW w:w="665" w:type="pct"/>
            <w:tcBorders>
              <w:tl2br w:val="nil"/>
              <w:tr2bl w:val="nil"/>
            </w:tcBorders>
            <w:shd w:val="clear" w:color="auto" w:fill="auto"/>
            <w:noWrap/>
            <w:vAlign w:val="center"/>
          </w:tcPr>
          <w:p w14:paraId="24F18C0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01</w:t>
            </w:r>
          </w:p>
        </w:tc>
      </w:tr>
      <w:tr w14:paraId="054FD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63CA2E3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390" w:type="pct"/>
            <w:vMerge w:val="continue"/>
            <w:tcBorders>
              <w:tl2br w:val="nil"/>
              <w:tr2bl w:val="nil"/>
            </w:tcBorders>
            <w:shd w:val="clear" w:color="auto" w:fill="auto"/>
            <w:vAlign w:val="center"/>
          </w:tcPr>
          <w:p w14:paraId="44165738">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37EF55EE">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1723469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王以宰</w:t>
            </w:r>
          </w:p>
        </w:tc>
        <w:tc>
          <w:tcPr>
            <w:tcW w:w="853" w:type="pct"/>
            <w:tcBorders>
              <w:tl2br w:val="nil"/>
              <w:tr2bl w:val="nil"/>
            </w:tcBorders>
            <w:shd w:val="clear" w:color="auto" w:fill="auto"/>
            <w:noWrap/>
            <w:vAlign w:val="center"/>
          </w:tcPr>
          <w:p w14:paraId="53804AF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T332621197202183496</w:t>
            </w:r>
          </w:p>
        </w:tc>
        <w:tc>
          <w:tcPr>
            <w:tcW w:w="872" w:type="pct"/>
            <w:tcBorders>
              <w:tl2br w:val="nil"/>
              <w:tr2bl w:val="nil"/>
            </w:tcBorders>
            <w:shd w:val="clear" w:color="auto" w:fill="auto"/>
            <w:noWrap/>
            <w:vAlign w:val="center"/>
          </w:tcPr>
          <w:p w14:paraId="1B807C8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2020</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18</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17</w:t>
            </w:r>
          </w:p>
        </w:tc>
        <w:tc>
          <w:tcPr>
            <w:tcW w:w="740" w:type="pct"/>
            <w:tcBorders>
              <w:tl2br w:val="nil"/>
              <w:tr2bl w:val="nil"/>
            </w:tcBorders>
            <w:shd w:val="clear" w:color="auto" w:fill="auto"/>
            <w:noWrap/>
            <w:vAlign w:val="center"/>
          </w:tcPr>
          <w:p w14:paraId="2F064199">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17</w:t>
            </w:r>
          </w:p>
        </w:tc>
        <w:tc>
          <w:tcPr>
            <w:tcW w:w="665" w:type="pct"/>
            <w:tcBorders>
              <w:tl2br w:val="nil"/>
              <w:tr2bl w:val="nil"/>
            </w:tcBorders>
            <w:shd w:val="clear" w:color="auto" w:fill="auto"/>
            <w:noWrap/>
            <w:vAlign w:val="center"/>
          </w:tcPr>
          <w:p w14:paraId="6351FCA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2023</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11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w:t>
            </w:r>
          </w:p>
        </w:tc>
      </w:tr>
      <w:tr w14:paraId="144522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39F0264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390" w:type="pct"/>
            <w:vMerge w:val="continue"/>
            <w:tcBorders>
              <w:tl2br w:val="nil"/>
              <w:tr2bl w:val="nil"/>
            </w:tcBorders>
            <w:shd w:val="clear" w:color="auto" w:fill="auto"/>
            <w:vAlign w:val="center"/>
          </w:tcPr>
          <w:p w14:paraId="523687EE">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40A5ADB6">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3C36635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陈国敏</w:t>
            </w:r>
          </w:p>
        </w:tc>
        <w:tc>
          <w:tcPr>
            <w:tcW w:w="853" w:type="pct"/>
            <w:tcBorders>
              <w:tl2br w:val="nil"/>
              <w:tr2bl w:val="nil"/>
            </w:tcBorders>
            <w:shd w:val="clear" w:color="auto" w:fill="auto"/>
            <w:noWrap/>
            <w:vAlign w:val="center"/>
          </w:tcPr>
          <w:p w14:paraId="242BB86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T332602197712123515</w:t>
            </w:r>
          </w:p>
        </w:tc>
        <w:tc>
          <w:tcPr>
            <w:tcW w:w="872" w:type="pct"/>
            <w:tcBorders>
              <w:tl2br w:val="nil"/>
              <w:tr2bl w:val="nil"/>
            </w:tcBorders>
            <w:shd w:val="clear" w:color="auto" w:fill="auto"/>
            <w:noWrap/>
            <w:vAlign w:val="center"/>
          </w:tcPr>
          <w:p w14:paraId="5793ADB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2022</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2028</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23</w:t>
            </w:r>
          </w:p>
        </w:tc>
        <w:tc>
          <w:tcPr>
            <w:tcW w:w="740" w:type="pct"/>
            <w:tcBorders>
              <w:tl2br w:val="nil"/>
              <w:tr2bl w:val="nil"/>
            </w:tcBorders>
            <w:shd w:val="clear" w:color="auto" w:fill="auto"/>
            <w:noWrap/>
            <w:vAlign w:val="center"/>
          </w:tcPr>
          <w:p w14:paraId="59DB8553">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2025</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23</w:t>
            </w:r>
          </w:p>
        </w:tc>
        <w:tc>
          <w:tcPr>
            <w:tcW w:w="665" w:type="pct"/>
            <w:tcBorders>
              <w:tl2br w:val="nil"/>
              <w:tr2bl w:val="nil"/>
            </w:tcBorders>
            <w:shd w:val="clear" w:color="auto" w:fill="auto"/>
            <w:noWrap/>
            <w:vAlign w:val="center"/>
          </w:tcPr>
          <w:p w14:paraId="2F012D8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w:t>
            </w:r>
          </w:p>
        </w:tc>
      </w:tr>
      <w:tr w14:paraId="14B6D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4AAB739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390" w:type="pct"/>
            <w:vMerge w:val="continue"/>
            <w:tcBorders>
              <w:tl2br w:val="nil"/>
              <w:tr2bl w:val="nil"/>
            </w:tcBorders>
            <w:shd w:val="clear" w:color="auto" w:fill="auto"/>
            <w:vAlign w:val="center"/>
          </w:tcPr>
          <w:p w14:paraId="08C486A8">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75FD329A">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168028A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许跃洋</w:t>
            </w:r>
          </w:p>
        </w:tc>
        <w:tc>
          <w:tcPr>
            <w:tcW w:w="853" w:type="pct"/>
            <w:tcBorders>
              <w:tl2br w:val="nil"/>
              <w:tr2bl w:val="nil"/>
            </w:tcBorders>
            <w:shd w:val="clear" w:color="auto" w:fill="auto"/>
            <w:noWrap/>
            <w:vAlign w:val="center"/>
          </w:tcPr>
          <w:p w14:paraId="0E66AF6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T332621197412063492</w:t>
            </w:r>
          </w:p>
        </w:tc>
        <w:tc>
          <w:tcPr>
            <w:tcW w:w="872" w:type="pct"/>
            <w:tcBorders>
              <w:tl2br w:val="nil"/>
              <w:tr2bl w:val="nil"/>
            </w:tcBorders>
            <w:shd w:val="clear" w:color="auto" w:fill="auto"/>
            <w:noWrap/>
            <w:vAlign w:val="center"/>
          </w:tcPr>
          <w:p w14:paraId="3FACF17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2022</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24</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2028</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23</w:t>
            </w:r>
          </w:p>
        </w:tc>
        <w:tc>
          <w:tcPr>
            <w:tcW w:w="740" w:type="pct"/>
            <w:tcBorders>
              <w:tl2br w:val="nil"/>
              <w:tr2bl w:val="nil"/>
            </w:tcBorders>
            <w:shd w:val="clear" w:color="auto" w:fill="auto"/>
            <w:noWrap/>
            <w:vAlign w:val="center"/>
          </w:tcPr>
          <w:p w14:paraId="52355748">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2025</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23</w:t>
            </w:r>
          </w:p>
        </w:tc>
        <w:tc>
          <w:tcPr>
            <w:tcW w:w="665" w:type="pct"/>
            <w:tcBorders>
              <w:tl2br w:val="nil"/>
              <w:tr2bl w:val="nil"/>
            </w:tcBorders>
            <w:shd w:val="clear" w:color="auto" w:fill="auto"/>
            <w:noWrap/>
            <w:vAlign w:val="center"/>
          </w:tcPr>
          <w:p w14:paraId="6E10761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w:t>
            </w:r>
          </w:p>
        </w:tc>
      </w:tr>
      <w:tr w14:paraId="5B547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4580CCD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390" w:type="pct"/>
            <w:vMerge w:val="continue"/>
            <w:tcBorders>
              <w:tl2br w:val="nil"/>
              <w:tr2bl w:val="nil"/>
            </w:tcBorders>
            <w:shd w:val="clear" w:color="auto" w:fill="auto"/>
            <w:vAlign w:val="center"/>
          </w:tcPr>
          <w:p w14:paraId="74D55919">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79439D65">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08B0865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金望建</w:t>
            </w:r>
          </w:p>
        </w:tc>
        <w:tc>
          <w:tcPr>
            <w:tcW w:w="853" w:type="pct"/>
            <w:tcBorders>
              <w:tl2br w:val="nil"/>
              <w:tr2bl w:val="nil"/>
            </w:tcBorders>
            <w:shd w:val="clear" w:color="auto" w:fill="auto"/>
            <w:noWrap/>
            <w:vAlign w:val="center"/>
          </w:tcPr>
          <w:p w14:paraId="00A16AD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T332602197906163494</w:t>
            </w:r>
          </w:p>
        </w:tc>
        <w:tc>
          <w:tcPr>
            <w:tcW w:w="872" w:type="pct"/>
            <w:tcBorders>
              <w:tl2br w:val="nil"/>
              <w:tr2bl w:val="nil"/>
            </w:tcBorders>
            <w:shd w:val="clear" w:color="auto" w:fill="auto"/>
            <w:noWrap/>
            <w:vAlign w:val="center"/>
          </w:tcPr>
          <w:p w14:paraId="60B4C10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2022</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06</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2028</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05</w:t>
            </w:r>
          </w:p>
        </w:tc>
        <w:tc>
          <w:tcPr>
            <w:tcW w:w="740" w:type="pct"/>
            <w:tcBorders>
              <w:tl2br w:val="nil"/>
              <w:tr2bl w:val="nil"/>
            </w:tcBorders>
            <w:shd w:val="clear" w:color="auto" w:fill="auto"/>
            <w:noWrap/>
            <w:vAlign w:val="center"/>
          </w:tcPr>
          <w:p w14:paraId="25F16709">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2025</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05</w:t>
            </w:r>
          </w:p>
        </w:tc>
        <w:tc>
          <w:tcPr>
            <w:tcW w:w="665" w:type="pct"/>
            <w:tcBorders>
              <w:tl2br w:val="nil"/>
              <w:tr2bl w:val="nil"/>
            </w:tcBorders>
            <w:shd w:val="clear" w:color="auto" w:fill="auto"/>
            <w:noWrap/>
            <w:vAlign w:val="center"/>
          </w:tcPr>
          <w:p w14:paraId="6F115A7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w:t>
            </w:r>
          </w:p>
        </w:tc>
      </w:tr>
      <w:tr w14:paraId="1332E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097D350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390" w:type="pct"/>
            <w:vMerge w:val="continue"/>
            <w:tcBorders>
              <w:tl2br w:val="nil"/>
              <w:tr2bl w:val="nil"/>
            </w:tcBorders>
            <w:shd w:val="clear" w:color="auto" w:fill="auto"/>
            <w:vAlign w:val="center"/>
          </w:tcPr>
          <w:p w14:paraId="13CA1810">
            <w:pPr>
              <w:adjustRightInd w:val="0"/>
              <w:snapToGrid w:val="0"/>
              <w:jc w:val="center"/>
              <w:rPr>
                <w:rFonts w:hint="eastAsia" w:ascii="宋体" w:hAnsi="宋体" w:eastAsia="宋体" w:cs="宋体"/>
                <w:i w:val="0"/>
                <w:iCs w:val="0"/>
                <w:color w:val="auto"/>
                <w:sz w:val="21"/>
                <w:szCs w:val="21"/>
                <w:highlight w:val="none"/>
                <w:u w:val="none"/>
              </w:rPr>
            </w:pPr>
          </w:p>
        </w:tc>
        <w:tc>
          <w:tcPr>
            <w:tcW w:w="606" w:type="pct"/>
            <w:vMerge w:val="continue"/>
            <w:tcBorders>
              <w:tl2br w:val="nil"/>
              <w:tr2bl w:val="nil"/>
            </w:tcBorders>
            <w:shd w:val="clear" w:color="auto" w:fill="auto"/>
            <w:vAlign w:val="center"/>
          </w:tcPr>
          <w:p w14:paraId="3B8D755A">
            <w:pPr>
              <w:adjustRightInd w:val="0"/>
              <w:snapToGrid w:val="0"/>
              <w:jc w:val="center"/>
              <w:rPr>
                <w:rFonts w:hint="eastAsia" w:ascii="宋体" w:hAnsi="宋体" w:eastAsia="宋体" w:cs="宋体"/>
                <w:i w:val="0"/>
                <w:iCs w:val="0"/>
                <w:color w:val="auto"/>
                <w:sz w:val="21"/>
                <w:szCs w:val="21"/>
                <w:highlight w:val="none"/>
                <w:u w:val="none"/>
              </w:rPr>
            </w:pPr>
          </w:p>
        </w:tc>
        <w:tc>
          <w:tcPr>
            <w:tcW w:w="622" w:type="pct"/>
            <w:tcBorders>
              <w:tl2br w:val="nil"/>
              <w:tr2bl w:val="nil"/>
            </w:tcBorders>
            <w:shd w:val="clear" w:color="auto" w:fill="auto"/>
            <w:noWrap/>
            <w:vAlign w:val="center"/>
          </w:tcPr>
          <w:p w14:paraId="4F1B9E7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徐刚</w:t>
            </w:r>
          </w:p>
        </w:tc>
        <w:tc>
          <w:tcPr>
            <w:tcW w:w="853" w:type="pct"/>
            <w:tcBorders>
              <w:tl2br w:val="nil"/>
              <w:tr2bl w:val="nil"/>
            </w:tcBorders>
            <w:shd w:val="clear" w:color="auto" w:fill="auto"/>
            <w:noWrap/>
            <w:vAlign w:val="center"/>
          </w:tcPr>
          <w:p w14:paraId="06FE415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T332621197210060410</w:t>
            </w:r>
          </w:p>
        </w:tc>
        <w:tc>
          <w:tcPr>
            <w:tcW w:w="872" w:type="pct"/>
            <w:tcBorders>
              <w:tl2br w:val="nil"/>
              <w:tr2bl w:val="nil"/>
            </w:tcBorders>
            <w:shd w:val="clear" w:color="auto" w:fill="auto"/>
            <w:noWrap/>
            <w:vAlign w:val="center"/>
          </w:tcPr>
          <w:p w14:paraId="1DAA2E8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aps w:val="0"/>
                <w:color w:val="auto"/>
                <w:spacing w:val="0"/>
                <w:sz w:val="21"/>
                <w:szCs w:val="21"/>
                <w:highlight w:val="none"/>
                <w:shd w:val="clear" w:fill="FFFFFF"/>
              </w:rPr>
              <w:t>2021</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28</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27</w:t>
            </w:r>
          </w:p>
        </w:tc>
        <w:tc>
          <w:tcPr>
            <w:tcW w:w="740" w:type="pct"/>
            <w:tcBorders>
              <w:tl2br w:val="nil"/>
              <w:tr2bl w:val="nil"/>
            </w:tcBorders>
            <w:shd w:val="clear" w:color="auto" w:fill="auto"/>
            <w:noWrap/>
            <w:vAlign w:val="center"/>
          </w:tcPr>
          <w:p w14:paraId="6CCA6889">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sz w:val="21"/>
                <w:szCs w:val="21"/>
                <w:highlight w:val="none"/>
                <w:shd w:val="clear" w:fill="FFFFFF"/>
              </w:rPr>
              <w:t>2027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07</w:t>
            </w:r>
            <w:r>
              <w:rPr>
                <w:rFonts w:hint="eastAsia" w:ascii="宋体" w:hAnsi="宋体" w:eastAsia="宋体" w:cs="宋体"/>
                <w:i w:val="0"/>
                <w:iCs w:val="0"/>
                <w:caps w:val="0"/>
                <w:color w:val="auto"/>
                <w:spacing w:val="0"/>
                <w:sz w:val="21"/>
                <w:szCs w:val="21"/>
                <w:highlight w:val="none"/>
                <w:shd w:val="clear" w:fill="FFFFFF"/>
                <w:lang w:val="en-US" w:eastAsia="zh-CN"/>
              </w:rPr>
              <w:t>.</w:t>
            </w:r>
            <w:r>
              <w:rPr>
                <w:rFonts w:hint="eastAsia" w:ascii="宋体" w:hAnsi="宋体" w:eastAsia="宋体" w:cs="宋体"/>
                <w:i w:val="0"/>
                <w:iCs w:val="0"/>
                <w:caps w:val="0"/>
                <w:color w:val="auto"/>
                <w:spacing w:val="0"/>
                <w:sz w:val="21"/>
                <w:szCs w:val="21"/>
                <w:highlight w:val="none"/>
                <w:shd w:val="clear" w:fill="FFFFFF"/>
              </w:rPr>
              <w:t>27</w:t>
            </w:r>
          </w:p>
        </w:tc>
        <w:tc>
          <w:tcPr>
            <w:tcW w:w="665" w:type="pct"/>
            <w:tcBorders>
              <w:tl2br w:val="nil"/>
              <w:tr2bl w:val="nil"/>
            </w:tcBorders>
            <w:shd w:val="clear" w:color="auto" w:fill="auto"/>
            <w:noWrap/>
            <w:vAlign w:val="center"/>
          </w:tcPr>
          <w:p w14:paraId="4BCFFD2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w:t>
            </w:r>
          </w:p>
        </w:tc>
      </w:tr>
      <w:tr w14:paraId="138CF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47" w:type="pct"/>
            <w:tcBorders>
              <w:tl2br w:val="nil"/>
              <w:tr2bl w:val="nil"/>
            </w:tcBorders>
            <w:shd w:val="clear" w:color="auto" w:fill="auto"/>
            <w:noWrap/>
            <w:vAlign w:val="center"/>
          </w:tcPr>
          <w:p w14:paraId="115FC308">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30</w:t>
            </w:r>
          </w:p>
        </w:tc>
        <w:tc>
          <w:tcPr>
            <w:tcW w:w="997" w:type="pct"/>
            <w:gridSpan w:val="2"/>
            <w:tcBorders>
              <w:tl2br w:val="nil"/>
              <w:tr2bl w:val="nil"/>
            </w:tcBorders>
            <w:shd w:val="clear" w:color="auto" w:fill="auto"/>
            <w:vAlign w:val="center"/>
          </w:tcPr>
          <w:p w14:paraId="2758489B">
            <w:pPr>
              <w:adjustRightInd w:val="0"/>
              <w:snapToGrid w:val="0"/>
              <w:jc w:val="center"/>
              <w:rPr>
                <w:rFonts w:hint="eastAsia" w:ascii="宋体" w:hAnsi="宋体" w:eastAsia="宋体" w:cs="宋体"/>
                <w:i w:val="0"/>
                <w:iCs w:val="0"/>
                <w:color w:val="auto"/>
                <w:sz w:val="21"/>
                <w:szCs w:val="21"/>
                <w:highlight w:val="none"/>
                <w:u w:val="none"/>
                <w:lang w:eastAsia="zh-CN"/>
              </w:rPr>
            </w:pPr>
            <w:r>
              <w:rPr>
                <w:rFonts w:hint="eastAsia" w:ascii="宋体" w:hAnsi="宋体" w:eastAsia="宋体" w:cs="宋体"/>
                <w:i w:val="0"/>
                <w:iCs w:val="0"/>
                <w:color w:val="auto"/>
                <w:sz w:val="21"/>
                <w:szCs w:val="21"/>
                <w:highlight w:val="none"/>
                <w:u w:val="none"/>
                <w:lang w:eastAsia="zh-CN"/>
              </w:rPr>
              <w:t>叉车司机</w:t>
            </w:r>
          </w:p>
        </w:tc>
        <w:tc>
          <w:tcPr>
            <w:tcW w:w="622" w:type="pct"/>
            <w:tcBorders>
              <w:tl2br w:val="nil"/>
              <w:tr2bl w:val="nil"/>
            </w:tcBorders>
            <w:shd w:val="clear" w:color="auto" w:fill="auto"/>
            <w:noWrap/>
            <w:vAlign w:val="center"/>
          </w:tcPr>
          <w:p w14:paraId="6156685A">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王以宰</w:t>
            </w:r>
          </w:p>
        </w:tc>
        <w:tc>
          <w:tcPr>
            <w:tcW w:w="853" w:type="pct"/>
            <w:tcBorders>
              <w:tl2br w:val="nil"/>
              <w:tr2bl w:val="nil"/>
            </w:tcBorders>
            <w:shd w:val="clear" w:color="auto" w:fill="auto"/>
            <w:noWrap/>
            <w:vAlign w:val="center"/>
          </w:tcPr>
          <w:p w14:paraId="31F7C7C1">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332621197202183496</w:t>
            </w:r>
          </w:p>
        </w:tc>
        <w:tc>
          <w:tcPr>
            <w:tcW w:w="872" w:type="pct"/>
            <w:tcBorders>
              <w:tl2br w:val="nil"/>
              <w:tr2bl w:val="nil"/>
            </w:tcBorders>
            <w:shd w:val="clear" w:color="auto" w:fill="auto"/>
            <w:noWrap/>
            <w:vAlign w:val="center"/>
          </w:tcPr>
          <w:p w14:paraId="5232878B">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2026.04</w:t>
            </w:r>
          </w:p>
        </w:tc>
        <w:tc>
          <w:tcPr>
            <w:tcW w:w="740" w:type="pct"/>
            <w:tcBorders>
              <w:tl2br w:val="nil"/>
              <w:tr2bl w:val="nil"/>
            </w:tcBorders>
            <w:shd w:val="clear" w:color="auto" w:fill="auto"/>
            <w:noWrap/>
            <w:vAlign w:val="center"/>
          </w:tcPr>
          <w:p w14:paraId="65C47260">
            <w:pPr>
              <w:keepNext w:val="0"/>
              <w:keepLines w:val="0"/>
              <w:widowControl/>
              <w:suppressLineNumbers w:val="0"/>
              <w:adjustRightInd w:val="0"/>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w:t>
            </w:r>
          </w:p>
        </w:tc>
        <w:tc>
          <w:tcPr>
            <w:tcW w:w="665" w:type="pct"/>
            <w:tcBorders>
              <w:tl2br w:val="nil"/>
              <w:tr2bl w:val="nil"/>
            </w:tcBorders>
            <w:shd w:val="clear" w:color="auto" w:fill="auto"/>
            <w:noWrap/>
            <w:vAlign w:val="center"/>
          </w:tcPr>
          <w:p w14:paraId="26D9AF6F">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2022.05.12</w:t>
            </w:r>
          </w:p>
        </w:tc>
      </w:tr>
    </w:tbl>
    <w:p w14:paraId="441A70B8">
      <w:pPr>
        <w:keepNext w:val="0"/>
        <w:keepLines w:val="0"/>
        <w:pageBreakBefore w:val="0"/>
        <w:widowControl w:val="0"/>
        <w:kinsoku/>
        <w:wordWrap/>
        <w:overflowPunct/>
        <w:topLinePunct w:val="0"/>
        <w:autoSpaceDE/>
        <w:autoSpaceDN/>
        <w:bidi w:val="0"/>
        <w:adjustRightInd w:val="0"/>
        <w:snapToGrid w:val="0"/>
        <w:spacing w:beforeLines="50" w:afterLines="0" w:line="360" w:lineRule="auto"/>
        <w:textAlignment w:val="auto"/>
        <w:outlineLvl w:val="2"/>
        <w:rPr>
          <w:rFonts w:ascii="黑体" w:hAnsi="黑体" w:eastAsia="黑体" w:cs="Times New Roman"/>
          <w:b/>
          <w:color w:val="auto"/>
          <w:sz w:val="28"/>
          <w:szCs w:val="28"/>
          <w:highlight w:val="none"/>
        </w:rPr>
      </w:pPr>
      <w:bookmarkStart w:id="681" w:name="_Toc3561"/>
      <w:bookmarkStart w:id="682" w:name="_Toc22065"/>
      <w:bookmarkStart w:id="683" w:name="_Toc15054"/>
      <w:bookmarkStart w:id="684" w:name="_Toc27939"/>
      <w:bookmarkStart w:id="685" w:name="_Toc24170"/>
      <w:bookmarkStart w:id="686" w:name="_Toc24988"/>
      <w:bookmarkStart w:id="687" w:name="_Toc11645"/>
      <w:bookmarkStart w:id="688" w:name="_Toc9926"/>
      <w:bookmarkStart w:id="689" w:name="_Toc25007"/>
      <w:bookmarkStart w:id="690" w:name="_Toc3848"/>
      <w:bookmarkStart w:id="691" w:name="_Toc29248"/>
      <w:bookmarkStart w:id="692" w:name="_Toc1607"/>
      <w:bookmarkStart w:id="693" w:name="_Toc8143"/>
      <w:bookmarkStart w:id="694" w:name="_Toc10570"/>
      <w:bookmarkStart w:id="695" w:name="_Toc16011"/>
      <w:bookmarkStart w:id="696" w:name="_Toc13533"/>
      <w:bookmarkStart w:id="697" w:name="_Toc27707"/>
      <w:r>
        <w:rPr>
          <w:rFonts w:ascii="黑体" w:hAnsi="黑体" w:eastAsia="黑体" w:cs="Times New Roman"/>
          <w:b/>
          <w:color w:val="auto"/>
          <w:sz w:val="28"/>
          <w:szCs w:val="28"/>
          <w:highlight w:val="none"/>
        </w:rPr>
        <w:t>2.1</w:t>
      </w:r>
      <w:r>
        <w:rPr>
          <w:rFonts w:hint="eastAsia" w:ascii="黑体" w:hAnsi="黑体" w:eastAsia="黑体" w:cs="Times New Roman"/>
          <w:b/>
          <w:color w:val="auto"/>
          <w:sz w:val="28"/>
          <w:szCs w:val="28"/>
          <w:highlight w:val="none"/>
          <w:lang w:val="en-US" w:eastAsia="zh-CN"/>
        </w:rPr>
        <w:t>0</w:t>
      </w:r>
      <w:r>
        <w:rPr>
          <w:rFonts w:ascii="黑体" w:hAnsi="黑体" w:eastAsia="黑体" w:cs="Times New Roman"/>
          <w:b/>
          <w:color w:val="auto"/>
          <w:sz w:val="28"/>
          <w:szCs w:val="28"/>
          <w:highlight w:val="none"/>
        </w:rPr>
        <w:t>.</w:t>
      </w:r>
      <w:r>
        <w:rPr>
          <w:rFonts w:hint="eastAsia" w:ascii="黑体" w:hAnsi="黑体" w:eastAsia="黑体" w:cs="Times New Roman"/>
          <w:b/>
          <w:color w:val="auto"/>
          <w:sz w:val="28"/>
          <w:szCs w:val="28"/>
          <w:highlight w:val="none"/>
          <w:lang w:val="en-US" w:eastAsia="zh-CN"/>
        </w:rPr>
        <w:t>3</w:t>
      </w:r>
      <w:r>
        <w:rPr>
          <w:rFonts w:ascii="黑体" w:hAnsi="黑体" w:eastAsia="黑体" w:cs="Times New Roman"/>
          <w:b/>
          <w:color w:val="auto"/>
          <w:sz w:val="28"/>
          <w:szCs w:val="28"/>
          <w:highlight w:val="none"/>
        </w:rPr>
        <w:t xml:space="preserve"> </w:t>
      </w:r>
      <w:r>
        <w:rPr>
          <w:rFonts w:hint="eastAsia" w:ascii="黑体" w:hAnsi="黑体" w:eastAsia="黑体" w:cs="Times New Roman"/>
          <w:b/>
          <w:color w:val="auto"/>
          <w:sz w:val="28"/>
          <w:szCs w:val="28"/>
          <w:highlight w:val="none"/>
        </w:rPr>
        <w:t>安全管理制度</w:t>
      </w:r>
      <w:bookmarkEnd w:id="678"/>
      <w:r>
        <w:rPr>
          <w:rFonts w:hint="eastAsia" w:ascii="黑体" w:hAnsi="黑体" w:eastAsia="黑体" w:cs="Times New Roman"/>
          <w:b/>
          <w:color w:val="auto"/>
          <w:sz w:val="28"/>
          <w:szCs w:val="28"/>
          <w:highlight w:val="none"/>
        </w:rPr>
        <w:t>及操作规程</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p>
    <w:p w14:paraId="02676326">
      <w:pPr>
        <w:adjustRightInd w:val="0"/>
        <w:snapToGrid w:val="0"/>
        <w:spacing w:line="360" w:lineRule="auto"/>
        <w:ind w:firstLine="560" w:firstLineChars="200"/>
        <w:rPr>
          <w:rFonts w:ascii="Times New Roman" w:hAnsi="Times New Roman" w:cs="Times New Roman"/>
          <w:bCs/>
          <w:color w:val="auto"/>
          <w:sz w:val="28"/>
          <w:szCs w:val="28"/>
          <w:highlight w:val="none"/>
        </w:rPr>
      </w:pPr>
      <w:bookmarkStart w:id="698" w:name="_Toc294183906"/>
      <w:bookmarkStart w:id="699" w:name="_Toc294010831"/>
      <w:r>
        <w:rPr>
          <w:rFonts w:hint="eastAsia" w:ascii="宋体" w:hAnsi="宋体" w:eastAsia="宋体" w:cs="宋体"/>
          <w:color w:val="auto"/>
          <w:sz w:val="28"/>
          <w:szCs w:val="28"/>
          <w:highlight w:val="none"/>
        </w:rPr>
        <w:t>伟星临海钮扣分公司</w:t>
      </w:r>
      <w:r>
        <w:rPr>
          <w:rFonts w:hint="eastAsia" w:ascii="Times New Roman" w:hAnsi="Times New Roman" w:cs="Times New Roman"/>
          <w:bCs/>
          <w:color w:val="auto"/>
          <w:sz w:val="28"/>
          <w:szCs w:val="28"/>
          <w:highlight w:val="none"/>
        </w:rPr>
        <w:t>制订</w:t>
      </w:r>
      <w:r>
        <w:rPr>
          <w:rFonts w:hint="eastAsia" w:ascii="Times New Roman" w:hAnsi="Times New Roman" w:cs="Times New Roman"/>
          <w:bCs/>
          <w:color w:val="auto"/>
          <w:sz w:val="28"/>
          <w:szCs w:val="28"/>
          <w:highlight w:val="none"/>
          <w:lang w:eastAsia="zh-CN"/>
        </w:rPr>
        <w:t>的危化品仓库相关的</w:t>
      </w:r>
      <w:r>
        <w:rPr>
          <w:rFonts w:hint="eastAsia" w:ascii="Times New Roman" w:hAnsi="Times New Roman" w:cs="Times New Roman"/>
          <w:bCs/>
          <w:color w:val="auto"/>
          <w:sz w:val="28"/>
          <w:szCs w:val="28"/>
          <w:highlight w:val="none"/>
        </w:rPr>
        <w:t>安全管理制度和安全操作规程</w:t>
      </w:r>
      <w:r>
        <w:rPr>
          <w:rFonts w:hint="eastAsia" w:ascii="Times New Roman" w:hAnsi="Times New Roman" w:cs="Times New Roman"/>
          <w:bCs/>
          <w:color w:val="auto"/>
          <w:sz w:val="28"/>
          <w:szCs w:val="28"/>
          <w:highlight w:val="none"/>
          <w:lang w:eastAsia="zh-CN"/>
        </w:rPr>
        <w:t>见下表</w:t>
      </w:r>
      <w:r>
        <w:rPr>
          <w:rFonts w:hint="eastAsia" w:ascii="Times New Roman" w:hAnsi="Times New Roman" w:cs="Times New Roman"/>
          <w:bCs/>
          <w:color w:val="auto"/>
          <w:sz w:val="28"/>
          <w:szCs w:val="28"/>
          <w:highlight w:val="none"/>
        </w:rPr>
        <w:t>。</w:t>
      </w:r>
      <w:bookmarkEnd w:id="698"/>
      <w:bookmarkEnd w:id="699"/>
    </w:p>
    <w:p w14:paraId="1AEBB359">
      <w:pPr>
        <w:adjustRightInd w:val="0"/>
        <w:snapToGrid w:val="0"/>
        <w:spacing w:line="360" w:lineRule="auto"/>
        <w:ind w:firstLine="0"/>
        <w:jc w:val="center"/>
        <w:rPr>
          <w:rFonts w:ascii="黑体" w:hAnsi="黑体" w:eastAsia="黑体" w:cs="Times New Roman"/>
          <w:b/>
          <w:color w:val="auto"/>
          <w:sz w:val="24"/>
          <w:szCs w:val="24"/>
          <w:highlight w:val="none"/>
        </w:rPr>
      </w:pPr>
      <w:r>
        <w:rPr>
          <w:rFonts w:hint="eastAsia" w:ascii="黑体" w:hAnsi="黑体" w:eastAsia="黑体" w:cs="Times New Roman"/>
          <w:b/>
          <w:color w:val="auto"/>
          <w:sz w:val="24"/>
          <w:szCs w:val="24"/>
          <w:highlight w:val="none"/>
          <w:lang w:eastAsia="zh-CN"/>
        </w:rPr>
        <w:t>表</w:t>
      </w:r>
      <w:r>
        <w:rPr>
          <w:rFonts w:hint="eastAsia" w:ascii="黑体" w:hAnsi="黑体" w:eastAsia="黑体" w:cs="Times New Roman"/>
          <w:b/>
          <w:color w:val="auto"/>
          <w:sz w:val="24"/>
          <w:szCs w:val="24"/>
          <w:highlight w:val="none"/>
          <w:lang w:val="en-US" w:eastAsia="zh-CN"/>
        </w:rPr>
        <w:t xml:space="preserve">2.10-3 </w:t>
      </w:r>
      <w:r>
        <w:rPr>
          <w:rFonts w:ascii="黑体" w:hAnsi="黑体" w:eastAsia="黑体" w:cs="Times New Roman"/>
          <w:b/>
          <w:color w:val="auto"/>
          <w:sz w:val="24"/>
          <w:szCs w:val="24"/>
          <w:highlight w:val="none"/>
        </w:rPr>
        <w:t>安全管理制度一览表</w:t>
      </w:r>
    </w:p>
    <w:tbl>
      <w:tblPr>
        <w:tblStyle w:val="6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7"/>
        <w:gridCol w:w="3316"/>
        <w:gridCol w:w="5213"/>
      </w:tblGrid>
      <w:tr w14:paraId="74194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EBDFF">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93F4">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文件编号</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564C1">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文件名称</w:t>
            </w:r>
          </w:p>
        </w:tc>
      </w:tr>
      <w:tr w14:paraId="70812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2482C">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8F85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WXHY过程管理－社会责任2-02</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A871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安全生产责任制</w:t>
            </w:r>
          </w:p>
        </w:tc>
      </w:tr>
      <w:tr w14:paraId="3A686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B5408">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3283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WXHY过程管理－社会责任2－03</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D214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危险源辨识与风险评价程序</w:t>
            </w:r>
          </w:p>
        </w:tc>
      </w:tr>
      <w:tr w14:paraId="65946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151C2">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E8E4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WXHY过程管理－社会责任2－06</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E25C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法律及其他要求识别、收集与符合性评价管理程序</w:t>
            </w:r>
          </w:p>
        </w:tc>
      </w:tr>
      <w:tr w14:paraId="68547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A5D2E">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3F6F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WXHY过程管理-社会责任2-07</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C523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安全三级教育培训制度</w:t>
            </w:r>
          </w:p>
        </w:tc>
      </w:tr>
      <w:tr w14:paraId="11913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C2212">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15DD8">
            <w:pPr>
              <w:keepNext w:val="0"/>
              <w:keepLines w:val="0"/>
              <w:widowControl/>
              <w:suppressLineNumbers w:val="0"/>
              <w:adjustRightInd w:val="0"/>
              <w:snapToGrid w:val="0"/>
              <w:spacing w:after="0" w:afterAutospacing="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WXHY过程管理-社会责任2-08</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CB9E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职业健康安全、环境运行控制程序</w:t>
            </w:r>
          </w:p>
        </w:tc>
      </w:tr>
      <w:tr w14:paraId="7ED19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9D04">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DB5F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WXHY过程管理－社会责任2－09</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5A89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危化品管理制度</w:t>
            </w:r>
          </w:p>
        </w:tc>
      </w:tr>
      <w:tr w14:paraId="260B2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F60F2">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31A6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WXHY过程管理－社会责任2－10</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9CEA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危化品仓库管理制度</w:t>
            </w:r>
          </w:p>
        </w:tc>
      </w:tr>
      <w:tr w14:paraId="207AF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B5ADD">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43AA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WXHY过程管理－社会责任2－11</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20E7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安全生产动用明火制度</w:t>
            </w:r>
          </w:p>
        </w:tc>
      </w:tr>
      <w:tr w14:paraId="41934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34EC2">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0C29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WXHY过程管理－社会责任2－12</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EA3E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消防管理制度</w:t>
            </w:r>
          </w:p>
        </w:tc>
      </w:tr>
      <w:tr w14:paraId="1013A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8CDD1">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F262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WXHY过程管理－社会责任2－13</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B49C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应急救援预案管理制度</w:t>
            </w:r>
          </w:p>
        </w:tc>
      </w:tr>
      <w:tr w14:paraId="1FE9B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A1999">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C0BB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WXHY过程管理-社会责任2-15</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6D45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职业健康监护管理制度</w:t>
            </w:r>
          </w:p>
        </w:tc>
      </w:tr>
      <w:tr w14:paraId="771A5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C5B1F">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A16F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WXHY过程管理-社会责任2-17</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E3F0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安全三级监查制度</w:t>
            </w:r>
          </w:p>
        </w:tc>
      </w:tr>
      <w:tr w14:paraId="1980C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2E0DC">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1994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WXHY过程管理-社会责任2-18</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E26F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事件报告、调查与处理程序</w:t>
            </w:r>
          </w:p>
        </w:tc>
      </w:tr>
      <w:tr w14:paraId="3C957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05200">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25E7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WXHY过程管理-社会责任2-20</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1D8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虫鼠控制程序</w:t>
            </w:r>
          </w:p>
        </w:tc>
      </w:tr>
      <w:tr w14:paraId="09DD1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FA145">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4EEE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WXHY过程管理－生产2－25</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6691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禁烟管理规定</w:t>
            </w:r>
          </w:p>
        </w:tc>
      </w:tr>
      <w:tr w14:paraId="4D893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4A524">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1266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WXHY过程管理－生产2－27</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F40D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临时用电安全管理制度</w:t>
            </w:r>
          </w:p>
        </w:tc>
      </w:tr>
      <w:tr w14:paraId="28D9C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36113">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DA65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WXHY过程管理－生产2－28</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BDC3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受限空间作业安全管理制度</w:t>
            </w:r>
          </w:p>
        </w:tc>
      </w:tr>
      <w:tr w14:paraId="3C082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17D55">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B489D">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WXHY过程管理－生产2－29</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36A6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吊装</w:t>
            </w:r>
            <w:r>
              <w:rPr>
                <w:rFonts w:hint="eastAsia" w:ascii="宋体" w:hAnsi="宋体" w:eastAsia="宋体" w:cs="宋体"/>
                <w:i w:val="0"/>
                <w:iCs w:val="0"/>
                <w:color w:val="auto"/>
                <w:kern w:val="0"/>
                <w:sz w:val="21"/>
                <w:szCs w:val="21"/>
                <w:highlight w:val="none"/>
                <w:u w:val="none"/>
                <w:lang w:val="en-US" w:eastAsia="zh-CN" w:bidi="ar"/>
              </w:rPr>
              <w:t>作业安全管理制度</w:t>
            </w:r>
          </w:p>
        </w:tc>
      </w:tr>
      <w:tr w14:paraId="66F53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A60A8">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0BCD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WXHY过程管理－生产2－30</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2D48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高处作业安全管理制度</w:t>
            </w:r>
          </w:p>
        </w:tc>
      </w:tr>
      <w:tr w14:paraId="6ED1D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650AA">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D974C">
            <w:pPr>
              <w:keepNext w:val="0"/>
              <w:keepLines w:val="0"/>
              <w:widowControl/>
              <w:suppressLineNumbers w:val="0"/>
              <w:adjustRightInd w:val="0"/>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C217E">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color w:val="auto"/>
                <w:kern w:val="0"/>
                <w:szCs w:val="21"/>
                <w:highlight w:val="none"/>
                <w:u w:val="none"/>
                <w:lang w:bidi="ar"/>
              </w:rPr>
              <w:t>安全风险分级管控制度</w:t>
            </w:r>
          </w:p>
        </w:tc>
      </w:tr>
      <w:tr w14:paraId="28CF5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5542">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A6430">
            <w:pPr>
              <w:keepNext w:val="0"/>
              <w:keepLines w:val="0"/>
              <w:widowControl/>
              <w:suppressLineNumbers w:val="0"/>
              <w:adjustRightInd w:val="0"/>
              <w:snapToGrid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7129F">
            <w:pPr>
              <w:keepNext w:val="0"/>
              <w:keepLines w:val="0"/>
              <w:widowControl/>
              <w:suppressLineNumbers w:val="0"/>
              <w:adjustRightInd w:val="0"/>
              <w:snapToGrid w:val="0"/>
              <w:jc w:val="center"/>
              <w:textAlignment w:val="center"/>
              <w:rPr>
                <w:rFonts w:hint="eastAsia" w:ascii="宋体" w:hAnsi="宋体" w:cs="宋体"/>
                <w:color w:val="auto"/>
                <w:kern w:val="0"/>
                <w:szCs w:val="21"/>
                <w:highlight w:val="none"/>
                <w:u w:val="none"/>
                <w:lang w:bidi="ar"/>
              </w:rPr>
            </w:pPr>
            <w:r>
              <w:rPr>
                <w:rFonts w:hint="eastAsia" w:ascii="宋体" w:hAnsi="宋体" w:eastAsia="宋体" w:cs="宋体"/>
                <w:i w:val="0"/>
                <w:iCs w:val="0"/>
                <w:color w:val="auto"/>
                <w:kern w:val="0"/>
                <w:sz w:val="21"/>
                <w:szCs w:val="21"/>
                <w:highlight w:val="none"/>
                <w:u w:val="none"/>
                <w:lang w:val="en-US" w:eastAsia="zh-CN" w:bidi="ar"/>
              </w:rPr>
              <w:t>特种设备安全管理制度</w:t>
            </w:r>
          </w:p>
        </w:tc>
      </w:tr>
      <w:tr w14:paraId="71C71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A75C9">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64BA2">
            <w:pPr>
              <w:keepNext w:val="0"/>
              <w:keepLines w:val="0"/>
              <w:widowControl/>
              <w:suppressLineNumbers w:val="0"/>
              <w:adjustRightInd w:val="0"/>
              <w:snapToGrid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6C8D5">
            <w:pPr>
              <w:keepNext w:val="0"/>
              <w:keepLines w:val="0"/>
              <w:widowControl/>
              <w:suppressLineNumbers w:val="0"/>
              <w:adjustRightInd w:val="0"/>
              <w:snapToGrid w:val="0"/>
              <w:jc w:val="center"/>
              <w:textAlignment w:val="center"/>
              <w:rPr>
                <w:rFonts w:hint="eastAsia" w:ascii="宋体" w:hAnsi="宋体" w:cs="宋体"/>
                <w:color w:val="auto"/>
                <w:kern w:val="0"/>
                <w:szCs w:val="21"/>
                <w:highlight w:val="none"/>
                <w:u w:val="none"/>
                <w:lang w:bidi="ar"/>
              </w:rPr>
            </w:pPr>
            <w:r>
              <w:rPr>
                <w:rFonts w:hint="eastAsia" w:ascii="宋体" w:hAnsi="宋体" w:eastAsia="宋体" w:cs="宋体"/>
                <w:i w:val="0"/>
                <w:iCs w:val="0"/>
                <w:color w:val="auto"/>
                <w:kern w:val="0"/>
                <w:sz w:val="21"/>
                <w:szCs w:val="21"/>
                <w:highlight w:val="none"/>
                <w:u w:val="none"/>
                <w:lang w:val="en-US" w:eastAsia="zh-CN" w:bidi="ar"/>
              </w:rPr>
              <w:t>安全生产费用提取、使用及管理制度</w:t>
            </w:r>
          </w:p>
        </w:tc>
      </w:tr>
      <w:tr w14:paraId="24D25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50E69">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43477">
            <w:pPr>
              <w:keepNext w:val="0"/>
              <w:keepLines w:val="0"/>
              <w:widowControl/>
              <w:suppressLineNumbers w:val="0"/>
              <w:adjustRightInd w:val="0"/>
              <w:snapToGrid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760F">
            <w:pPr>
              <w:keepNext w:val="0"/>
              <w:keepLines w:val="0"/>
              <w:widowControl/>
              <w:suppressLineNumbers w:val="0"/>
              <w:adjustRightInd w:val="0"/>
              <w:snapToGrid w:val="0"/>
              <w:jc w:val="center"/>
              <w:textAlignment w:val="center"/>
              <w:rPr>
                <w:rFonts w:hint="eastAsia" w:ascii="宋体" w:hAnsi="宋体" w:cs="宋体"/>
                <w:color w:val="auto"/>
                <w:kern w:val="0"/>
                <w:szCs w:val="21"/>
                <w:highlight w:val="none"/>
                <w:u w:val="none"/>
                <w:lang w:bidi="ar"/>
              </w:rPr>
            </w:pPr>
            <w:r>
              <w:rPr>
                <w:rFonts w:hint="eastAsia" w:ascii="宋体" w:hAnsi="宋体" w:eastAsia="宋体" w:cs="宋体"/>
                <w:i w:val="0"/>
                <w:iCs w:val="0"/>
                <w:color w:val="auto"/>
                <w:kern w:val="0"/>
                <w:sz w:val="21"/>
                <w:szCs w:val="21"/>
                <w:highlight w:val="none"/>
                <w:u w:val="none"/>
                <w:lang w:val="en-US" w:eastAsia="zh-CN" w:bidi="ar"/>
              </w:rPr>
              <w:t>安全检查和事故隐患排查治理制度</w:t>
            </w:r>
          </w:p>
        </w:tc>
      </w:tr>
      <w:tr w14:paraId="72EE8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FA3D9">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FC1E1">
            <w:pPr>
              <w:keepNext w:val="0"/>
              <w:keepLines w:val="0"/>
              <w:widowControl/>
              <w:suppressLineNumbers w:val="0"/>
              <w:adjustRightInd w:val="0"/>
              <w:snapToGrid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A3439">
            <w:pPr>
              <w:keepNext w:val="0"/>
              <w:keepLines w:val="0"/>
              <w:widowControl/>
              <w:suppressLineNumbers w:val="0"/>
              <w:adjustRightInd w:val="0"/>
              <w:snapToGrid w:val="0"/>
              <w:jc w:val="center"/>
              <w:textAlignment w:val="center"/>
              <w:rPr>
                <w:rFonts w:hint="eastAsia" w:ascii="宋体" w:hAnsi="宋体" w:cs="宋体"/>
                <w:color w:val="auto"/>
                <w:kern w:val="0"/>
                <w:szCs w:val="21"/>
                <w:highlight w:val="none"/>
                <w:u w:val="none"/>
                <w:lang w:bidi="ar"/>
              </w:rPr>
            </w:pPr>
            <w:r>
              <w:rPr>
                <w:rFonts w:hint="eastAsia" w:ascii="宋体" w:hAnsi="宋体" w:eastAsia="宋体" w:cs="宋体"/>
                <w:i w:val="0"/>
                <w:iCs w:val="0"/>
                <w:color w:val="auto"/>
                <w:kern w:val="0"/>
                <w:sz w:val="21"/>
                <w:szCs w:val="21"/>
                <w:highlight w:val="none"/>
                <w:u w:val="none"/>
                <w:lang w:val="en-US" w:eastAsia="zh-CN" w:bidi="ar"/>
              </w:rPr>
              <w:t>设备保养管理制度</w:t>
            </w:r>
          </w:p>
        </w:tc>
      </w:tr>
      <w:tr w14:paraId="093B4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065BE">
            <w:pPr>
              <w:keepNext w:val="0"/>
              <w:keepLines w:val="0"/>
              <w:widowControl/>
              <w:numPr>
                <w:ilvl w:val="0"/>
                <w:numId w:val="11"/>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F7C2A">
            <w:pPr>
              <w:keepNext w:val="0"/>
              <w:keepLines w:val="0"/>
              <w:widowControl/>
              <w:suppressLineNumbers w:val="0"/>
              <w:adjustRightInd w:val="0"/>
              <w:snapToGrid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w:t>
            </w:r>
          </w:p>
        </w:tc>
        <w:tc>
          <w:tcPr>
            <w:tcW w:w="2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CC961">
            <w:pPr>
              <w:keepNext w:val="0"/>
              <w:keepLines w:val="0"/>
              <w:widowControl/>
              <w:suppressLineNumbers w:val="0"/>
              <w:adjustRightInd w:val="0"/>
              <w:snapToGrid w:val="0"/>
              <w:jc w:val="center"/>
              <w:textAlignment w:val="center"/>
              <w:rPr>
                <w:rFonts w:hint="eastAsia" w:ascii="宋体" w:hAnsi="宋体" w:cs="宋体"/>
                <w:color w:val="auto"/>
                <w:kern w:val="0"/>
                <w:szCs w:val="21"/>
                <w:highlight w:val="none"/>
                <w:u w:val="none"/>
                <w:lang w:bidi="ar"/>
              </w:rPr>
            </w:pPr>
            <w:r>
              <w:rPr>
                <w:rFonts w:hint="eastAsia" w:ascii="宋体" w:hAnsi="宋体" w:eastAsia="宋体" w:cs="宋体"/>
                <w:i w:val="0"/>
                <w:iCs w:val="0"/>
                <w:color w:val="auto"/>
                <w:kern w:val="0"/>
                <w:sz w:val="21"/>
                <w:szCs w:val="21"/>
                <w:highlight w:val="none"/>
                <w:u w:val="none"/>
                <w:lang w:val="en-US" w:eastAsia="zh-CN" w:bidi="ar"/>
              </w:rPr>
              <w:t>设备设施安全管理制度</w:t>
            </w:r>
          </w:p>
        </w:tc>
      </w:tr>
    </w:tbl>
    <w:p w14:paraId="66F14F09">
      <w:pPr>
        <w:pStyle w:val="24"/>
        <w:keepNext w:val="0"/>
        <w:keepLines w:val="0"/>
        <w:pageBreakBefore w:val="0"/>
        <w:widowControl w:val="0"/>
        <w:kinsoku/>
        <w:wordWrap/>
        <w:overflowPunct/>
        <w:topLinePunct w:val="0"/>
        <w:autoSpaceDE/>
        <w:autoSpaceDN/>
        <w:bidi w:val="0"/>
        <w:adjustRightInd w:val="0"/>
        <w:snapToGrid w:val="0"/>
        <w:spacing w:before="157" w:beforeLines="50" w:after="0" w:line="360" w:lineRule="auto"/>
        <w:ind w:firstLine="0" w:firstLineChars="0"/>
        <w:jc w:val="center"/>
        <w:textAlignment w:val="auto"/>
        <w:rPr>
          <w:rFonts w:ascii="黑体" w:hAnsi="黑体" w:eastAsia="黑体" w:cs="Times New Roman"/>
          <w:b/>
          <w:color w:val="auto"/>
          <w:sz w:val="24"/>
          <w:szCs w:val="24"/>
          <w:highlight w:val="none"/>
        </w:rPr>
      </w:pPr>
      <w:r>
        <w:rPr>
          <w:rFonts w:hint="eastAsia" w:ascii="黑体" w:hAnsi="黑体" w:eastAsia="黑体" w:cs="Times New Roman"/>
          <w:b/>
          <w:color w:val="auto"/>
          <w:sz w:val="24"/>
          <w:szCs w:val="24"/>
          <w:highlight w:val="none"/>
          <w:lang w:eastAsia="zh-CN"/>
        </w:rPr>
        <w:t>表</w:t>
      </w:r>
      <w:r>
        <w:rPr>
          <w:rFonts w:hint="eastAsia" w:ascii="黑体" w:hAnsi="黑体" w:eastAsia="黑体" w:cs="Times New Roman"/>
          <w:b/>
          <w:color w:val="auto"/>
          <w:sz w:val="24"/>
          <w:szCs w:val="24"/>
          <w:highlight w:val="none"/>
          <w:lang w:val="en-US" w:eastAsia="zh-CN"/>
        </w:rPr>
        <w:t xml:space="preserve">2.10-4 </w:t>
      </w:r>
      <w:r>
        <w:rPr>
          <w:rFonts w:ascii="黑体" w:hAnsi="黑体" w:eastAsia="黑体" w:cs="Times New Roman"/>
          <w:b/>
          <w:color w:val="auto"/>
          <w:sz w:val="24"/>
          <w:szCs w:val="24"/>
          <w:highlight w:val="none"/>
        </w:rPr>
        <w:t>安全操作规程一览表</w:t>
      </w:r>
    </w:p>
    <w:tbl>
      <w:tblPr>
        <w:tblStyle w:val="61"/>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96"/>
        <w:gridCol w:w="8495"/>
      </w:tblGrid>
      <w:tr w14:paraId="6EED4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AAAA">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45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02059">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文件名称</w:t>
            </w:r>
          </w:p>
        </w:tc>
      </w:tr>
      <w:tr w14:paraId="0CF6A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4CDBA">
            <w:pPr>
              <w:keepNext w:val="0"/>
              <w:keepLines w:val="0"/>
              <w:widowControl/>
              <w:numPr>
                <w:ilvl w:val="0"/>
                <w:numId w:val="12"/>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45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3038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电工安全操作规程</w:t>
            </w:r>
          </w:p>
        </w:tc>
      </w:tr>
      <w:tr w14:paraId="315DE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47CD7">
            <w:pPr>
              <w:keepNext w:val="0"/>
              <w:keepLines w:val="0"/>
              <w:widowControl/>
              <w:numPr>
                <w:ilvl w:val="0"/>
                <w:numId w:val="12"/>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p>
        </w:tc>
        <w:tc>
          <w:tcPr>
            <w:tcW w:w="45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EF44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气电焊工安全操作规程</w:t>
            </w:r>
          </w:p>
        </w:tc>
      </w:tr>
      <w:tr w14:paraId="5E7D2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7D775">
            <w:pPr>
              <w:keepNext w:val="0"/>
              <w:keepLines w:val="0"/>
              <w:widowControl/>
              <w:numPr>
                <w:ilvl w:val="0"/>
                <w:numId w:val="12"/>
              </w:numPr>
              <w:suppressLineNumbers w:val="0"/>
              <w:adjustRightInd w:val="0"/>
              <w:snapToGrid w:val="0"/>
              <w:ind w:left="425" w:leftChars="0" w:hanging="425" w:firstLineChars="0"/>
              <w:jc w:val="center"/>
              <w:textAlignment w:val="center"/>
              <w:rPr>
                <w:rFonts w:hint="eastAsia" w:ascii="宋体" w:hAnsi="宋体" w:eastAsia="宋体" w:cs="宋体"/>
                <w:i w:val="0"/>
                <w:iCs w:val="0"/>
                <w:color w:val="auto"/>
                <w:sz w:val="21"/>
                <w:szCs w:val="21"/>
                <w:highlight w:val="none"/>
                <w:u w:val="none"/>
              </w:rPr>
            </w:pPr>
            <w:bookmarkStart w:id="700" w:name="_Toc60846598"/>
            <w:bookmarkStart w:id="701" w:name="_Toc330991147"/>
            <w:bookmarkStart w:id="702" w:name="_Toc498075581"/>
          </w:p>
        </w:tc>
        <w:tc>
          <w:tcPr>
            <w:tcW w:w="45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E918">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叉车安全操作规程</w:t>
            </w:r>
          </w:p>
        </w:tc>
      </w:tr>
    </w:tbl>
    <w:p w14:paraId="6A50064B">
      <w:pPr>
        <w:adjustRightInd w:val="0"/>
        <w:snapToGrid w:val="0"/>
        <w:spacing w:beforeLines="50" w:afterLines="0" w:line="360" w:lineRule="auto"/>
        <w:outlineLvl w:val="2"/>
        <w:rPr>
          <w:rFonts w:ascii="黑体" w:hAnsi="黑体" w:eastAsia="黑体" w:cs="Times New Roman"/>
          <w:b/>
          <w:color w:val="auto"/>
          <w:sz w:val="28"/>
          <w:szCs w:val="28"/>
          <w:highlight w:val="none"/>
        </w:rPr>
      </w:pPr>
      <w:bookmarkStart w:id="703" w:name="_Toc5874"/>
      <w:bookmarkStart w:id="704" w:name="_Toc16628"/>
      <w:bookmarkStart w:id="705" w:name="_Toc5500"/>
      <w:bookmarkStart w:id="706" w:name="_Toc3221"/>
      <w:bookmarkStart w:id="707" w:name="_Toc16992"/>
      <w:bookmarkStart w:id="708" w:name="_Toc19932"/>
      <w:bookmarkStart w:id="709" w:name="_Toc10394"/>
      <w:bookmarkStart w:id="710" w:name="_Toc1223"/>
      <w:bookmarkStart w:id="711" w:name="_Toc2191"/>
      <w:bookmarkStart w:id="712" w:name="_Toc9655"/>
      <w:bookmarkStart w:id="713" w:name="_Toc26161"/>
      <w:bookmarkStart w:id="714" w:name="_Toc4592"/>
      <w:bookmarkStart w:id="715" w:name="_Toc4830"/>
      <w:bookmarkStart w:id="716" w:name="_Toc30966"/>
      <w:bookmarkStart w:id="717" w:name="_Toc27889"/>
      <w:bookmarkStart w:id="718" w:name="_Toc5401"/>
      <w:bookmarkStart w:id="719" w:name="_Toc2623"/>
      <w:r>
        <w:rPr>
          <w:rFonts w:ascii="黑体" w:hAnsi="黑体" w:eastAsia="黑体" w:cs="Times New Roman"/>
          <w:b/>
          <w:color w:val="auto"/>
          <w:sz w:val="28"/>
          <w:szCs w:val="28"/>
          <w:highlight w:val="none"/>
        </w:rPr>
        <w:t>2.1</w:t>
      </w:r>
      <w:r>
        <w:rPr>
          <w:rFonts w:hint="eastAsia" w:ascii="黑体" w:hAnsi="黑体" w:eastAsia="黑体" w:cs="Times New Roman"/>
          <w:b/>
          <w:color w:val="auto"/>
          <w:sz w:val="28"/>
          <w:szCs w:val="28"/>
          <w:highlight w:val="none"/>
          <w:lang w:val="en-US" w:eastAsia="zh-CN"/>
        </w:rPr>
        <w:t>0</w:t>
      </w:r>
      <w:r>
        <w:rPr>
          <w:rFonts w:ascii="黑体" w:hAnsi="黑体" w:eastAsia="黑体" w:cs="Times New Roman"/>
          <w:b/>
          <w:color w:val="auto"/>
          <w:sz w:val="28"/>
          <w:szCs w:val="28"/>
          <w:highlight w:val="none"/>
        </w:rPr>
        <w:t xml:space="preserve">.4 </w:t>
      </w:r>
      <w:r>
        <w:rPr>
          <w:rFonts w:hint="eastAsia" w:ascii="黑体" w:hAnsi="黑体" w:eastAsia="黑体" w:cs="Times New Roman"/>
          <w:b/>
          <w:color w:val="auto"/>
          <w:sz w:val="28"/>
          <w:szCs w:val="28"/>
          <w:highlight w:val="none"/>
        </w:rPr>
        <w:t>应急管理</w:t>
      </w:r>
      <w:bookmarkEnd w:id="700"/>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14:paraId="6C38CC4E">
      <w:pPr>
        <w:adjustRightInd w:val="0"/>
        <w:snapToGrid w:val="0"/>
        <w:spacing w:line="360" w:lineRule="auto"/>
        <w:ind w:firstLine="560" w:firstLineChars="200"/>
        <w:rPr>
          <w:rFonts w:ascii="宋体" w:hAnsi="宋体"/>
          <w:color w:val="auto"/>
          <w:sz w:val="28"/>
          <w:szCs w:val="28"/>
          <w:highlight w:val="none"/>
        </w:rPr>
      </w:pPr>
      <w:r>
        <w:rPr>
          <w:rFonts w:hint="eastAsia" w:ascii="宋体" w:hAnsi="宋体"/>
          <w:color w:val="auto"/>
          <w:sz w:val="28"/>
          <w:szCs w:val="28"/>
          <w:highlight w:val="none"/>
        </w:rPr>
        <w:t>（</w:t>
      </w:r>
      <w:r>
        <w:rPr>
          <w:rFonts w:ascii="宋体" w:hAnsi="宋体"/>
          <w:color w:val="auto"/>
          <w:sz w:val="28"/>
          <w:szCs w:val="28"/>
          <w:highlight w:val="none"/>
        </w:rPr>
        <w:t>1</w:t>
      </w:r>
      <w:r>
        <w:rPr>
          <w:rFonts w:hint="eastAsia" w:ascii="宋体" w:hAnsi="宋体"/>
          <w:color w:val="auto"/>
          <w:sz w:val="28"/>
          <w:szCs w:val="28"/>
          <w:highlight w:val="none"/>
        </w:rPr>
        <w:t>）应急预案编制及框架</w:t>
      </w:r>
    </w:p>
    <w:p w14:paraId="06AAC622">
      <w:pPr>
        <w:adjustRightInd w:val="0"/>
        <w:snapToGrid w:val="0"/>
        <w:spacing w:line="360" w:lineRule="auto"/>
        <w:ind w:firstLine="560" w:firstLineChars="200"/>
        <w:rPr>
          <w:rFonts w:ascii="宋体" w:hAnsi="宋体"/>
          <w:bCs/>
          <w:color w:val="auto"/>
          <w:sz w:val="28"/>
          <w:szCs w:val="28"/>
          <w:highlight w:val="none"/>
        </w:rPr>
      </w:pPr>
      <w:r>
        <w:rPr>
          <w:rFonts w:hint="eastAsia" w:ascii="宋体" w:hAnsi="宋体" w:eastAsia="宋体" w:cs="宋体"/>
          <w:color w:val="auto"/>
          <w:sz w:val="28"/>
          <w:szCs w:val="28"/>
          <w:highlight w:val="none"/>
        </w:rPr>
        <w:t>伟星临海钮扣分公司</w:t>
      </w:r>
      <w:r>
        <w:rPr>
          <w:rFonts w:ascii="宋体" w:hAnsi="宋体"/>
          <w:color w:val="auto"/>
          <w:kern w:val="0"/>
          <w:sz w:val="28"/>
          <w:szCs w:val="28"/>
          <w:highlight w:val="none"/>
        </w:rPr>
        <w:t>编制</w:t>
      </w:r>
      <w:r>
        <w:rPr>
          <w:rFonts w:hint="eastAsia" w:ascii="宋体" w:hAnsi="宋体"/>
          <w:color w:val="auto"/>
          <w:kern w:val="0"/>
          <w:sz w:val="28"/>
          <w:szCs w:val="28"/>
          <w:highlight w:val="none"/>
          <w:lang w:eastAsia="zh-CN"/>
        </w:rPr>
        <w:t>了</w:t>
      </w:r>
      <w:r>
        <w:rPr>
          <w:rFonts w:ascii="宋体" w:hAnsi="宋体"/>
          <w:color w:val="auto"/>
          <w:kern w:val="0"/>
          <w:sz w:val="28"/>
          <w:szCs w:val="28"/>
          <w:highlight w:val="none"/>
        </w:rPr>
        <w:t>《</w:t>
      </w:r>
      <w:r>
        <w:rPr>
          <w:rFonts w:hint="eastAsia" w:ascii="宋体" w:hAnsi="宋体"/>
          <w:color w:val="auto"/>
          <w:kern w:val="0"/>
          <w:sz w:val="28"/>
          <w:szCs w:val="28"/>
          <w:highlight w:val="none"/>
        </w:rPr>
        <w:t>应急救援预案管理制度</w:t>
      </w:r>
      <w:r>
        <w:rPr>
          <w:rFonts w:ascii="宋体" w:hAnsi="宋体"/>
          <w:color w:val="auto"/>
          <w:kern w:val="0"/>
          <w:sz w:val="28"/>
          <w:szCs w:val="28"/>
          <w:highlight w:val="none"/>
        </w:rPr>
        <w:t>》</w:t>
      </w:r>
      <w:r>
        <w:rPr>
          <w:rFonts w:hint="eastAsia" w:ascii="宋体" w:hAnsi="宋体"/>
          <w:color w:val="auto"/>
          <w:kern w:val="0"/>
          <w:sz w:val="28"/>
          <w:szCs w:val="28"/>
          <w:highlight w:val="none"/>
          <w:lang w:eastAsia="zh-CN"/>
        </w:rPr>
        <w:t>（</w:t>
      </w:r>
      <w:r>
        <w:rPr>
          <w:rFonts w:hint="eastAsia" w:ascii="宋体" w:hAnsi="宋体"/>
          <w:color w:val="auto"/>
          <w:kern w:val="0"/>
          <w:sz w:val="28"/>
          <w:szCs w:val="28"/>
          <w:highlight w:val="none"/>
        </w:rPr>
        <w:t>生效日期：2023年03月01日</w:t>
      </w:r>
      <w:r>
        <w:rPr>
          <w:rFonts w:hint="eastAsia" w:ascii="宋体" w:hAnsi="宋体"/>
          <w:color w:val="auto"/>
          <w:kern w:val="0"/>
          <w:sz w:val="28"/>
          <w:szCs w:val="28"/>
          <w:highlight w:val="none"/>
          <w:lang w:eastAsia="zh-CN"/>
        </w:rPr>
        <w:t>）和《</w:t>
      </w:r>
      <w:r>
        <w:rPr>
          <w:rFonts w:hint="eastAsia" w:ascii="宋体" w:hAnsi="宋体"/>
          <w:color w:val="auto"/>
          <w:kern w:val="0"/>
          <w:sz w:val="28"/>
          <w:szCs w:val="28"/>
          <w:highlight w:val="none"/>
        </w:rPr>
        <w:t>易制爆危化品应急预案</w:t>
      </w:r>
      <w:r>
        <w:rPr>
          <w:rFonts w:hint="eastAsia" w:ascii="宋体" w:hAnsi="宋体"/>
          <w:color w:val="auto"/>
          <w:kern w:val="0"/>
          <w:sz w:val="28"/>
          <w:szCs w:val="28"/>
          <w:highlight w:val="none"/>
          <w:lang w:eastAsia="zh-CN"/>
        </w:rPr>
        <w:t>》</w:t>
      </w:r>
      <w:r>
        <w:rPr>
          <w:rFonts w:ascii="宋体" w:hAnsi="宋体"/>
          <w:color w:val="auto"/>
          <w:kern w:val="0"/>
          <w:sz w:val="28"/>
          <w:szCs w:val="28"/>
          <w:highlight w:val="none"/>
        </w:rPr>
        <w:t>，</w:t>
      </w:r>
      <w:r>
        <w:rPr>
          <w:rFonts w:hint="eastAsia" w:ascii="宋体" w:hAnsi="宋体"/>
          <w:bCs/>
          <w:color w:val="auto"/>
          <w:sz w:val="28"/>
          <w:szCs w:val="28"/>
          <w:highlight w:val="none"/>
        </w:rPr>
        <w:t>其中</w:t>
      </w:r>
      <w:r>
        <w:rPr>
          <w:rFonts w:ascii="宋体" w:hAnsi="宋体"/>
          <w:color w:val="auto"/>
          <w:kern w:val="0"/>
          <w:sz w:val="28"/>
          <w:szCs w:val="28"/>
          <w:highlight w:val="none"/>
        </w:rPr>
        <w:t>《</w:t>
      </w:r>
      <w:r>
        <w:rPr>
          <w:rFonts w:hint="eastAsia" w:ascii="宋体" w:hAnsi="宋体"/>
          <w:color w:val="auto"/>
          <w:kern w:val="0"/>
          <w:sz w:val="28"/>
          <w:szCs w:val="28"/>
          <w:highlight w:val="none"/>
        </w:rPr>
        <w:t>应急救援预案管理制度</w:t>
      </w:r>
      <w:r>
        <w:rPr>
          <w:rFonts w:ascii="宋体" w:hAnsi="宋体"/>
          <w:color w:val="auto"/>
          <w:kern w:val="0"/>
          <w:sz w:val="28"/>
          <w:szCs w:val="28"/>
          <w:highlight w:val="none"/>
        </w:rPr>
        <w:t>》</w:t>
      </w:r>
      <w:r>
        <w:rPr>
          <w:rFonts w:hint="eastAsia" w:ascii="宋体" w:hAnsi="宋体"/>
          <w:bCs/>
          <w:color w:val="auto"/>
          <w:sz w:val="28"/>
          <w:szCs w:val="28"/>
          <w:highlight w:val="none"/>
        </w:rPr>
        <w:t>包括“火灾应急预案</w:t>
      </w:r>
      <w:r>
        <w:rPr>
          <w:rFonts w:hint="eastAsia" w:ascii="宋体" w:hAnsi="宋体"/>
          <w:bCs/>
          <w:color w:val="auto"/>
          <w:sz w:val="28"/>
          <w:szCs w:val="28"/>
          <w:highlight w:val="none"/>
          <w:lang w:eastAsia="zh-CN"/>
        </w:rPr>
        <w:t>”“</w:t>
      </w:r>
      <w:r>
        <w:rPr>
          <w:rFonts w:hint="eastAsia" w:ascii="宋体" w:hAnsi="宋体"/>
          <w:bCs/>
          <w:color w:val="auto"/>
          <w:sz w:val="28"/>
          <w:szCs w:val="28"/>
          <w:highlight w:val="none"/>
        </w:rPr>
        <w:t>危险化学品事件应急预案”等。</w:t>
      </w:r>
    </w:p>
    <w:p w14:paraId="7522B973">
      <w:pPr>
        <w:adjustRightInd w:val="0"/>
        <w:snapToGrid w:val="0"/>
        <w:spacing w:line="360" w:lineRule="auto"/>
        <w:ind w:firstLine="560" w:firstLineChars="200"/>
        <w:rPr>
          <w:rFonts w:ascii="宋体" w:hAnsi="宋体"/>
          <w:color w:val="auto"/>
          <w:sz w:val="28"/>
          <w:szCs w:val="28"/>
          <w:highlight w:val="none"/>
        </w:rPr>
      </w:pPr>
      <w:r>
        <w:rPr>
          <w:rFonts w:hint="eastAsia" w:ascii="宋体" w:hAnsi="宋体"/>
          <w:color w:val="auto"/>
          <w:sz w:val="28"/>
          <w:szCs w:val="28"/>
          <w:highlight w:val="none"/>
        </w:rPr>
        <w:t>（</w:t>
      </w:r>
      <w:r>
        <w:rPr>
          <w:rFonts w:ascii="宋体" w:hAnsi="宋体"/>
          <w:color w:val="auto"/>
          <w:sz w:val="28"/>
          <w:szCs w:val="28"/>
          <w:highlight w:val="none"/>
        </w:rPr>
        <w:t>2</w:t>
      </w:r>
      <w:r>
        <w:rPr>
          <w:rFonts w:hint="eastAsia" w:ascii="宋体" w:hAnsi="宋体"/>
          <w:color w:val="auto"/>
          <w:sz w:val="28"/>
          <w:szCs w:val="28"/>
          <w:highlight w:val="none"/>
        </w:rPr>
        <w:t>）应急救援物资</w:t>
      </w:r>
    </w:p>
    <w:p w14:paraId="45BFD9FD">
      <w:pPr>
        <w:tabs>
          <w:tab w:val="left" w:pos="7140"/>
        </w:tabs>
        <w:autoSpaceDE w:val="0"/>
        <w:autoSpaceDN w:val="0"/>
        <w:adjustRightInd w:val="0"/>
        <w:snapToGrid w:val="0"/>
        <w:spacing w:line="360" w:lineRule="auto"/>
        <w:ind w:firstLine="560" w:firstLineChars="200"/>
        <w:rPr>
          <w:rFonts w:ascii="宋体" w:hAnsi="宋体"/>
          <w:color w:val="auto"/>
          <w:kern w:val="0"/>
          <w:sz w:val="28"/>
          <w:szCs w:val="28"/>
          <w:highlight w:val="none"/>
        </w:rPr>
      </w:pPr>
      <w:r>
        <w:rPr>
          <w:rFonts w:hint="eastAsia" w:ascii="宋体" w:hAnsi="宋体" w:eastAsia="宋体" w:cs="宋体"/>
          <w:color w:val="auto"/>
          <w:sz w:val="28"/>
          <w:szCs w:val="28"/>
          <w:highlight w:val="none"/>
        </w:rPr>
        <w:t>伟星临海钮扣分公司</w:t>
      </w:r>
      <w:r>
        <w:rPr>
          <w:rFonts w:hint="eastAsia" w:ascii="宋体" w:hAnsi="宋体" w:eastAsia="宋体" w:cs="宋体"/>
          <w:color w:val="auto"/>
          <w:sz w:val="28"/>
          <w:szCs w:val="28"/>
          <w:highlight w:val="none"/>
          <w:lang w:eastAsia="zh-CN"/>
        </w:rPr>
        <w:t>配备的</w:t>
      </w:r>
      <w:r>
        <w:rPr>
          <w:rFonts w:ascii="宋体" w:hAnsi="宋体"/>
          <w:color w:val="auto"/>
          <w:kern w:val="0"/>
          <w:sz w:val="28"/>
          <w:szCs w:val="28"/>
          <w:highlight w:val="none"/>
        </w:rPr>
        <w:t>应急救援物资清单见</w:t>
      </w:r>
      <w:r>
        <w:rPr>
          <w:rFonts w:hint="eastAsia" w:ascii="宋体" w:hAnsi="宋体"/>
          <w:color w:val="auto"/>
          <w:kern w:val="0"/>
          <w:sz w:val="28"/>
          <w:szCs w:val="28"/>
          <w:highlight w:val="none"/>
        </w:rPr>
        <w:t>下表</w:t>
      </w:r>
      <w:r>
        <w:rPr>
          <w:rFonts w:ascii="宋体" w:hAnsi="宋体"/>
          <w:color w:val="auto"/>
          <w:kern w:val="0"/>
          <w:sz w:val="28"/>
          <w:szCs w:val="28"/>
          <w:highlight w:val="none"/>
        </w:rPr>
        <w:t>。</w:t>
      </w:r>
    </w:p>
    <w:p w14:paraId="774DC2D8">
      <w:pPr>
        <w:adjustRightInd w:val="0"/>
        <w:snapToGrid w:val="0"/>
        <w:spacing w:line="360" w:lineRule="auto"/>
        <w:ind w:firstLine="0" w:firstLineChars="0"/>
        <w:jc w:val="center"/>
        <w:rPr>
          <w:rFonts w:hint="eastAsia" w:ascii="黑体" w:hAnsi="黑体" w:eastAsia="黑体" w:cs="黑体"/>
          <w:b/>
          <w:bCs/>
          <w:color w:val="auto"/>
          <w:kern w:val="0"/>
          <w:sz w:val="24"/>
          <w:szCs w:val="24"/>
          <w:highlight w:val="none"/>
        </w:rPr>
      </w:pPr>
      <w:r>
        <w:rPr>
          <w:rFonts w:hint="eastAsia" w:ascii="黑体" w:hAnsi="黑体" w:eastAsia="黑体" w:cs="黑体"/>
          <w:b/>
          <w:bCs/>
          <w:color w:val="auto"/>
          <w:kern w:val="0"/>
          <w:sz w:val="24"/>
          <w:szCs w:val="24"/>
          <w:highlight w:val="none"/>
          <w:lang w:eastAsia="zh-CN"/>
        </w:rPr>
        <w:t>表</w:t>
      </w:r>
      <w:r>
        <w:rPr>
          <w:rFonts w:hint="eastAsia" w:ascii="黑体" w:hAnsi="黑体" w:eastAsia="黑体" w:cs="黑体"/>
          <w:b/>
          <w:bCs/>
          <w:color w:val="auto"/>
          <w:kern w:val="0"/>
          <w:sz w:val="24"/>
          <w:szCs w:val="24"/>
          <w:highlight w:val="none"/>
          <w:lang w:val="en-US" w:eastAsia="zh-CN"/>
        </w:rPr>
        <w:t>2.10-5</w:t>
      </w:r>
      <w:r>
        <w:rPr>
          <w:rFonts w:hint="eastAsia" w:ascii="黑体" w:hAnsi="黑体" w:eastAsia="黑体" w:cs="黑体"/>
          <w:b/>
          <w:bCs/>
          <w:color w:val="auto"/>
          <w:kern w:val="0"/>
          <w:sz w:val="24"/>
          <w:szCs w:val="24"/>
          <w:highlight w:val="none"/>
        </w:rPr>
        <w:t>应急救援物资一览表</w:t>
      </w:r>
    </w:p>
    <w:tbl>
      <w:tblPr>
        <w:tblStyle w:val="6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21"/>
        <w:gridCol w:w="3617"/>
        <w:gridCol w:w="1801"/>
        <w:gridCol w:w="2957"/>
      </w:tblGrid>
      <w:tr w14:paraId="0FDDB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67DF2">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19B2">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0CEF8">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数量</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F5FE7">
            <w:pPr>
              <w:keepNext w:val="0"/>
              <w:keepLines w:val="0"/>
              <w:widowControl/>
              <w:suppressLineNumbers w:val="0"/>
              <w:adjustRightInd w:val="0"/>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放置位置</w:t>
            </w:r>
          </w:p>
        </w:tc>
      </w:tr>
      <w:tr w14:paraId="34EFF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8B726">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77E7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消防服</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0DB7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10套</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19BD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350E4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164E4">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B56B0">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消防帽</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071C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10顶</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312A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78003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7B652">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C59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消防腰带</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044D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10根</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FA06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6ED05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20645">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03E2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消防手套</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7423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10双</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5EF3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36C72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C60F7">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065E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消防靴</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9C9A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10双</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B59E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0FDC8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FE1B">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F3B8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逃生绳</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0015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10根</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89E18">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0FE6E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A0947">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4012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过滤式消防自救呼吸器</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8D7B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10只</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D069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3279D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FFFA7">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298D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防护眼镜</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0A3C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10只</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AA66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61CB2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AE6E5">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6010C">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扩音喇叭</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F56B6">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2只</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D946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1BE84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6B3E3">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5C2D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警戒线</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9171E">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2根</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EA61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6DA11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7C7D9">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D6F4A">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轻型防化服</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93D5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1套</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1C06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5897C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6AB82">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46EA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医用氧气袋</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E152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2只</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0231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5B029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D30D4">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6E6E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担架</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4A3B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1付</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DADF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3D700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5F325">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A9A5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人体模型</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A4F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1付</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51A5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4D9C3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DABF">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279C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防化手套</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B0C64">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10双</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3E2C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70C44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9F779">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EDD83">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正压式空气呼吸器</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23AB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4只</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28562">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235A9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28C08">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5B2DF">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绝缘消防钳</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ACA81">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1把</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60035">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6711D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2C613">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3E7D9">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水带接口65转80</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808B7">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2只</w:t>
            </w:r>
          </w:p>
        </w:tc>
        <w:tc>
          <w:tcPr>
            <w:tcW w:w="1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A538B">
            <w:pPr>
              <w:keepNext w:val="0"/>
              <w:keepLines w:val="0"/>
              <w:widowControl/>
              <w:suppressLineNumbers w:val="0"/>
              <w:adjustRightInd w:val="0"/>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微型消防站</w:t>
            </w:r>
          </w:p>
        </w:tc>
      </w:tr>
      <w:tr w14:paraId="60C0E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6F6E1">
            <w:pPr>
              <w:keepNext w:val="0"/>
              <w:keepLines w:val="0"/>
              <w:widowControl/>
              <w:numPr>
                <w:ilvl w:val="0"/>
                <w:numId w:val="13"/>
              </w:numPr>
              <w:suppressLineNumbers w:val="0"/>
              <w:adjustRightInd w:val="0"/>
              <w:snapToGrid w:val="0"/>
              <w:ind w:left="425" w:hanging="425"/>
              <w:jc w:val="center"/>
              <w:textAlignment w:val="center"/>
              <w:rPr>
                <w:rFonts w:hint="eastAsia" w:ascii="宋体" w:hAnsi="宋体" w:eastAsia="宋体" w:cs="宋体"/>
                <w:i w:val="0"/>
                <w:iCs w:val="0"/>
                <w:color w:val="auto"/>
                <w:sz w:val="21"/>
                <w:szCs w:val="21"/>
                <w:highlight w:val="none"/>
                <w:u w:val="none"/>
              </w:rPr>
            </w:pPr>
          </w:p>
        </w:tc>
        <w:tc>
          <w:tcPr>
            <w:tcW w:w="1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25D2E">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color w:val="auto"/>
                <w:kern w:val="0"/>
                <w:szCs w:val="21"/>
                <w:highlight w:val="none"/>
                <w:u w:val="none"/>
                <w:lang w:bidi="ar"/>
              </w:rPr>
              <w:t>便携式可燃/有毒/氧含量检测报警仪</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4B186">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2只</w:t>
            </w:r>
          </w:p>
        </w:tc>
        <w:tc>
          <w:tcPr>
            <w:tcW w:w="2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1FCF9">
            <w:pPr>
              <w:keepNext w:val="0"/>
              <w:keepLines w:val="0"/>
              <w:widowControl/>
              <w:suppressLineNumbers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微型消防站</w:t>
            </w:r>
          </w:p>
        </w:tc>
      </w:tr>
    </w:tbl>
    <w:p w14:paraId="5EBC48D9">
      <w:pPr>
        <w:adjustRightInd w:val="0"/>
        <w:snapToGrid w:val="0"/>
        <w:spacing w:before="157" w:beforeLines="50" w:line="360" w:lineRule="auto"/>
        <w:ind w:firstLine="560" w:firstLineChars="200"/>
        <w:rPr>
          <w:rFonts w:ascii="宋体" w:hAnsi="宋体"/>
          <w:color w:val="auto"/>
          <w:sz w:val="28"/>
          <w:szCs w:val="28"/>
          <w:highlight w:val="none"/>
        </w:rPr>
      </w:pPr>
      <w:r>
        <w:rPr>
          <w:rFonts w:hint="eastAsia" w:ascii="宋体" w:hAnsi="宋体"/>
          <w:color w:val="auto"/>
          <w:sz w:val="28"/>
          <w:szCs w:val="28"/>
          <w:highlight w:val="none"/>
        </w:rPr>
        <w:t>（</w:t>
      </w:r>
      <w:r>
        <w:rPr>
          <w:rFonts w:ascii="宋体" w:hAnsi="宋体"/>
          <w:color w:val="auto"/>
          <w:sz w:val="28"/>
          <w:szCs w:val="28"/>
          <w:highlight w:val="none"/>
        </w:rPr>
        <w:t>3</w:t>
      </w:r>
      <w:r>
        <w:rPr>
          <w:rFonts w:hint="eastAsia" w:ascii="宋体" w:hAnsi="宋体"/>
          <w:color w:val="auto"/>
          <w:sz w:val="28"/>
          <w:szCs w:val="28"/>
          <w:highlight w:val="none"/>
        </w:rPr>
        <w:t>）应急预案演练</w:t>
      </w:r>
    </w:p>
    <w:p w14:paraId="0FDF288B">
      <w:pPr>
        <w:adjustRightInd w:val="0"/>
        <w:snapToGrid w:val="0"/>
        <w:spacing w:line="360" w:lineRule="auto"/>
        <w:ind w:firstLine="560" w:firstLineChars="200"/>
        <w:jc w:val="left"/>
        <w:rPr>
          <w:rFonts w:hint="eastAsia" w:ascii="宋体" w:hAnsi="宋体" w:cs="宋体"/>
          <w:color w:val="auto"/>
          <w:kern w:val="2"/>
          <w:sz w:val="28"/>
          <w:szCs w:val="28"/>
          <w:highlight w:val="none"/>
        </w:rPr>
      </w:pPr>
      <w:r>
        <w:rPr>
          <w:rFonts w:hint="eastAsia" w:ascii="宋体" w:hAnsi="宋体" w:eastAsia="宋体" w:cs="宋体"/>
          <w:color w:val="auto"/>
          <w:sz w:val="28"/>
          <w:szCs w:val="28"/>
          <w:highlight w:val="none"/>
        </w:rPr>
        <w:t>伟星临海钮扣分公司</w:t>
      </w:r>
      <w:r>
        <w:rPr>
          <w:rFonts w:hint="eastAsia" w:ascii="宋体" w:hAnsi="宋体" w:cs="宋体"/>
          <w:color w:val="auto"/>
          <w:kern w:val="2"/>
          <w:sz w:val="28"/>
          <w:szCs w:val="28"/>
          <w:highlight w:val="none"/>
        </w:rPr>
        <w:t>于</w:t>
      </w:r>
      <w:r>
        <w:rPr>
          <w:rFonts w:hint="eastAsia" w:ascii="宋体" w:hAnsi="宋体" w:cs="宋体"/>
          <w:color w:val="auto"/>
          <w:sz w:val="28"/>
          <w:szCs w:val="28"/>
          <w:highlight w:val="none"/>
        </w:rPr>
        <w:t>2023年9月2日组织实施关于化学品泄漏的应急处置演练</w:t>
      </w:r>
      <w:r>
        <w:rPr>
          <w:rFonts w:hint="eastAsia" w:ascii="宋体" w:hAnsi="宋体" w:cs="宋体"/>
          <w:color w:val="auto"/>
          <w:sz w:val="28"/>
          <w:szCs w:val="28"/>
          <w:highlight w:val="none"/>
          <w:lang w:eastAsia="zh-CN"/>
        </w:rPr>
        <w:t>，演练记录见附件</w:t>
      </w:r>
      <w:r>
        <w:rPr>
          <w:rFonts w:hint="eastAsia" w:ascii="宋体" w:hAnsi="宋体" w:cs="宋体"/>
          <w:color w:val="auto"/>
          <w:kern w:val="2"/>
          <w:sz w:val="28"/>
          <w:szCs w:val="28"/>
          <w:highlight w:val="none"/>
        </w:rPr>
        <w:t>。</w:t>
      </w:r>
    </w:p>
    <w:p w14:paraId="7D0FC7ED">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720" w:name="_Toc30752"/>
      <w:bookmarkStart w:id="721" w:name="_Toc1313"/>
      <w:bookmarkStart w:id="722" w:name="_Toc3495"/>
      <w:bookmarkStart w:id="723" w:name="_Toc21253"/>
      <w:bookmarkStart w:id="724" w:name="_Toc26312"/>
      <w:bookmarkStart w:id="725" w:name="_Toc5723"/>
      <w:bookmarkStart w:id="726" w:name="_Toc5239"/>
      <w:bookmarkStart w:id="727" w:name="_Toc30945"/>
      <w:bookmarkStart w:id="728" w:name="_Toc12040"/>
      <w:bookmarkStart w:id="729" w:name="_Toc60846599"/>
      <w:bookmarkStart w:id="730" w:name="_Toc32573"/>
      <w:bookmarkStart w:id="731" w:name="_Toc18826"/>
      <w:bookmarkStart w:id="732" w:name="_Toc5096"/>
      <w:bookmarkStart w:id="733" w:name="_Toc12553"/>
      <w:bookmarkStart w:id="734" w:name="_Toc24276"/>
      <w:bookmarkStart w:id="735" w:name="_Toc18587"/>
      <w:bookmarkStart w:id="736" w:name="_Toc22014"/>
      <w:bookmarkStart w:id="737" w:name="_Toc15272"/>
      <w:r>
        <w:rPr>
          <w:rFonts w:ascii="黑体" w:hAnsi="黑体" w:eastAsia="黑体" w:cs="Times New Roman"/>
          <w:b/>
          <w:color w:val="auto"/>
          <w:sz w:val="28"/>
          <w:szCs w:val="28"/>
          <w:highlight w:val="none"/>
        </w:rPr>
        <w:t>2.1</w:t>
      </w:r>
      <w:r>
        <w:rPr>
          <w:rFonts w:hint="eastAsia" w:ascii="黑体" w:hAnsi="黑体" w:eastAsia="黑体" w:cs="Times New Roman"/>
          <w:b/>
          <w:color w:val="auto"/>
          <w:sz w:val="28"/>
          <w:szCs w:val="28"/>
          <w:highlight w:val="none"/>
          <w:lang w:val="en-US" w:eastAsia="zh-CN"/>
        </w:rPr>
        <w:t>0</w:t>
      </w:r>
      <w:r>
        <w:rPr>
          <w:rFonts w:ascii="黑体" w:hAnsi="黑体" w:eastAsia="黑体" w:cs="Times New Roman"/>
          <w:b/>
          <w:color w:val="auto"/>
          <w:sz w:val="28"/>
          <w:szCs w:val="28"/>
          <w:highlight w:val="none"/>
        </w:rPr>
        <w:t>.5</w:t>
      </w:r>
      <w:r>
        <w:rPr>
          <w:rFonts w:hint="eastAsia" w:ascii="黑体" w:hAnsi="黑体" w:eastAsia="黑体" w:cs="Times New Roman"/>
          <w:b/>
          <w:color w:val="auto"/>
          <w:sz w:val="28"/>
          <w:szCs w:val="28"/>
          <w:highlight w:val="none"/>
        </w:rPr>
        <w:t>个人防护用品配备</w:t>
      </w:r>
      <w:bookmarkEnd w:id="701"/>
      <w:bookmarkEnd w:id="702"/>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14:paraId="0D08149A">
      <w:pPr>
        <w:adjustRightInd w:val="0"/>
        <w:snapToGrid w:val="0"/>
        <w:spacing w:line="360" w:lineRule="auto"/>
        <w:ind w:firstLine="560" w:firstLineChars="200"/>
        <w:rPr>
          <w:rFonts w:ascii="Times New Roman" w:hAnsi="Times New Roman" w:cs="Times New Roman"/>
          <w:bCs/>
          <w:color w:val="auto"/>
          <w:sz w:val="28"/>
          <w:szCs w:val="28"/>
          <w:highlight w:val="none"/>
        </w:rPr>
      </w:pPr>
      <w:r>
        <w:rPr>
          <w:rFonts w:hint="eastAsia" w:ascii="Times New Roman" w:hAnsi="Times New Roman" w:cs="Times New Roman"/>
          <w:bCs/>
          <w:color w:val="auto"/>
          <w:sz w:val="28"/>
          <w:szCs w:val="28"/>
          <w:highlight w:val="none"/>
        </w:rPr>
        <w:t>危化品仓库个人防护用品配置见</w:t>
      </w:r>
      <w:r>
        <w:rPr>
          <w:rFonts w:hint="eastAsia" w:ascii="Times New Roman" w:hAnsi="Times New Roman" w:cs="Times New Roman"/>
          <w:bCs/>
          <w:color w:val="auto"/>
          <w:sz w:val="28"/>
          <w:szCs w:val="28"/>
          <w:highlight w:val="none"/>
          <w:lang w:eastAsia="zh-CN"/>
        </w:rPr>
        <w:t>下表</w:t>
      </w:r>
      <w:r>
        <w:rPr>
          <w:rFonts w:hint="eastAsia" w:ascii="Times New Roman" w:hAnsi="Times New Roman" w:cs="Times New Roman"/>
          <w:bCs/>
          <w:color w:val="auto"/>
          <w:sz w:val="28"/>
          <w:szCs w:val="28"/>
          <w:highlight w:val="none"/>
        </w:rPr>
        <w:t>。</w:t>
      </w:r>
    </w:p>
    <w:p w14:paraId="08D1BD11">
      <w:pPr>
        <w:adjustRightInd w:val="0"/>
        <w:snapToGrid w:val="0"/>
        <w:spacing w:line="360" w:lineRule="auto"/>
        <w:ind w:firstLine="0"/>
        <w:jc w:val="center"/>
        <w:rPr>
          <w:rFonts w:ascii="黑体" w:hAnsi="黑体" w:eastAsia="黑体" w:cs="Times New Roman"/>
          <w:b/>
          <w:bCs/>
          <w:color w:val="auto"/>
          <w:sz w:val="24"/>
          <w:szCs w:val="24"/>
          <w:highlight w:val="none"/>
        </w:rPr>
      </w:pPr>
      <w:r>
        <w:rPr>
          <w:rFonts w:hint="eastAsia" w:ascii="黑体" w:hAnsi="黑体" w:eastAsia="黑体" w:cs="Times New Roman"/>
          <w:b/>
          <w:bCs/>
          <w:color w:val="auto"/>
          <w:sz w:val="24"/>
          <w:szCs w:val="24"/>
          <w:highlight w:val="none"/>
          <w:lang w:eastAsia="zh-CN"/>
        </w:rPr>
        <w:t>表</w:t>
      </w:r>
      <w:r>
        <w:rPr>
          <w:rFonts w:hint="eastAsia" w:ascii="黑体" w:hAnsi="黑体" w:eastAsia="黑体" w:cs="Times New Roman"/>
          <w:b/>
          <w:bCs/>
          <w:color w:val="auto"/>
          <w:sz w:val="24"/>
          <w:szCs w:val="24"/>
          <w:highlight w:val="none"/>
          <w:lang w:val="en-US" w:eastAsia="zh-CN"/>
        </w:rPr>
        <w:t xml:space="preserve">2.10-6 </w:t>
      </w:r>
      <w:r>
        <w:rPr>
          <w:rFonts w:ascii="黑体" w:hAnsi="黑体" w:eastAsia="黑体" w:cs="Times New Roman"/>
          <w:b/>
          <w:bCs/>
          <w:color w:val="auto"/>
          <w:sz w:val="24"/>
          <w:szCs w:val="24"/>
          <w:highlight w:val="none"/>
        </w:rPr>
        <w:t>个人防护用品配备情况表</w:t>
      </w:r>
    </w:p>
    <w:tbl>
      <w:tblPr>
        <w:tblStyle w:val="6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2361"/>
        <w:gridCol w:w="2040"/>
        <w:gridCol w:w="1414"/>
        <w:gridCol w:w="1416"/>
        <w:gridCol w:w="1416"/>
      </w:tblGrid>
      <w:tr w14:paraId="06DA0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97" w:type="pct"/>
            <w:vAlign w:val="center"/>
          </w:tcPr>
          <w:p w14:paraId="523EE0B4">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256" w:type="pct"/>
            <w:vAlign w:val="center"/>
          </w:tcPr>
          <w:p w14:paraId="1B627127">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防护用品名称</w:t>
            </w:r>
          </w:p>
        </w:tc>
        <w:tc>
          <w:tcPr>
            <w:tcW w:w="1085" w:type="pct"/>
            <w:vAlign w:val="center"/>
          </w:tcPr>
          <w:p w14:paraId="38C920E2">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单位</w:t>
            </w:r>
          </w:p>
        </w:tc>
        <w:tc>
          <w:tcPr>
            <w:tcW w:w="752" w:type="pct"/>
            <w:vAlign w:val="center"/>
          </w:tcPr>
          <w:p w14:paraId="5A2EF039">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数量</w:t>
            </w:r>
          </w:p>
        </w:tc>
        <w:tc>
          <w:tcPr>
            <w:tcW w:w="753" w:type="pct"/>
            <w:vAlign w:val="center"/>
          </w:tcPr>
          <w:p w14:paraId="40CB7E1F">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发放范围</w:t>
            </w:r>
          </w:p>
        </w:tc>
        <w:tc>
          <w:tcPr>
            <w:tcW w:w="753" w:type="pct"/>
            <w:vAlign w:val="center"/>
          </w:tcPr>
          <w:p w14:paraId="548E77F4">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使用期限</w:t>
            </w:r>
          </w:p>
        </w:tc>
      </w:tr>
      <w:tr w14:paraId="4AB2A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97" w:type="pct"/>
            <w:vAlign w:val="center"/>
          </w:tcPr>
          <w:p w14:paraId="2364DF8E">
            <w:pPr>
              <w:numPr>
                <w:ilvl w:val="0"/>
                <w:numId w:val="14"/>
              </w:numPr>
              <w:adjustRightInd w:val="0"/>
              <w:snapToGrid w:val="0"/>
              <w:ind w:left="425" w:hanging="425"/>
              <w:jc w:val="center"/>
              <w:rPr>
                <w:rFonts w:hint="eastAsia" w:ascii="宋体" w:hAnsi="宋体" w:eastAsia="宋体" w:cs="宋体"/>
                <w:color w:val="auto"/>
                <w:szCs w:val="21"/>
                <w:highlight w:val="none"/>
              </w:rPr>
            </w:pPr>
          </w:p>
        </w:tc>
        <w:tc>
          <w:tcPr>
            <w:tcW w:w="1256" w:type="pct"/>
            <w:vAlign w:val="center"/>
          </w:tcPr>
          <w:p w14:paraId="4C2A3939">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防护服</w:t>
            </w:r>
          </w:p>
        </w:tc>
        <w:tc>
          <w:tcPr>
            <w:tcW w:w="1085" w:type="pct"/>
            <w:vAlign w:val="center"/>
          </w:tcPr>
          <w:p w14:paraId="62E1E12A">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套/人</w:t>
            </w:r>
          </w:p>
        </w:tc>
        <w:tc>
          <w:tcPr>
            <w:tcW w:w="752" w:type="pct"/>
            <w:vAlign w:val="center"/>
          </w:tcPr>
          <w:p w14:paraId="473B2417">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w:t>
            </w:r>
          </w:p>
        </w:tc>
        <w:tc>
          <w:tcPr>
            <w:tcW w:w="753" w:type="pct"/>
            <w:vAlign w:val="center"/>
          </w:tcPr>
          <w:p w14:paraId="3F0B6AA1">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危化品仓库作业人员</w:t>
            </w:r>
          </w:p>
        </w:tc>
        <w:tc>
          <w:tcPr>
            <w:tcW w:w="753" w:type="pct"/>
            <w:vAlign w:val="center"/>
          </w:tcPr>
          <w:p w14:paraId="5906F38F">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1年</w:t>
            </w:r>
          </w:p>
        </w:tc>
      </w:tr>
      <w:tr w14:paraId="79AAD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97" w:type="pct"/>
            <w:vAlign w:val="center"/>
          </w:tcPr>
          <w:p w14:paraId="5E9BEA63">
            <w:pPr>
              <w:numPr>
                <w:ilvl w:val="0"/>
                <w:numId w:val="14"/>
              </w:numPr>
              <w:adjustRightInd w:val="0"/>
              <w:snapToGrid w:val="0"/>
              <w:ind w:left="425" w:hanging="425"/>
              <w:jc w:val="center"/>
              <w:rPr>
                <w:rFonts w:hint="eastAsia" w:ascii="宋体" w:hAnsi="宋体" w:eastAsia="宋体" w:cs="宋体"/>
                <w:color w:val="auto"/>
                <w:szCs w:val="21"/>
                <w:highlight w:val="none"/>
              </w:rPr>
            </w:pPr>
          </w:p>
        </w:tc>
        <w:tc>
          <w:tcPr>
            <w:tcW w:w="1256" w:type="pct"/>
            <w:vAlign w:val="center"/>
          </w:tcPr>
          <w:p w14:paraId="66611EA9">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防护手套</w:t>
            </w:r>
          </w:p>
        </w:tc>
        <w:tc>
          <w:tcPr>
            <w:tcW w:w="1085" w:type="pct"/>
            <w:vAlign w:val="center"/>
          </w:tcPr>
          <w:p w14:paraId="7ACC492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付/人</w:t>
            </w:r>
          </w:p>
        </w:tc>
        <w:tc>
          <w:tcPr>
            <w:tcW w:w="752" w:type="pct"/>
            <w:vAlign w:val="center"/>
          </w:tcPr>
          <w:p w14:paraId="4A0CAB16">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753" w:type="pct"/>
            <w:vAlign w:val="center"/>
          </w:tcPr>
          <w:p w14:paraId="0B901BDB">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危化品仓库作业人员</w:t>
            </w:r>
          </w:p>
        </w:tc>
        <w:tc>
          <w:tcPr>
            <w:tcW w:w="753" w:type="pct"/>
            <w:vAlign w:val="center"/>
          </w:tcPr>
          <w:p w14:paraId="043CF5DB">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1年</w:t>
            </w:r>
          </w:p>
        </w:tc>
      </w:tr>
      <w:tr w14:paraId="4B2F1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97" w:type="pct"/>
            <w:vAlign w:val="center"/>
          </w:tcPr>
          <w:p w14:paraId="0CCEE9A0">
            <w:pPr>
              <w:numPr>
                <w:ilvl w:val="0"/>
                <w:numId w:val="14"/>
              </w:numPr>
              <w:adjustRightInd w:val="0"/>
              <w:snapToGrid w:val="0"/>
              <w:ind w:left="425" w:hanging="425"/>
              <w:jc w:val="center"/>
              <w:rPr>
                <w:rFonts w:hint="eastAsia" w:ascii="宋体" w:hAnsi="宋体" w:eastAsia="宋体" w:cs="宋体"/>
                <w:color w:val="auto"/>
                <w:szCs w:val="21"/>
                <w:highlight w:val="none"/>
              </w:rPr>
            </w:pPr>
          </w:p>
        </w:tc>
        <w:tc>
          <w:tcPr>
            <w:tcW w:w="1256" w:type="pct"/>
            <w:vAlign w:val="center"/>
          </w:tcPr>
          <w:p w14:paraId="41FE6249">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防护鞋</w:t>
            </w:r>
          </w:p>
        </w:tc>
        <w:tc>
          <w:tcPr>
            <w:tcW w:w="1085" w:type="pct"/>
            <w:vAlign w:val="center"/>
          </w:tcPr>
          <w:p w14:paraId="4D780BC7">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双/人</w:t>
            </w:r>
          </w:p>
        </w:tc>
        <w:tc>
          <w:tcPr>
            <w:tcW w:w="752" w:type="pct"/>
            <w:vAlign w:val="center"/>
          </w:tcPr>
          <w:p w14:paraId="337A021A">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753" w:type="pct"/>
            <w:vAlign w:val="center"/>
          </w:tcPr>
          <w:p w14:paraId="14238006">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危化品仓库作业人员</w:t>
            </w:r>
          </w:p>
        </w:tc>
        <w:tc>
          <w:tcPr>
            <w:tcW w:w="753" w:type="pct"/>
            <w:vAlign w:val="center"/>
          </w:tcPr>
          <w:p w14:paraId="1B6EC22D">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1年</w:t>
            </w:r>
          </w:p>
        </w:tc>
      </w:tr>
      <w:tr w14:paraId="57673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97" w:type="pct"/>
            <w:vAlign w:val="center"/>
          </w:tcPr>
          <w:p w14:paraId="02BEF47A">
            <w:pPr>
              <w:numPr>
                <w:ilvl w:val="0"/>
                <w:numId w:val="14"/>
              </w:numPr>
              <w:adjustRightInd w:val="0"/>
              <w:snapToGrid w:val="0"/>
              <w:ind w:left="425" w:hanging="425"/>
              <w:jc w:val="center"/>
              <w:rPr>
                <w:rFonts w:hint="eastAsia" w:ascii="宋体" w:hAnsi="宋体" w:eastAsia="宋体" w:cs="宋体"/>
                <w:color w:val="auto"/>
                <w:szCs w:val="21"/>
                <w:highlight w:val="none"/>
              </w:rPr>
            </w:pPr>
          </w:p>
        </w:tc>
        <w:tc>
          <w:tcPr>
            <w:tcW w:w="1256" w:type="pct"/>
            <w:vAlign w:val="center"/>
          </w:tcPr>
          <w:p w14:paraId="7E1F116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rPr>
              <w:t>防毒面具</w:t>
            </w:r>
          </w:p>
        </w:tc>
        <w:tc>
          <w:tcPr>
            <w:tcW w:w="1085" w:type="pct"/>
            <w:vAlign w:val="center"/>
          </w:tcPr>
          <w:p w14:paraId="3F2E882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只/人</w:t>
            </w:r>
          </w:p>
        </w:tc>
        <w:tc>
          <w:tcPr>
            <w:tcW w:w="752" w:type="pct"/>
            <w:vAlign w:val="center"/>
          </w:tcPr>
          <w:p w14:paraId="0228131A">
            <w:pPr>
              <w:adjustRightInd w:val="0"/>
              <w:snapToGrid w:val="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753" w:type="pct"/>
            <w:vAlign w:val="center"/>
          </w:tcPr>
          <w:p w14:paraId="6F3ACEA7">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危化品仓库作业人员</w:t>
            </w:r>
          </w:p>
        </w:tc>
        <w:tc>
          <w:tcPr>
            <w:tcW w:w="753" w:type="pct"/>
            <w:vAlign w:val="center"/>
          </w:tcPr>
          <w:p w14:paraId="08160B5D">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1年</w:t>
            </w:r>
          </w:p>
        </w:tc>
      </w:tr>
      <w:tr w14:paraId="2F693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97" w:type="pct"/>
            <w:vAlign w:val="center"/>
          </w:tcPr>
          <w:p w14:paraId="3EFF9FB1">
            <w:pPr>
              <w:numPr>
                <w:ilvl w:val="0"/>
                <w:numId w:val="14"/>
              </w:numPr>
              <w:adjustRightInd w:val="0"/>
              <w:snapToGrid w:val="0"/>
              <w:ind w:left="425" w:hanging="425"/>
              <w:jc w:val="center"/>
              <w:rPr>
                <w:rFonts w:hint="eastAsia" w:ascii="宋体" w:hAnsi="宋体" w:eastAsia="宋体" w:cs="宋体"/>
                <w:color w:val="auto"/>
                <w:szCs w:val="21"/>
                <w:highlight w:val="none"/>
              </w:rPr>
            </w:pPr>
          </w:p>
        </w:tc>
        <w:tc>
          <w:tcPr>
            <w:tcW w:w="1256" w:type="pct"/>
            <w:vAlign w:val="center"/>
          </w:tcPr>
          <w:p w14:paraId="3223771D">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口罩（</w:t>
            </w:r>
            <w:r>
              <w:rPr>
                <w:rFonts w:hint="eastAsia" w:ascii="宋体" w:hAnsi="宋体" w:eastAsia="宋体" w:cs="宋体"/>
                <w:color w:val="auto"/>
                <w:szCs w:val="21"/>
                <w:highlight w:val="none"/>
              </w:rPr>
              <w:t>惠友2010-1型/KN95</w:t>
            </w:r>
            <w:r>
              <w:rPr>
                <w:rFonts w:hint="eastAsia" w:ascii="宋体" w:hAnsi="宋体" w:eastAsia="宋体" w:cs="宋体"/>
                <w:color w:val="auto"/>
                <w:szCs w:val="21"/>
                <w:highlight w:val="none"/>
                <w:lang w:eastAsia="zh-CN"/>
              </w:rPr>
              <w:t>）</w:t>
            </w:r>
          </w:p>
        </w:tc>
        <w:tc>
          <w:tcPr>
            <w:tcW w:w="1085" w:type="pct"/>
            <w:vAlign w:val="center"/>
          </w:tcPr>
          <w:p w14:paraId="7F5A6AC7">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只/人</w:t>
            </w:r>
          </w:p>
        </w:tc>
        <w:tc>
          <w:tcPr>
            <w:tcW w:w="752" w:type="pct"/>
            <w:vAlign w:val="center"/>
          </w:tcPr>
          <w:p w14:paraId="651217FA">
            <w:pPr>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4</w:t>
            </w:r>
          </w:p>
        </w:tc>
        <w:tc>
          <w:tcPr>
            <w:tcW w:w="753" w:type="pct"/>
            <w:vAlign w:val="center"/>
          </w:tcPr>
          <w:p w14:paraId="55D5AAFF">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危化品仓库作业人员</w:t>
            </w:r>
          </w:p>
        </w:tc>
        <w:tc>
          <w:tcPr>
            <w:tcW w:w="753" w:type="pct"/>
            <w:vAlign w:val="center"/>
          </w:tcPr>
          <w:p w14:paraId="38573EB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个月</w:t>
            </w:r>
          </w:p>
        </w:tc>
      </w:tr>
    </w:tbl>
    <w:p w14:paraId="4C6C4BC1">
      <w:pPr>
        <w:pageBreakBefore/>
        <w:adjustRightInd w:val="0"/>
        <w:snapToGrid w:val="0"/>
        <w:spacing w:beforeLines="100" w:afterLines="100" w:line="360" w:lineRule="auto"/>
        <w:jc w:val="center"/>
        <w:outlineLvl w:val="0"/>
        <w:rPr>
          <w:rFonts w:ascii="黑体" w:hAnsi="黑体" w:eastAsia="黑体" w:cs="Times New Roman"/>
          <w:b/>
          <w:color w:val="auto"/>
          <w:sz w:val="32"/>
          <w:szCs w:val="32"/>
          <w:highlight w:val="none"/>
        </w:rPr>
      </w:pPr>
      <w:bookmarkStart w:id="738" w:name="_Toc31736"/>
      <w:bookmarkStart w:id="739" w:name="_Toc1477"/>
      <w:bookmarkStart w:id="740" w:name="_Toc24496"/>
      <w:bookmarkStart w:id="741" w:name="_Toc8830"/>
      <w:bookmarkStart w:id="742" w:name="_Toc110"/>
      <w:bookmarkStart w:id="743" w:name="_Toc2323"/>
      <w:bookmarkStart w:id="744" w:name="_Toc3179"/>
      <w:bookmarkStart w:id="745" w:name="_Toc26980"/>
      <w:bookmarkStart w:id="746" w:name="_Toc4522"/>
      <w:bookmarkStart w:id="747" w:name="_Toc498075582"/>
      <w:bookmarkStart w:id="748" w:name="_Toc3430"/>
      <w:bookmarkStart w:id="749" w:name="_Toc1109"/>
      <w:bookmarkStart w:id="750" w:name="_Toc128"/>
      <w:bookmarkStart w:id="751" w:name="_Toc25352"/>
      <w:bookmarkStart w:id="752" w:name="_Toc17001"/>
      <w:bookmarkStart w:id="753" w:name="_Toc3093"/>
      <w:bookmarkStart w:id="754" w:name="_Toc15043"/>
      <w:bookmarkStart w:id="755" w:name="_Toc60846600"/>
      <w:bookmarkStart w:id="756" w:name="_Toc3715"/>
      <w:r>
        <w:rPr>
          <w:rFonts w:ascii="黑体" w:hAnsi="黑体" w:eastAsia="黑体" w:cs="Times New Roman"/>
          <w:b/>
          <w:color w:val="auto"/>
          <w:sz w:val="32"/>
          <w:szCs w:val="32"/>
          <w:highlight w:val="none"/>
        </w:rPr>
        <w:t>3</w:t>
      </w:r>
      <w:r>
        <w:rPr>
          <w:rFonts w:hint="eastAsia" w:ascii="黑体" w:hAnsi="黑体" w:eastAsia="黑体" w:cs="Times New Roman"/>
          <w:b/>
          <w:color w:val="auto"/>
          <w:sz w:val="32"/>
          <w:szCs w:val="32"/>
          <w:highlight w:val="none"/>
          <w:lang w:val="en-US" w:eastAsia="zh-CN"/>
        </w:rPr>
        <w:t xml:space="preserve"> </w:t>
      </w:r>
      <w:r>
        <w:rPr>
          <w:rFonts w:hint="eastAsia" w:ascii="黑体" w:hAnsi="黑体" w:eastAsia="黑体" w:cs="Times New Roman"/>
          <w:b/>
          <w:color w:val="auto"/>
          <w:sz w:val="32"/>
          <w:szCs w:val="32"/>
          <w:highlight w:val="none"/>
        </w:rPr>
        <w:t>危险、有害因素的辨识及依据说明</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p>
    <w:p w14:paraId="21333E48">
      <w:pPr>
        <w:pStyle w:val="3"/>
        <w:adjustRightInd w:val="0"/>
        <w:snapToGrid w:val="0"/>
        <w:spacing w:before="0" w:beforeLines="0" w:after="0" w:afterLines="0" w:line="360" w:lineRule="auto"/>
        <w:rPr>
          <w:rFonts w:ascii="黑体" w:hAnsi="黑体"/>
          <w:color w:val="auto"/>
          <w:sz w:val="28"/>
          <w:szCs w:val="28"/>
          <w:highlight w:val="none"/>
        </w:rPr>
      </w:pPr>
      <w:bookmarkStart w:id="757" w:name="_Toc161042301"/>
      <w:bookmarkStart w:id="758" w:name="_Toc151792143"/>
      <w:bookmarkStart w:id="759" w:name="_Toc176576669"/>
      <w:bookmarkStart w:id="760" w:name="_Toc186273655"/>
      <w:bookmarkStart w:id="761" w:name="_Toc150849456"/>
      <w:bookmarkStart w:id="762" w:name="_Toc160859623"/>
      <w:bookmarkStart w:id="763" w:name="_Toc261512187"/>
      <w:bookmarkStart w:id="764" w:name="_Toc693"/>
      <w:bookmarkStart w:id="765" w:name="_Toc493848144"/>
      <w:bookmarkStart w:id="766" w:name="_Toc206908648"/>
      <w:bookmarkStart w:id="767" w:name="_Toc211240217"/>
      <w:bookmarkStart w:id="768" w:name="_Toc205882572"/>
      <w:bookmarkStart w:id="769" w:name="_Toc364946024"/>
      <w:bookmarkStart w:id="770" w:name="_Toc19946"/>
      <w:bookmarkStart w:id="771" w:name="_Toc3236"/>
      <w:bookmarkStart w:id="772" w:name="_Toc30276"/>
      <w:bookmarkStart w:id="773" w:name="_Toc488127333"/>
      <w:bookmarkStart w:id="774" w:name="_Toc190762557"/>
      <w:bookmarkStart w:id="775" w:name="_Toc6082"/>
      <w:bookmarkStart w:id="776" w:name="_Toc206227985"/>
      <w:bookmarkStart w:id="777" w:name="_Toc347496706"/>
      <w:bookmarkStart w:id="778" w:name="_Toc246933248"/>
      <w:bookmarkStart w:id="779" w:name="_Toc24842"/>
      <w:bookmarkStart w:id="780" w:name="_Toc29926"/>
      <w:bookmarkStart w:id="781" w:name="_Toc6721"/>
      <w:bookmarkStart w:id="782" w:name="_Toc19581"/>
      <w:bookmarkStart w:id="783" w:name="_Toc211926579"/>
      <w:bookmarkStart w:id="784" w:name="_Toc3169"/>
      <w:bookmarkStart w:id="785" w:name="_Toc294531528"/>
      <w:bookmarkStart w:id="786" w:name="_Toc49240129"/>
      <w:bookmarkStart w:id="787" w:name="_Toc206228089"/>
      <w:bookmarkStart w:id="788" w:name="_Toc198521481"/>
      <w:bookmarkStart w:id="789" w:name="_Toc10160"/>
      <w:bookmarkStart w:id="790" w:name="_Toc228096419"/>
      <w:bookmarkStart w:id="791" w:name="_Toc21351"/>
      <w:bookmarkStart w:id="792" w:name="_Toc344140105"/>
      <w:bookmarkStart w:id="793" w:name="_Toc364502490"/>
      <w:bookmarkStart w:id="794" w:name="_Toc198457553"/>
      <w:bookmarkStart w:id="795" w:name="_Toc8088"/>
      <w:bookmarkStart w:id="796" w:name="_Toc23895"/>
      <w:bookmarkStart w:id="797" w:name="_Toc4159"/>
      <w:bookmarkStart w:id="798" w:name="_Toc5260"/>
      <w:bookmarkStart w:id="799" w:name="_Toc9536"/>
      <w:bookmarkStart w:id="800" w:name="_Toc1320"/>
      <w:bookmarkStart w:id="801" w:name="_Toc342942398"/>
      <w:bookmarkStart w:id="802" w:name="_Toc847"/>
      <w:bookmarkStart w:id="803" w:name="_Toc28492"/>
      <w:bookmarkStart w:id="804" w:name="_Toc211511430"/>
      <w:bookmarkStart w:id="805" w:name="_Toc205795875"/>
      <w:bookmarkStart w:id="806" w:name="_Toc26006"/>
      <w:bookmarkStart w:id="807" w:name="_Toc1121"/>
      <w:bookmarkStart w:id="808" w:name="_Toc60846601"/>
      <w:bookmarkStart w:id="809" w:name="_Toc449456895"/>
      <w:bookmarkStart w:id="810" w:name="_Toc228067231"/>
      <w:bookmarkStart w:id="811" w:name="_Toc228066846"/>
      <w:bookmarkStart w:id="812" w:name="_Toc228010674"/>
      <w:bookmarkStart w:id="813" w:name="_Toc58837704"/>
      <w:bookmarkStart w:id="814" w:name="_Toc449456804"/>
      <w:bookmarkStart w:id="815" w:name="_Toc228010448"/>
      <w:bookmarkStart w:id="816" w:name="_Toc324762700"/>
      <w:bookmarkStart w:id="817" w:name="_Toc228067067"/>
      <w:r>
        <w:rPr>
          <w:rFonts w:hint="eastAsia" w:ascii="黑体" w:hAnsi="黑体"/>
          <w:color w:val="auto"/>
          <w:sz w:val="28"/>
          <w:szCs w:val="28"/>
          <w:highlight w:val="none"/>
        </w:rPr>
        <w:t>3.1</w:t>
      </w:r>
      <w:bookmarkEnd w:id="757"/>
      <w:bookmarkEnd w:id="758"/>
      <w:bookmarkEnd w:id="759"/>
      <w:bookmarkEnd w:id="760"/>
      <w:bookmarkEnd w:id="761"/>
      <w:bookmarkEnd w:id="762"/>
      <w:r>
        <w:rPr>
          <w:rFonts w:hint="eastAsia" w:ascii="黑体" w:hAnsi="黑体"/>
          <w:color w:val="auto"/>
          <w:sz w:val="28"/>
          <w:szCs w:val="28"/>
          <w:highlight w:val="none"/>
          <w:lang w:val="en-US" w:eastAsia="zh-CN"/>
        </w:rPr>
        <w:t xml:space="preserve"> </w:t>
      </w:r>
      <w:r>
        <w:rPr>
          <w:rFonts w:hint="eastAsia" w:ascii="黑体" w:hAnsi="黑体"/>
          <w:color w:val="auto"/>
          <w:sz w:val="28"/>
          <w:szCs w:val="28"/>
          <w:highlight w:val="none"/>
        </w:rPr>
        <w:t>危险、有害因素辨识的依据说明（辨识过程说明）</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14:paraId="2140FBD6">
      <w:pPr>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818" w:name="_Toc1148"/>
      <w:bookmarkStart w:id="819" w:name="_Toc22275"/>
      <w:bookmarkStart w:id="820" w:name="_Toc28401"/>
      <w:bookmarkStart w:id="821" w:name="_Toc18013"/>
      <w:bookmarkStart w:id="822" w:name="_Toc7048"/>
      <w:bookmarkStart w:id="823" w:name="_Toc17263"/>
      <w:bookmarkStart w:id="824" w:name="_Toc16353"/>
      <w:bookmarkStart w:id="825" w:name="_Toc1820"/>
      <w:bookmarkStart w:id="826" w:name="_Toc17384"/>
      <w:bookmarkStart w:id="827" w:name="_Toc17935"/>
      <w:bookmarkStart w:id="828" w:name="_Toc5499"/>
      <w:bookmarkStart w:id="829" w:name="_Toc4212"/>
      <w:bookmarkStart w:id="830" w:name="_Toc30228"/>
      <w:bookmarkStart w:id="831" w:name="_Toc24374"/>
      <w:bookmarkStart w:id="832" w:name="_Toc28638"/>
      <w:bookmarkStart w:id="833" w:name="_Toc2518"/>
      <w:bookmarkStart w:id="834" w:name="_Toc11366"/>
      <w:r>
        <w:rPr>
          <w:rFonts w:hint="eastAsia" w:ascii="黑体" w:hAnsi="黑体" w:eastAsia="黑体" w:cs="黑体"/>
          <w:b/>
          <w:bCs/>
          <w:color w:val="auto"/>
          <w:kern w:val="0"/>
          <w:sz w:val="28"/>
          <w:szCs w:val="28"/>
          <w:highlight w:val="none"/>
          <w:lang w:val="en-GB"/>
        </w:rPr>
        <w:t>3.1</w:t>
      </w:r>
      <w:r>
        <w:rPr>
          <w:rFonts w:hint="eastAsia" w:ascii="黑体" w:hAnsi="黑体" w:eastAsia="黑体" w:cs="黑体"/>
          <w:b/>
          <w:bCs/>
          <w:color w:val="auto"/>
          <w:kern w:val="0"/>
          <w:sz w:val="28"/>
          <w:szCs w:val="28"/>
          <w:highlight w:val="none"/>
          <w:lang w:val="en-GB" w:eastAsia="zh-CN"/>
        </w:rPr>
        <w:t>.1</w:t>
      </w:r>
      <w:r>
        <w:rPr>
          <w:rFonts w:hint="eastAsia" w:ascii="黑体" w:hAnsi="黑体" w:eastAsia="黑体" w:cs="黑体"/>
          <w:b/>
          <w:bCs/>
          <w:color w:val="auto"/>
          <w:kern w:val="0"/>
          <w:sz w:val="28"/>
          <w:szCs w:val="28"/>
          <w:highlight w:val="none"/>
          <w:lang w:val="en-US" w:eastAsia="zh-CN"/>
        </w:rPr>
        <w:t xml:space="preserve"> </w:t>
      </w:r>
      <w:r>
        <w:rPr>
          <w:rFonts w:hint="eastAsia" w:ascii="黑体" w:hAnsi="黑体" w:eastAsia="黑体" w:cs="黑体"/>
          <w:b/>
          <w:bCs/>
          <w:color w:val="auto"/>
          <w:kern w:val="0"/>
          <w:sz w:val="28"/>
          <w:szCs w:val="28"/>
          <w:highlight w:val="none"/>
          <w:lang w:val="en-GB"/>
        </w:rPr>
        <w:t>危险、有害因素定义</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135A6B7B">
      <w:pPr>
        <w:adjustRightInd w:val="0"/>
        <w:snapToGrid w:val="0"/>
        <w:spacing w:beforeLines="0" w:afterLines="0" w:line="360" w:lineRule="auto"/>
        <w:ind w:firstLine="560" w:firstLineChars="200"/>
        <w:rPr>
          <w:color w:val="auto"/>
          <w:sz w:val="28"/>
          <w:highlight w:val="none"/>
        </w:rPr>
      </w:pPr>
      <w:r>
        <w:rPr>
          <w:rFonts w:hint="eastAsia"/>
          <w:color w:val="auto"/>
          <w:sz w:val="28"/>
          <w:highlight w:val="none"/>
        </w:rPr>
        <w:t>危险、有害因素辨识，主要是确定系统内存在的主要危险、有害因素的种类、分布及可能产生的危险、危害方式和途径。</w:t>
      </w:r>
    </w:p>
    <w:p w14:paraId="2B2D3A54">
      <w:pPr>
        <w:adjustRightInd w:val="0"/>
        <w:snapToGrid w:val="0"/>
        <w:spacing w:beforeLines="0" w:afterLines="0" w:line="360" w:lineRule="auto"/>
        <w:ind w:firstLine="570"/>
        <w:rPr>
          <w:color w:val="auto"/>
          <w:sz w:val="28"/>
          <w:highlight w:val="none"/>
        </w:rPr>
      </w:pPr>
      <w:r>
        <w:rPr>
          <w:rFonts w:hint="eastAsia"/>
          <w:color w:val="auto"/>
          <w:sz w:val="28"/>
          <w:highlight w:val="none"/>
        </w:rPr>
        <w:t>危险因素是指对人造成伤亡或对物造成突发性损害的因素；有害因素是指能影响人的身体健康、导致疾病，或对物造成慢性损害的因素。存在能量、有害物质和能量、有害物质失去控制是危险因素产生的根本原因。</w:t>
      </w:r>
    </w:p>
    <w:p w14:paraId="52F4F9E9">
      <w:pPr>
        <w:adjustRightInd w:val="0"/>
        <w:snapToGrid w:val="0"/>
        <w:spacing w:beforeLines="0" w:afterLines="0" w:line="360" w:lineRule="auto"/>
        <w:ind w:firstLine="570"/>
        <w:rPr>
          <w:color w:val="auto"/>
          <w:sz w:val="28"/>
          <w:highlight w:val="none"/>
        </w:rPr>
      </w:pPr>
      <w:r>
        <w:rPr>
          <w:rFonts w:hint="eastAsia"/>
          <w:color w:val="auto"/>
          <w:sz w:val="28"/>
          <w:highlight w:val="none"/>
        </w:rPr>
        <w:t>系统具有的能量越大，存在的危险物质越多，系统的潜在危险性和危害也越大。能量、有害物质的失控是危险、有害因素产生的条件，其失控主要体现在设备故障（含缺陷）、人员失误和管理缺陷三方面。</w:t>
      </w:r>
    </w:p>
    <w:p w14:paraId="5ED38713">
      <w:pPr>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835" w:name="_Toc6909"/>
      <w:bookmarkStart w:id="836" w:name="_Toc449456805"/>
      <w:bookmarkStart w:id="837" w:name="_Toc24281"/>
      <w:bookmarkStart w:id="838" w:name="_Toc11296"/>
      <w:bookmarkStart w:id="839" w:name="_Toc228066847"/>
      <w:bookmarkStart w:id="840" w:name="_Toc214"/>
      <w:bookmarkStart w:id="841" w:name="_Toc228010449"/>
      <w:bookmarkStart w:id="842" w:name="_Toc228067232"/>
      <w:bookmarkStart w:id="843" w:name="_Toc449456896"/>
      <w:bookmarkStart w:id="844" w:name="_Toc21134"/>
      <w:bookmarkStart w:id="845" w:name="_Toc324762701"/>
      <w:bookmarkStart w:id="846" w:name="_Toc24877"/>
      <w:bookmarkStart w:id="847" w:name="_Toc22325"/>
      <w:bookmarkStart w:id="848" w:name="_Toc11431"/>
      <w:bookmarkStart w:id="849" w:name="_Toc22122"/>
      <w:bookmarkStart w:id="850" w:name="_Toc22415"/>
      <w:bookmarkStart w:id="851" w:name="_Toc13441"/>
      <w:bookmarkStart w:id="852" w:name="_Toc58837705"/>
      <w:bookmarkStart w:id="853" w:name="_Toc27076"/>
      <w:bookmarkStart w:id="854" w:name="_Toc26679"/>
      <w:bookmarkStart w:id="855" w:name="_Toc60846602"/>
      <w:bookmarkStart w:id="856" w:name="_Toc1813"/>
      <w:bookmarkStart w:id="857" w:name="_Toc228067068"/>
      <w:bookmarkStart w:id="858" w:name="_Toc31104"/>
      <w:bookmarkStart w:id="859" w:name="_Toc228010675"/>
      <w:bookmarkStart w:id="860" w:name="_Toc19647"/>
      <w:bookmarkStart w:id="861" w:name="_Toc22699"/>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US" w:eastAsia="zh-CN"/>
        </w:rPr>
        <w:t>1.</w:t>
      </w:r>
      <w:r>
        <w:rPr>
          <w:rFonts w:hint="eastAsia" w:ascii="黑体" w:hAnsi="黑体" w:eastAsia="黑体" w:cs="黑体"/>
          <w:b/>
          <w:bCs/>
          <w:color w:val="auto"/>
          <w:kern w:val="0"/>
          <w:sz w:val="28"/>
          <w:szCs w:val="28"/>
          <w:highlight w:val="none"/>
          <w:lang w:val="en-GB"/>
        </w:rPr>
        <w:t>2 危险、有害因素辨识依据说明</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14:paraId="0964C2DB">
      <w:pPr>
        <w:adjustRightInd w:val="0"/>
        <w:snapToGrid w:val="0"/>
        <w:spacing w:beforeLines="0" w:afterLines="0" w:line="360" w:lineRule="auto"/>
        <w:ind w:firstLine="57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参照《企业职工伤亡事故分类》GB6441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19</w:t>
      </w:r>
      <w:r>
        <w:rPr>
          <w:rFonts w:hint="eastAsia" w:ascii="宋体" w:hAnsi="宋体" w:eastAsia="宋体" w:cs="宋体"/>
          <w:color w:val="auto"/>
          <w:sz w:val="28"/>
          <w:szCs w:val="28"/>
          <w:highlight w:val="none"/>
        </w:rPr>
        <w:t>86，将危险因素分为20类，即：物体打击、车辆伤害、机械伤害、起重伤害、触电、淹溺、灼烫、火灾、高处坠落、坍塌、冒顶片帮、透水、放炮、火药爆炸、瓦斯爆炸、锅炉爆炸、容器爆炸、其它爆炸、中毒和窒息、其它伤害。</w:t>
      </w:r>
    </w:p>
    <w:p w14:paraId="0FD11ED0">
      <w:pPr>
        <w:adjustRightInd w:val="0"/>
        <w:snapToGrid w:val="0"/>
        <w:spacing w:beforeLines="0" w:afterLines="0" w:line="360" w:lineRule="auto"/>
        <w:ind w:firstLine="57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参照</w:t>
      </w:r>
      <w:r>
        <w:rPr>
          <w:rFonts w:hint="eastAsia" w:ascii="宋体" w:hAnsi="宋体" w:eastAsia="宋体" w:cs="宋体"/>
          <w:color w:val="auto"/>
          <w:sz w:val="28"/>
          <w:szCs w:val="28"/>
          <w:highlight w:val="none"/>
        </w:rPr>
        <w:t>《职业病危害因素分类目录》国卫疾控发</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2015</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92号令，将职业病危害因素分为粉尘、化学因素、物理因素、放射性因素、生物因素、其他因素六大类。</w:t>
      </w:r>
    </w:p>
    <w:p w14:paraId="41C05B6F">
      <w:pPr>
        <w:adjustRightInd w:val="0"/>
        <w:snapToGrid w:val="0"/>
        <w:spacing w:beforeLines="0" w:afterLines="0" w:line="360" w:lineRule="auto"/>
        <w:ind w:firstLine="570"/>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本评价按上述分类原则对</w:t>
      </w:r>
      <w:r>
        <w:rPr>
          <w:rFonts w:hint="eastAsia" w:ascii="宋体" w:hAnsi="宋体" w:eastAsia="宋体" w:cs="宋体"/>
          <w:color w:val="auto"/>
          <w:sz w:val="28"/>
          <w:szCs w:val="28"/>
          <w:highlight w:val="none"/>
        </w:rPr>
        <w:t>伟星临海钮扣分公司</w:t>
      </w:r>
      <w:r>
        <w:rPr>
          <w:rFonts w:hint="eastAsia" w:ascii="宋体" w:hAnsi="宋体" w:eastAsia="宋体" w:cs="宋体"/>
          <w:color w:val="auto"/>
          <w:sz w:val="28"/>
          <w:szCs w:val="28"/>
          <w:highlight w:val="none"/>
          <w:lang w:eastAsia="zh-CN"/>
        </w:rPr>
        <w:t>危化品仓库</w:t>
      </w:r>
      <w:r>
        <w:rPr>
          <w:rFonts w:hint="eastAsia" w:ascii="宋体" w:hAnsi="宋体" w:eastAsia="宋体" w:cs="宋体"/>
          <w:color w:val="auto"/>
          <w:kern w:val="2"/>
          <w:sz w:val="28"/>
          <w:szCs w:val="28"/>
          <w:highlight w:val="none"/>
        </w:rPr>
        <w:t>危险化学品</w:t>
      </w:r>
      <w:r>
        <w:rPr>
          <w:rFonts w:hint="eastAsia" w:ascii="宋体" w:hAnsi="宋体" w:eastAsia="宋体" w:cs="宋体"/>
          <w:color w:val="auto"/>
          <w:kern w:val="2"/>
          <w:sz w:val="28"/>
          <w:szCs w:val="28"/>
          <w:highlight w:val="none"/>
          <w:lang w:eastAsia="zh-CN"/>
        </w:rPr>
        <w:t>储存</w:t>
      </w:r>
      <w:r>
        <w:rPr>
          <w:rFonts w:hint="eastAsia" w:ascii="宋体" w:hAnsi="宋体" w:eastAsia="宋体" w:cs="宋体"/>
          <w:color w:val="auto"/>
          <w:kern w:val="2"/>
          <w:sz w:val="28"/>
          <w:szCs w:val="28"/>
          <w:highlight w:val="none"/>
        </w:rPr>
        <w:t>过程中可能出现的危险、有害因素进行辨识。</w:t>
      </w:r>
    </w:p>
    <w:p w14:paraId="5FA698E7">
      <w:pPr>
        <w:pStyle w:val="3"/>
        <w:adjustRightInd w:val="0"/>
        <w:snapToGrid w:val="0"/>
        <w:spacing w:before="0" w:beforeLines="0" w:after="0" w:afterLines="0" w:line="360" w:lineRule="auto"/>
        <w:rPr>
          <w:rFonts w:ascii="黑体" w:hAnsi="黑体"/>
          <w:color w:val="auto"/>
          <w:sz w:val="28"/>
          <w:szCs w:val="28"/>
          <w:highlight w:val="none"/>
        </w:rPr>
      </w:pPr>
      <w:bookmarkStart w:id="862" w:name="_Toc230773688"/>
      <w:bookmarkStart w:id="863" w:name="_Toc364946027"/>
      <w:bookmarkStart w:id="864" w:name="_Toc344140108"/>
      <w:bookmarkStart w:id="865" w:name="_Toc364502493"/>
      <w:bookmarkStart w:id="866" w:name="_Toc294531531"/>
      <w:bookmarkStart w:id="867" w:name="_Toc347496709"/>
      <w:bookmarkStart w:id="868" w:name="_Toc342942401"/>
      <w:bookmarkStart w:id="869" w:name="_Toc30870"/>
      <w:bookmarkStart w:id="870" w:name="_Toc18954"/>
      <w:bookmarkStart w:id="871" w:name="_Toc18277"/>
      <w:bookmarkStart w:id="872" w:name="_Toc16414"/>
      <w:bookmarkStart w:id="873" w:name="_Toc29148"/>
      <w:bookmarkStart w:id="874" w:name="_Toc16667"/>
      <w:bookmarkStart w:id="875" w:name="_Toc488127336"/>
      <w:bookmarkStart w:id="876" w:name="_Toc13620"/>
      <w:bookmarkStart w:id="877" w:name="_Toc29355"/>
      <w:bookmarkStart w:id="878" w:name="_Toc2811"/>
      <w:bookmarkStart w:id="879" w:name="_Toc23119"/>
      <w:bookmarkStart w:id="880" w:name="_Toc11469"/>
      <w:bookmarkStart w:id="881" w:name="_Toc15428"/>
      <w:bookmarkStart w:id="882" w:name="_Toc49240132"/>
      <w:bookmarkStart w:id="883" w:name="_Toc7456"/>
      <w:bookmarkStart w:id="884" w:name="_Toc40"/>
      <w:bookmarkStart w:id="885" w:name="_Toc6129"/>
      <w:bookmarkStart w:id="886" w:name="_Toc23213"/>
      <w:bookmarkStart w:id="887" w:name="_Toc27797"/>
      <w:bookmarkStart w:id="888" w:name="_Toc23165"/>
      <w:bookmarkStart w:id="889" w:name="_Toc29542"/>
      <w:bookmarkStart w:id="890" w:name="_Toc22973"/>
      <w:bookmarkStart w:id="891" w:name="_Toc493848147"/>
      <w:bookmarkStart w:id="892" w:name="_Toc28835"/>
      <w:bookmarkStart w:id="893" w:name="_Toc25422"/>
      <w:bookmarkStart w:id="894" w:name="_Toc230773689"/>
      <w:bookmarkStart w:id="895" w:name="_Toc498075585"/>
      <w:bookmarkStart w:id="896" w:name="_Toc60846603"/>
      <w:r>
        <w:rPr>
          <w:rFonts w:hint="eastAsia" w:ascii="黑体" w:hAnsi="黑体"/>
          <w:color w:val="auto"/>
          <w:sz w:val="28"/>
          <w:szCs w:val="28"/>
          <w:highlight w:val="none"/>
        </w:rPr>
        <w:t>3.2</w:t>
      </w:r>
      <w:bookmarkEnd w:id="862"/>
      <w:bookmarkEnd w:id="863"/>
      <w:bookmarkEnd w:id="864"/>
      <w:bookmarkEnd w:id="865"/>
      <w:bookmarkEnd w:id="866"/>
      <w:bookmarkEnd w:id="867"/>
      <w:bookmarkEnd w:id="868"/>
      <w:r>
        <w:rPr>
          <w:rFonts w:hint="eastAsia" w:ascii="黑体" w:hAnsi="黑体"/>
          <w:color w:val="auto"/>
          <w:sz w:val="28"/>
          <w:szCs w:val="28"/>
          <w:highlight w:val="none"/>
          <w:lang w:val="en-US" w:eastAsia="zh-CN"/>
        </w:rPr>
        <w:t xml:space="preserve"> </w:t>
      </w:r>
      <w:r>
        <w:rPr>
          <w:rFonts w:hint="eastAsia" w:ascii="黑体" w:hAnsi="黑体"/>
          <w:color w:val="auto"/>
          <w:sz w:val="28"/>
          <w:szCs w:val="28"/>
          <w:highlight w:val="none"/>
        </w:rPr>
        <w:t>危险、有害因素辨识</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bookmarkEnd w:id="894"/>
    <w:p w14:paraId="523BAE02">
      <w:pPr>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897" w:name="_Toc19545"/>
      <w:bookmarkStart w:id="898" w:name="_Toc6662"/>
      <w:bookmarkStart w:id="899" w:name="_Toc18931"/>
      <w:bookmarkStart w:id="900" w:name="_Toc16438"/>
      <w:bookmarkStart w:id="901" w:name="_Toc5912"/>
      <w:bookmarkStart w:id="902" w:name="_Toc25669"/>
      <w:bookmarkStart w:id="903" w:name="_Toc8451"/>
      <w:bookmarkStart w:id="904" w:name="_Toc12284"/>
      <w:bookmarkStart w:id="905" w:name="_Toc2037"/>
      <w:bookmarkStart w:id="906" w:name="_Toc21590"/>
      <w:bookmarkStart w:id="907" w:name="_Toc6310"/>
      <w:bookmarkStart w:id="908" w:name="_Toc22229"/>
      <w:bookmarkStart w:id="909" w:name="_Toc26711"/>
      <w:bookmarkStart w:id="910" w:name="_Toc2453"/>
      <w:bookmarkStart w:id="911" w:name="_Toc29557"/>
      <w:bookmarkStart w:id="912" w:name="_Toc6144"/>
      <w:bookmarkStart w:id="913" w:name="_Toc24510"/>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GB" w:eastAsia="zh-CN"/>
        </w:rPr>
        <w:t>2.1</w:t>
      </w:r>
      <w:r>
        <w:rPr>
          <w:rFonts w:hint="eastAsia" w:ascii="黑体" w:hAnsi="黑体" w:eastAsia="黑体" w:cs="黑体"/>
          <w:b/>
          <w:bCs/>
          <w:color w:val="auto"/>
          <w:kern w:val="0"/>
          <w:sz w:val="28"/>
          <w:szCs w:val="28"/>
          <w:highlight w:val="none"/>
          <w:lang w:val="en-GB"/>
        </w:rPr>
        <w:t xml:space="preserve"> 物料固有的危险、有害因素分析</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14:paraId="2E4AE261">
      <w:pPr>
        <w:keepNext w:val="0"/>
        <w:keepLines w:val="0"/>
        <w:pageBreakBefore w:val="0"/>
        <w:widowControl w:val="0"/>
        <w:numPr>
          <w:ilvl w:val="0"/>
          <w:numId w:val="15"/>
        </w:numPr>
        <w:kinsoku/>
        <w:wordWrap/>
        <w:overflowPunct/>
        <w:topLinePunct w:val="0"/>
        <w:autoSpaceDE/>
        <w:autoSpaceDN/>
        <w:bidi w:val="0"/>
        <w:adjustRightInd w:val="0"/>
        <w:snapToGrid w:val="0"/>
        <w:spacing w:beforeLines="0" w:afterLines="0" w:line="360" w:lineRule="auto"/>
        <w:ind w:left="0" w:firstLine="560" w:firstLineChars="200"/>
        <w:textAlignment w:val="auto"/>
        <w:outlineLvl w:val="9"/>
        <w:rPr>
          <w:rFonts w:hint="eastAsia" w:ascii="宋体" w:hAnsi="宋体" w:eastAsia="宋体" w:cs="宋体"/>
          <w:b w:val="0"/>
          <w:bCs w:val="0"/>
          <w:color w:val="auto"/>
          <w:kern w:val="2"/>
          <w:sz w:val="28"/>
          <w:szCs w:val="28"/>
          <w:highlight w:val="none"/>
          <w:lang w:val="en-GB"/>
        </w:rPr>
      </w:pPr>
      <w:bookmarkStart w:id="914" w:name="_Toc12667"/>
      <w:bookmarkStart w:id="915" w:name="_Toc16607"/>
      <w:bookmarkStart w:id="916" w:name="_Toc44675067"/>
      <w:bookmarkStart w:id="917" w:name="_Toc3948"/>
      <w:bookmarkStart w:id="918" w:name="_Toc4939"/>
      <w:bookmarkStart w:id="919" w:name="_Toc24832"/>
      <w:bookmarkStart w:id="920" w:name="_Toc24488"/>
      <w:bookmarkStart w:id="921" w:name="_Toc13709"/>
      <w:bookmarkStart w:id="922" w:name="_Toc27259"/>
      <w:r>
        <w:rPr>
          <w:rFonts w:hint="eastAsia" w:ascii="宋体" w:hAnsi="宋体" w:eastAsia="宋体" w:cs="宋体"/>
          <w:b w:val="0"/>
          <w:bCs w:val="0"/>
          <w:color w:val="auto"/>
          <w:kern w:val="2"/>
          <w:sz w:val="28"/>
          <w:szCs w:val="28"/>
          <w:highlight w:val="none"/>
        </w:rPr>
        <w:t>危险化学品</w:t>
      </w:r>
      <w:bookmarkEnd w:id="914"/>
      <w:bookmarkEnd w:id="915"/>
      <w:bookmarkEnd w:id="916"/>
      <w:r>
        <w:rPr>
          <w:rFonts w:hint="eastAsia" w:ascii="宋体" w:hAnsi="宋体" w:eastAsia="宋体" w:cs="宋体"/>
          <w:b w:val="0"/>
          <w:bCs w:val="0"/>
          <w:color w:val="auto"/>
          <w:kern w:val="2"/>
          <w:sz w:val="28"/>
          <w:szCs w:val="28"/>
          <w:highlight w:val="none"/>
          <w:lang w:val="en-GB"/>
        </w:rPr>
        <w:t>辨识</w:t>
      </w:r>
      <w:bookmarkEnd w:id="917"/>
      <w:bookmarkEnd w:id="918"/>
      <w:bookmarkEnd w:id="919"/>
      <w:bookmarkEnd w:id="920"/>
      <w:bookmarkEnd w:id="921"/>
      <w:bookmarkEnd w:id="922"/>
    </w:p>
    <w:p w14:paraId="1D8C40CF">
      <w:pPr>
        <w:keepNext w:val="0"/>
        <w:keepLines w:val="0"/>
        <w:pageBreakBefore w:val="0"/>
        <w:widowControl w:val="0"/>
        <w:numPr>
          <w:ilvl w:val="0"/>
          <w:numId w:val="16"/>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依据《危险化学品目录》（2015年版）（</w:t>
      </w:r>
      <w:r>
        <w:rPr>
          <w:rFonts w:hint="eastAsia" w:ascii="宋体" w:hAnsi="宋体" w:cs="宋体"/>
          <w:color w:val="auto"/>
          <w:kern w:val="0"/>
          <w:sz w:val="28"/>
          <w:szCs w:val="28"/>
          <w:highlight w:val="none"/>
        </w:rPr>
        <w:t>安监总局</w:t>
      </w:r>
      <w:r>
        <w:rPr>
          <w:rFonts w:hint="eastAsia" w:ascii="宋体" w:hAnsi="宋体" w:eastAsia="宋体" w:cs="宋体"/>
          <w:color w:val="auto"/>
          <w:kern w:val="0"/>
          <w:sz w:val="28"/>
          <w:szCs w:val="28"/>
          <w:highlight w:val="none"/>
        </w:rPr>
        <w:t>等部局公告</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2015</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第5号，十部委公告</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2022</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第8号修改）辨识，</w:t>
      </w:r>
      <w:r>
        <w:rPr>
          <w:rFonts w:hint="eastAsia" w:ascii="宋体" w:hAnsi="宋体" w:eastAsia="宋体" w:cs="宋体"/>
          <w:color w:val="auto"/>
          <w:sz w:val="28"/>
          <w:szCs w:val="28"/>
          <w:highlight w:val="none"/>
        </w:rPr>
        <w:t>伟星临海钮扣分公司</w:t>
      </w:r>
      <w:r>
        <w:rPr>
          <w:rFonts w:hint="eastAsia" w:ascii="宋体" w:hAnsi="宋体" w:eastAsia="宋体" w:cs="宋体"/>
          <w:color w:val="auto"/>
          <w:sz w:val="28"/>
          <w:szCs w:val="28"/>
          <w:highlight w:val="none"/>
          <w:lang w:eastAsia="zh-CN"/>
        </w:rPr>
        <w:t>危化品仓库</w:t>
      </w:r>
      <w:r>
        <w:rPr>
          <w:rFonts w:hint="eastAsia" w:ascii="宋体" w:hAnsi="宋体" w:eastAsia="宋体" w:cs="宋体"/>
          <w:bCs/>
          <w:color w:val="auto"/>
          <w:kern w:val="0"/>
          <w:sz w:val="28"/>
          <w:szCs w:val="28"/>
          <w:highlight w:val="none"/>
          <w:lang w:eastAsia="zh-CN"/>
        </w:rPr>
        <w:t>储存</w:t>
      </w:r>
      <w:r>
        <w:rPr>
          <w:rFonts w:hint="eastAsia" w:ascii="宋体" w:hAnsi="宋体" w:eastAsia="宋体" w:cs="宋体"/>
          <w:bCs/>
          <w:color w:val="auto"/>
          <w:kern w:val="0"/>
          <w:sz w:val="28"/>
          <w:szCs w:val="28"/>
          <w:highlight w:val="none"/>
        </w:rPr>
        <w:t>的</w:t>
      </w:r>
      <w:r>
        <w:rPr>
          <w:rFonts w:hint="eastAsia" w:ascii="宋体" w:hAnsi="宋体" w:cs="宋体"/>
          <w:bCs/>
          <w:color w:val="auto"/>
          <w:kern w:val="0"/>
          <w:sz w:val="28"/>
          <w:szCs w:val="28"/>
          <w:highlight w:val="none"/>
        </w:rPr>
        <w:t>六亚甲基四胺</w:t>
      </w:r>
      <w:r>
        <w:rPr>
          <w:rFonts w:hint="eastAsia" w:ascii="宋体" w:hAnsi="宋体" w:cs="宋体"/>
          <w:bCs/>
          <w:color w:val="auto"/>
          <w:kern w:val="0"/>
          <w:sz w:val="28"/>
          <w:szCs w:val="28"/>
          <w:highlight w:val="none"/>
          <w:lang w:eastAsia="zh-CN"/>
        </w:rPr>
        <w:t>、</w:t>
      </w:r>
      <w:r>
        <w:rPr>
          <w:rFonts w:hint="eastAsia" w:ascii="宋体" w:hAnsi="宋体" w:eastAsia="宋体" w:cs="宋体"/>
          <w:color w:val="auto"/>
          <w:sz w:val="28"/>
          <w:szCs w:val="28"/>
          <w:highlight w:val="none"/>
        </w:rPr>
        <w:t>盐酸、过氧化甲乙酮、过氧化二苯甲酰、双氧水、</w:t>
      </w:r>
      <w:r>
        <w:rPr>
          <w:rFonts w:hint="eastAsia" w:ascii="宋体" w:hAnsi="宋体" w:cs="宋体"/>
          <w:color w:val="auto"/>
          <w:kern w:val="2"/>
          <w:sz w:val="28"/>
          <w:szCs w:val="28"/>
          <w:highlight w:val="none"/>
          <w:lang w:eastAsia="zh-CN"/>
        </w:rPr>
        <w:t>硝酸银、</w:t>
      </w:r>
      <w:r>
        <w:rPr>
          <w:rFonts w:hint="eastAsia" w:ascii="宋体" w:hAnsi="宋体" w:eastAsia="宋体" w:cs="宋体"/>
          <w:color w:val="auto"/>
          <w:sz w:val="28"/>
          <w:szCs w:val="28"/>
          <w:highlight w:val="none"/>
        </w:rPr>
        <w:t>丙酮、苯乙</w:t>
      </w:r>
      <w:r>
        <w:rPr>
          <w:rFonts w:hint="eastAsia" w:ascii="宋体" w:hAnsi="宋体" w:cs="宋体"/>
          <w:color w:val="auto"/>
          <w:sz w:val="28"/>
          <w:szCs w:val="28"/>
          <w:highlight w:val="none"/>
          <w:lang w:eastAsia="zh-CN"/>
        </w:rPr>
        <w:t>烯</w:t>
      </w:r>
      <w:r>
        <w:rPr>
          <w:rFonts w:hint="eastAsia" w:ascii="宋体" w:hAnsi="宋体" w:eastAsia="宋体" w:cs="宋体"/>
          <w:color w:val="auto"/>
          <w:sz w:val="28"/>
          <w:szCs w:val="28"/>
          <w:highlight w:val="none"/>
        </w:rPr>
        <w:t>、油漆、</w:t>
      </w:r>
      <w:r>
        <w:rPr>
          <w:rFonts w:hint="eastAsia" w:ascii="宋体" w:hAnsi="宋体" w:cs="宋体"/>
          <w:color w:val="auto"/>
          <w:sz w:val="28"/>
          <w:szCs w:val="28"/>
          <w:highlight w:val="none"/>
          <w:lang w:eastAsia="zh-CN"/>
        </w:rPr>
        <w:t>油漆</w:t>
      </w:r>
      <w:r>
        <w:rPr>
          <w:rFonts w:hint="eastAsia" w:ascii="宋体" w:hAnsi="宋体" w:eastAsia="宋体" w:cs="宋体"/>
          <w:color w:val="auto"/>
          <w:sz w:val="28"/>
          <w:szCs w:val="28"/>
          <w:highlight w:val="none"/>
        </w:rPr>
        <w:t>稀释剂</w:t>
      </w:r>
      <w:r>
        <w:rPr>
          <w:rFonts w:hint="eastAsia" w:ascii="宋体" w:hAnsi="宋体" w:eastAsia="宋体" w:cs="宋体"/>
          <w:color w:val="auto"/>
          <w:sz w:val="28"/>
          <w:szCs w:val="28"/>
          <w:highlight w:val="none"/>
          <w:lang w:eastAsia="zh-CN"/>
        </w:rPr>
        <w:t>和</w:t>
      </w:r>
      <w:r>
        <w:rPr>
          <w:rFonts w:hint="eastAsia" w:ascii="宋体" w:hAnsi="宋体" w:cs="宋体"/>
          <w:color w:val="auto"/>
          <w:sz w:val="28"/>
          <w:szCs w:val="28"/>
          <w:highlight w:val="none"/>
          <w:lang w:eastAsia="zh-CN"/>
        </w:rPr>
        <w:t>油漆</w:t>
      </w:r>
      <w:r>
        <w:rPr>
          <w:rFonts w:hint="eastAsia" w:ascii="宋体" w:hAnsi="宋体" w:eastAsia="宋体" w:cs="宋体"/>
          <w:color w:val="auto"/>
          <w:sz w:val="28"/>
          <w:szCs w:val="28"/>
          <w:highlight w:val="none"/>
        </w:rPr>
        <w:t>固化剂</w:t>
      </w:r>
      <w:r>
        <w:rPr>
          <w:rFonts w:hint="eastAsia" w:ascii="宋体" w:hAnsi="宋体" w:eastAsia="宋体" w:cs="宋体"/>
          <w:color w:val="auto"/>
          <w:kern w:val="0"/>
          <w:sz w:val="28"/>
          <w:szCs w:val="28"/>
          <w:highlight w:val="none"/>
        </w:rPr>
        <w:t>属于危险化学品</w:t>
      </w:r>
      <w:r>
        <w:rPr>
          <w:rFonts w:hint="eastAsia" w:ascii="宋体" w:hAnsi="宋体" w:eastAsia="宋体" w:cs="宋体"/>
          <w:color w:val="auto"/>
          <w:kern w:val="0"/>
          <w:sz w:val="28"/>
          <w:szCs w:val="28"/>
          <w:highlight w:val="none"/>
          <w:lang w:eastAsia="zh-CN"/>
        </w:rPr>
        <w:t>；</w:t>
      </w:r>
      <w:r>
        <w:rPr>
          <w:rFonts w:hint="eastAsia" w:ascii="宋体" w:hAnsi="宋体" w:cs="宋体"/>
          <w:color w:val="auto"/>
          <w:sz w:val="28"/>
          <w:szCs w:val="28"/>
          <w:highlight w:val="none"/>
        </w:rPr>
        <w:t>根据《危险化学品目录（2015版）实施指南（试行）》（</w:t>
      </w:r>
      <w:r>
        <w:rPr>
          <w:rFonts w:hint="eastAsia" w:ascii="宋体" w:hAnsi="宋体" w:cs="宋体"/>
          <w:color w:val="auto"/>
          <w:kern w:val="0"/>
          <w:sz w:val="28"/>
          <w:szCs w:val="28"/>
          <w:highlight w:val="none"/>
        </w:rPr>
        <w:t>安监总厅管三〔2015〕80号</w:t>
      </w:r>
      <w:r>
        <w:rPr>
          <w:rFonts w:hint="eastAsia" w:ascii="宋体" w:hAnsi="宋体" w:cs="宋体"/>
          <w:color w:val="auto"/>
          <w:kern w:val="0"/>
          <w:sz w:val="28"/>
          <w:szCs w:val="28"/>
          <w:highlight w:val="none"/>
          <w:lang w:eastAsia="zh-CN"/>
        </w:rPr>
        <w:t>发布</w:t>
      </w:r>
      <w:r>
        <w:rPr>
          <w:rFonts w:hint="eastAsia" w:ascii="宋体" w:hAnsi="宋体" w:cs="宋体"/>
          <w:color w:val="auto"/>
          <w:kern w:val="0"/>
          <w:sz w:val="28"/>
          <w:szCs w:val="28"/>
          <w:highlight w:val="none"/>
        </w:rPr>
        <w:t>，</w:t>
      </w:r>
      <w:r>
        <w:rPr>
          <w:rFonts w:hint="eastAsia" w:ascii="宋体" w:hAnsi="宋体" w:cs="宋体"/>
          <w:color w:val="auto"/>
          <w:sz w:val="28"/>
          <w:szCs w:val="28"/>
          <w:highlight w:val="none"/>
        </w:rPr>
        <w:t>应急厅函〔2022〕300号修正）</w:t>
      </w:r>
      <w:r>
        <w:rPr>
          <w:rFonts w:hint="eastAsia" w:ascii="宋体" w:hAnsi="宋体" w:cs="宋体"/>
          <w:color w:val="auto"/>
          <w:sz w:val="28"/>
          <w:szCs w:val="28"/>
          <w:highlight w:val="none"/>
          <w:lang w:eastAsia="zh-CN"/>
        </w:rPr>
        <w:t>，因为</w:t>
      </w:r>
      <w:r>
        <w:rPr>
          <w:rFonts w:hint="eastAsia" w:ascii="宋体" w:hAnsi="宋体" w:eastAsia="宋体" w:cs="宋体"/>
          <w:color w:val="auto"/>
          <w:sz w:val="28"/>
          <w:szCs w:val="28"/>
          <w:highlight w:val="none"/>
        </w:rPr>
        <w:t>钴盐</w:t>
      </w:r>
      <w:r>
        <w:rPr>
          <w:rFonts w:hint="eastAsia" w:ascii="宋体" w:hAnsi="宋体" w:cs="宋体"/>
          <w:color w:val="auto"/>
          <w:kern w:val="0"/>
          <w:sz w:val="28"/>
          <w:szCs w:val="28"/>
          <w:highlight w:val="none"/>
        </w:rPr>
        <w:t>主要成分</w:t>
      </w:r>
      <w:r>
        <w:rPr>
          <w:rFonts w:hint="eastAsia" w:ascii="宋体" w:hAnsi="宋体" w:cs="宋体"/>
          <w:color w:val="auto"/>
          <w:sz w:val="28"/>
          <w:szCs w:val="28"/>
          <w:highlight w:val="none"/>
        </w:rPr>
        <w:t>丁醇</w:t>
      </w:r>
      <w:r>
        <w:rPr>
          <w:rFonts w:hint="eastAsia" w:ascii="宋体" w:hAnsi="宋体" w:cs="宋体"/>
          <w:color w:val="auto"/>
          <w:kern w:val="0"/>
          <w:sz w:val="28"/>
          <w:szCs w:val="28"/>
          <w:highlight w:val="none"/>
        </w:rPr>
        <w:t>为列入《</w:t>
      </w:r>
      <w:r>
        <w:rPr>
          <w:rFonts w:hint="eastAsia" w:ascii="宋体" w:hAnsi="宋体" w:eastAsia="宋体" w:cs="宋体"/>
          <w:color w:val="auto"/>
          <w:kern w:val="0"/>
          <w:sz w:val="28"/>
          <w:szCs w:val="28"/>
          <w:highlight w:val="none"/>
        </w:rPr>
        <w:t>危险化学品目录</w:t>
      </w:r>
      <w:r>
        <w:rPr>
          <w:rFonts w:hint="eastAsia" w:ascii="宋体" w:hAnsi="宋体" w:cs="宋体"/>
          <w:color w:val="auto"/>
          <w:kern w:val="0"/>
          <w:sz w:val="28"/>
          <w:szCs w:val="28"/>
          <w:highlight w:val="none"/>
        </w:rPr>
        <w:t>》的危险化学品，并且主要成分</w:t>
      </w:r>
      <w:r>
        <w:rPr>
          <w:rFonts w:hint="eastAsia" w:ascii="宋体" w:hAnsi="宋体" w:cs="宋体"/>
          <w:color w:val="auto"/>
          <w:sz w:val="28"/>
          <w:szCs w:val="28"/>
          <w:highlight w:val="none"/>
        </w:rPr>
        <w:t>丁醇</w:t>
      </w:r>
      <w:r>
        <w:rPr>
          <w:rFonts w:hint="eastAsia" w:ascii="宋体" w:hAnsi="宋体" w:cs="宋体"/>
          <w:color w:val="auto"/>
          <w:kern w:val="0"/>
          <w:sz w:val="28"/>
          <w:szCs w:val="28"/>
          <w:highlight w:val="none"/>
        </w:rPr>
        <w:t>质量比≥99.55%</w:t>
      </w:r>
      <w:r>
        <w:rPr>
          <w:rFonts w:hint="eastAsia" w:ascii="宋体" w:hAnsi="宋体" w:cs="宋体"/>
          <w:color w:val="auto"/>
          <w:sz w:val="28"/>
          <w:szCs w:val="28"/>
          <w:highlight w:val="none"/>
          <w:lang w:eastAsia="zh-CN"/>
        </w:rPr>
        <w:t>，因此</w:t>
      </w:r>
      <w:r>
        <w:rPr>
          <w:rFonts w:hint="eastAsia" w:ascii="宋体" w:hAnsi="宋体" w:eastAsia="宋体" w:cs="宋体"/>
          <w:bCs/>
          <w:color w:val="auto"/>
          <w:sz w:val="28"/>
          <w:szCs w:val="28"/>
          <w:highlight w:val="none"/>
        </w:rPr>
        <w:t>钴盐</w:t>
      </w:r>
      <w:r>
        <w:rPr>
          <w:rFonts w:hint="eastAsia" w:ascii="宋体" w:hAnsi="宋体" w:cs="宋体"/>
          <w:color w:val="auto"/>
          <w:sz w:val="28"/>
          <w:szCs w:val="28"/>
          <w:highlight w:val="none"/>
        </w:rPr>
        <w:t>应按危险化学品进行管理</w:t>
      </w:r>
      <w:r>
        <w:rPr>
          <w:rFonts w:hint="eastAsia" w:ascii="宋体" w:hAnsi="宋体" w:cs="宋体"/>
          <w:color w:val="auto"/>
          <w:sz w:val="28"/>
          <w:szCs w:val="28"/>
          <w:highlight w:val="none"/>
          <w:lang w:eastAsia="zh-CN"/>
        </w:rPr>
        <w:t>；</w:t>
      </w:r>
      <w:r>
        <w:rPr>
          <w:rFonts w:hint="eastAsia" w:ascii="宋体" w:hAnsi="宋体" w:eastAsia="宋体" w:cs="宋体"/>
          <w:color w:val="auto"/>
          <w:kern w:val="0"/>
          <w:sz w:val="28"/>
          <w:szCs w:val="28"/>
          <w:highlight w:val="none"/>
        </w:rPr>
        <w:t>不涉及剧毒化学品；</w:t>
      </w:r>
    </w:p>
    <w:p w14:paraId="3EB06E97">
      <w:pPr>
        <w:keepNext w:val="0"/>
        <w:keepLines w:val="0"/>
        <w:pageBreakBefore w:val="0"/>
        <w:widowControl w:val="0"/>
        <w:numPr>
          <w:ilvl w:val="0"/>
          <w:numId w:val="16"/>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依据《高毒物品目录》（卫法监发〔2003〕142号）辨识，</w:t>
      </w:r>
      <w:r>
        <w:rPr>
          <w:rFonts w:hint="eastAsia" w:ascii="宋体" w:hAnsi="宋体" w:eastAsia="宋体" w:cs="宋体"/>
          <w:color w:val="auto"/>
          <w:sz w:val="28"/>
          <w:szCs w:val="28"/>
          <w:highlight w:val="none"/>
          <w:lang w:eastAsia="zh-CN"/>
        </w:rPr>
        <w:t>危化品仓库</w:t>
      </w:r>
      <w:r>
        <w:rPr>
          <w:rFonts w:hint="eastAsia" w:ascii="宋体" w:hAnsi="宋体" w:eastAsia="宋体" w:cs="宋体"/>
          <w:color w:val="auto"/>
          <w:kern w:val="0"/>
          <w:sz w:val="28"/>
          <w:szCs w:val="28"/>
          <w:highlight w:val="none"/>
        </w:rPr>
        <w:t>不涉及高毒物品；</w:t>
      </w:r>
    </w:p>
    <w:p w14:paraId="65FB8FFE">
      <w:pPr>
        <w:keepNext w:val="0"/>
        <w:keepLines w:val="0"/>
        <w:pageBreakBefore w:val="0"/>
        <w:widowControl w:val="0"/>
        <w:numPr>
          <w:ilvl w:val="0"/>
          <w:numId w:val="16"/>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依据《国家安全监管总局关于公布</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首批重点监管的危险化学品名录</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的通知》（安监总管三〔2011〕95号）《国家安全监管总局关于公布</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第二批重点监管危险化学品名录</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的通知》（安监总管三</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2013</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12号）辨识，</w:t>
      </w:r>
      <w:r>
        <w:rPr>
          <w:rFonts w:hint="eastAsia" w:ascii="宋体" w:hAnsi="宋体" w:eastAsia="宋体" w:cs="宋体"/>
          <w:color w:val="auto"/>
          <w:sz w:val="28"/>
          <w:szCs w:val="28"/>
          <w:highlight w:val="none"/>
        </w:rPr>
        <w:t>苯乙</w:t>
      </w:r>
      <w:r>
        <w:rPr>
          <w:rFonts w:hint="eastAsia" w:ascii="宋体" w:hAnsi="宋体" w:cs="宋体"/>
          <w:color w:val="auto"/>
          <w:sz w:val="28"/>
          <w:szCs w:val="28"/>
          <w:highlight w:val="none"/>
          <w:lang w:eastAsia="zh-CN"/>
        </w:rPr>
        <w:t>烯</w:t>
      </w:r>
      <w:r>
        <w:rPr>
          <w:rFonts w:hint="eastAsia" w:ascii="宋体" w:hAnsi="宋体" w:eastAsia="宋体" w:cs="宋体"/>
          <w:bCs/>
          <w:color w:val="auto"/>
          <w:sz w:val="28"/>
          <w:szCs w:val="28"/>
          <w:highlight w:val="none"/>
        </w:rPr>
        <w:t>、</w:t>
      </w:r>
      <w:r>
        <w:rPr>
          <w:rFonts w:hint="eastAsia" w:ascii="宋体" w:hAnsi="宋体" w:eastAsia="宋体" w:cs="宋体"/>
          <w:color w:val="auto"/>
          <w:sz w:val="28"/>
          <w:szCs w:val="28"/>
          <w:highlight w:val="none"/>
        </w:rPr>
        <w:t>过氧化甲乙酮</w:t>
      </w:r>
      <w:r>
        <w:rPr>
          <w:rFonts w:hint="eastAsia" w:ascii="宋体" w:hAnsi="宋体" w:eastAsia="宋体" w:cs="宋体"/>
          <w:bCs/>
          <w:color w:val="auto"/>
          <w:sz w:val="28"/>
          <w:szCs w:val="28"/>
          <w:highlight w:val="none"/>
        </w:rPr>
        <w:t>及</w:t>
      </w:r>
      <w:r>
        <w:rPr>
          <w:rFonts w:hint="eastAsia" w:ascii="宋体" w:hAnsi="宋体" w:eastAsia="宋体" w:cs="宋体"/>
          <w:color w:val="auto"/>
          <w:sz w:val="28"/>
          <w:szCs w:val="28"/>
          <w:highlight w:val="none"/>
        </w:rPr>
        <w:t>过氧化二苯甲酰</w:t>
      </w:r>
      <w:r>
        <w:rPr>
          <w:rFonts w:hint="eastAsia" w:ascii="宋体" w:hAnsi="宋体" w:eastAsia="宋体" w:cs="宋体"/>
          <w:bCs/>
          <w:color w:val="auto"/>
          <w:sz w:val="28"/>
          <w:szCs w:val="28"/>
          <w:highlight w:val="none"/>
        </w:rPr>
        <w:t>属于</w:t>
      </w:r>
      <w:r>
        <w:rPr>
          <w:rFonts w:hint="eastAsia" w:ascii="宋体" w:hAnsi="宋体" w:eastAsia="宋体" w:cs="宋体"/>
          <w:color w:val="auto"/>
          <w:kern w:val="0"/>
          <w:sz w:val="28"/>
          <w:szCs w:val="28"/>
          <w:highlight w:val="none"/>
        </w:rPr>
        <w:t>重点监管危险化学品；</w:t>
      </w:r>
    </w:p>
    <w:p w14:paraId="4F5331FD">
      <w:pPr>
        <w:keepNext w:val="0"/>
        <w:keepLines w:val="0"/>
        <w:pageBreakBefore w:val="0"/>
        <w:widowControl w:val="0"/>
        <w:numPr>
          <w:ilvl w:val="0"/>
          <w:numId w:val="16"/>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依据《易制毒化学品管理条例》（国务院令〔2005〕445号发布，国务院令〔2014〕653号、国务院令〔2016〕666号、国务院令〔2018〕703号修改，国办函〔2014〕40号、国办函〔2017〕120号、国办函〔2021〕58号增补修正）辨识，</w:t>
      </w:r>
      <w:r>
        <w:rPr>
          <w:rFonts w:hint="eastAsia" w:ascii="宋体" w:hAnsi="宋体" w:eastAsia="宋体" w:cs="宋体"/>
          <w:color w:val="auto"/>
          <w:sz w:val="28"/>
          <w:szCs w:val="28"/>
          <w:highlight w:val="none"/>
        </w:rPr>
        <w:t>盐酸</w:t>
      </w:r>
      <w:r>
        <w:rPr>
          <w:rFonts w:hint="eastAsia" w:ascii="宋体" w:hAnsi="宋体" w:eastAsia="宋体" w:cs="宋体"/>
          <w:bCs/>
          <w:color w:val="auto"/>
          <w:sz w:val="28"/>
          <w:szCs w:val="28"/>
          <w:highlight w:val="none"/>
          <w:lang w:eastAsia="zh-CN"/>
        </w:rPr>
        <w:t>、</w:t>
      </w:r>
      <w:r>
        <w:rPr>
          <w:rFonts w:hint="eastAsia" w:ascii="宋体" w:hAnsi="宋体" w:eastAsia="宋体" w:cs="宋体"/>
          <w:color w:val="auto"/>
          <w:sz w:val="28"/>
          <w:szCs w:val="28"/>
          <w:highlight w:val="none"/>
        </w:rPr>
        <w:t>丙酮</w:t>
      </w:r>
      <w:r>
        <w:rPr>
          <w:rFonts w:hint="eastAsia" w:ascii="宋体" w:hAnsi="宋体" w:eastAsia="宋体" w:cs="宋体"/>
          <w:bCs/>
          <w:color w:val="auto"/>
          <w:sz w:val="28"/>
          <w:szCs w:val="28"/>
          <w:highlight w:val="none"/>
        </w:rPr>
        <w:t>属于</w:t>
      </w:r>
      <w:r>
        <w:rPr>
          <w:rFonts w:hint="eastAsia" w:ascii="宋体" w:hAnsi="宋体" w:eastAsia="宋体" w:cs="宋体"/>
          <w:color w:val="auto"/>
          <w:kern w:val="0"/>
          <w:sz w:val="28"/>
          <w:szCs w:val="28"/>
          <w:highlight w:val="none"/>
        </w:rPr>
        <w:t>易制毒化学品；</w:t>
      </w:r>
    </w:p>
    <w:p w14:paraId="09663ED1">
      <w:pPr>
        <w:keepNext w:val="0"/>
        <w:keepLines w:val="0"/>
        <w:pageBreakBefore w:val="0"/>
        <w:widowControl w:val="0"/>
        <w:numPr>
          <w:ilvl w:val="0"/>
          <w:numId w:val="16"/>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依据《易制爆危险化学品名录》（2017年版）辨识，</w:t>
      </w:r>
      <w:r>
        <w:rPr>
          <w:rFonts w:hint="eastAsia" w:ascii="宋体" w:hAnsi="宋体" w:cs="宋体"/>
          <w:color w:val="auto"/>
          <w:kern w:val="0"/>
          <w:sz w:val="28"/>
          <w:szCs w:val="28"/>
          <w:highlight w:val="none"/>
        </w:rPr>
        <w:t>六亚甲基四胺</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双氧水</w:t>
      </w:r>
      <w:r>
        <w:rPr>
          <w:rFonts w:hint="eastAsia" w:ascii="宋体" w:hAnsi="宋体" w:eastAsia="宋体" w:cs="宋体"/>
          <w:bCs/>
          <w:color w:val="auto"/>
          <w:sz w:val="28"/>
          <w:szCs w:val="28"/>
          <w:highlight w:val="none"/>
          <w:lang w:eastAsia="zh-CN"/>
        </w:rPr>
        <w:t>、硝酸银</w:t>
      </w:r>
      <w:r>
        <w:rPr>
          <w:rFonts w:hint="eastAsia" w:ascii="宋体" w:hAnsi="宋体" w:eastAsia="宋体" w:cs="宋体"/>
          <w:color w:val="auto"/>
          <w:kern w:val="0"/>
          <w:sz w:val="28"/>
          <w:szCs w:val="28"/>
          <w:highlight w:val="none"/>
        </w:rPr>
        <w:t>属于易制爆危险化学品；</w:t>
      </w:r>
    </w:p>
    <w:p w14:paraId="57EE7B5B">
      <w:pPr>
        <w:keepNext w:val="0"/>
        <w:keepLines w:val="0"/>
        <w:pageBreakBefore w:val="0"/>
        <w:widowControl w:val="0"/>
        <w:numPr>
          <w:ilvl w:val="0"/>
          <w:numId w:val="16"/>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依据《各类监控化学品名录》工业和信息化部令第52号辨识，不涉及监控化学品</w:t>
      </w:r>
      <w:r>
        <w:rPr>
          <w:rFonts w:hint="eastAsia" w:ascii="宋体" w:hAnsi="宋体" w:cs="宋体"/>
          <w:color w:val="auto"/>
          <w:kern w:val="0"/>
          <w:sz w:val="28"/>
          <w:szCs w:val="28"/>
          <w:highlight w:val="none"/>
          <w:lang w:eastAsia="zh-CN"/>
        </w:rPr>
        <w:t>；</w:t>
      </w:r>
    </w:p>
    <w:p w14:paraId="6329EB6F">
      <w:pPr>
        <w:numPr>
          <w:ilvl w:val="0"/>
          <w:numId w:val="16"/>
        </w:numPr>
        <w:adjustRightInd w:val="0"/>
        <w:snapToGrid w:val="0"/>
        <w:spacing w:beforeLines="0" w:afterLines="0" w:line="360" w:lineRule="auto"/>
        <w:ind w:left="0" w:leftChars="0" w:firstLine="560" w:firstLineChars="200"/>
        <w:jc w:val="left"/>
        <w:rPr>
          <w:rFonts w:hint="eastAsia" w:ascii="宋体" w:hAnsi="宋体" w:cs="宋体"/>
          <w:color w:val="auto"/>
          <w:kern w:val="0"/>
          <w:sz w:val="28"/>
          <w:szCs w:val="28"/>
          <w:highlight w:val="none"/>
          <w:lang w:eastAsia="zh-CN"/>
        </w:rPr>
      </w:pPr>
      <w:r>
        <w:rPr>
          <w:rFonts w:hint="eastAsia" w:ascii="宋体" w:hAnsi="宋体" w:cs="宋体"/>
          <w:color w:val="auto"/>
          <w:kern w:val="0"/>
          <w:sz w:val="28"/>
          <w:szCs w:val="28"/>
          <w:highlight w:val="none"/>
        </w:rPr>
        <w:t>依据《特别管控危险化学品目录（第一版）》（应急管理部、工业和信息化部、公安部、交通运输部公告〔2020〕3号）辨识，不涉及特别管控危险化学品</w:t>
      </w:r>
      <w:r>
        <w:rPr>
          <w:rFonts w:hint="eastAsia" w:ascii="宋体" w:hAnsi="宋体" w:cs="宋体"/>
          <w:color w:val="auto"/>
          <w:kern w:val="0"/>
          <w:sz w:val="28"/>
          <w:szCs w:val="28"/>
          <w:highlight w:val="none"/>
          <w:lang w:eastAsia="zh-CN"/>
        </w:rPr>
        <w:t>。</w:t>
      </w:r>
    </w:p>
    <w:p w14:paraId="2C65601C">
      <w:pPr>
        <w:adjustRightInd w:val="0"/>
        <w:snapToGrid w:val="0"/>
        <w:spacing w:beforeLines="0" w:afterLines="0" w:line="360" w:lineRule="auto"/>
        <w:ind w:firstLine="560" w:firstLineChars="200"/>
        <w:jc w:val="both"/>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危险化学品辨识结果见下表。</w:t>
      </w:r>
    </w:p>
    <w:p w14:paraId="45204678">
      <w:pPr>
        <w:numPr>
          <w:ilvl w:val="-1"/>
          <w:numId w:val="0"/>
        </w:numPr>
        <w:adjustRightInd w:val="0"/>
        <w:snapToGrid w:val="0"/>
        <w:spacing w:beforeLines="0" w:afterLines="0" w:line="360" w:lineRule="auto"/>
        <w:ind w:left="0" w:leftChars="0" w:firstLine="0" w:firstLineChars="0"/>
        <w:jc w:val="left"/>
        <w:rPr>
          <w:rFonts w:hint="eastAsia" w:ascii="宋体" w:hAnsi="宋体" w:eastAsia="宋体" w:cs="宋体"/>
          <w:b w:val="0"/>
          <w:bCs w:val="0"/>
          <w:color w:val="auto"/>
          <w:kern w:val="0"/>
          <w:sz w:val="28"/>
          <w:szCs w:val="28"/>
          <w:highlight w:val="none"/>
          <w:lang w:eastAsia="zh-CN"/>
        </w:rPr>
        <w:sectPr>
          <w:headerReference r:id="rId9" w:type="default"/>
          <w:footerReference r:id="rId10" w:type="default"/>
          <w:pgSz w:w="11906" w:h="16838"/>
          <w:pgMar w:top="1418" w:right="1134" w:bottom="1134" w:left="1588" w:header="794" w:footer="794" w:gutter="0"/>
          <w:pgBorders>
            <w:top w:val="none" w:sz="0" w:space="0"/>
            <w:left w:val="none" w:sz="0" w:space="0"/>
            <w:bottom w:val="none" w:sz="0" w:space="0"/>
            <w:right w:val="none" w:sz="0" w:space="0"/>
          </w:pgBorders>
          <w:pgNumType w:start="1"/>
          <w:cols w:space="425" w:num="1"/>
          <w:docGrid w:linePitch="312" w:charSpace="0"/>
        </w:sectPr>
      </w:pPr>
    </w:p>
    <w:p w14:paraId="23545E4C">
      <w:pPr>
        <w:adjustRightInd w:val="0"/>
        <w:snapToGrid w:val="0"/>
        <w:spacing w:beforeLines="0" w:afterLines="0" w:line="360" w:lineRule="auto"/>
        <w:ind w:firstLine="0"/>
        <w:jc w:val="center"/>
        <w:rPr>
          <w:rFonts w:ascii="黑体" w:hAnsi="黑体" w:eastAsia="黑体" w:cs="Times New Roman"/>
          <w:b/>
          <w:bCs/>
          <w:color w:val="auto"/>
          <w:sz w:val="24"/>
          <w:szCs w:val="24"/>
          <w:highlight w:val="none"/>
        </w:rPr>
      </w:pPr>
      <w:r>
        <w:rPr>
          <w:rFonts w:hint="eastAsia" w:ascii="黑体" w:hAnsi="黑体" w:eastAsia="黑体" w:cs="Times New Roman"/>
          <w:b/>
          <w:bCs/>
          <w:color w:val="auto"/>
          <w:sz w:val="24"/>
          <w:szCs w:val="24"/>
          <w:highlight w:val="none"/>
          <w:lang w:eastAsia="zh-CN"/>
        </w:rPr>
        <w:t>表</w:t>
      </w:r>
      <w:r>
        <w:rPr>
          <w:rFonts w:hint="eastAsia" w:ascii="黑体" w:hAnsi="黑体" w:eastAsia="黑体" w:cs="Times New Roman"/>
          <w:b/>
          <w:bCs/>
          <w:color w:val="auto"/>
          <w:sz w:val="24"/>
          <w:szCs w:val="24"/>
          <w:highlight w:val="none"/>
          <w:lang w:val="en-US" w:eastAsia="zh-CN"/>
        </w:rPr>
        <w:t xml:space="preserve">3.2-1 </w:t>
      </w:r>
      <w:r>
        <w:rPr>
          <w:rFonts w:hint="eastAsia" w:ascii="黑体" w:hAnsi="黑体" w:eastAsia="黑体" w:cs="Times New Roman"/>
          <w:b/>
          <w:bCs/>
          <w:color w:val="auto"/>
          <w:sz w:val="24"/>
          <w:szCs w:val="24"/>
          <w:highlight w:val="none"/>
        </w:rPr>
        <w:t>危险化学品辨识结果一览表</w:t>
      </w:r>
    </w:p>
    <w:tbl>
      <w:tblPr>
        <w:tblStyle w:val="6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1906"/>
        <w:gridCol w:w="1456"/>
        <w:gridCol w:w="1495"/>
        <w:gridCol w:w="1495"/>
        <w:gridCol w:w="1495"/>
        <w:gridCol w:w="1495"/>
        <w:gridCol w:w="1495"/>
        <w:gridCol w:w="1495"/>
        <w:gridCol w:w="1500"/>
      </w:tblGrid>
      <w:tr w14:paraId="3B9D0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228" w:type="pct"/>
            <w:shd w:val="clear" w:color="auto" w:fill="auto"/>
            <w:vAlign w:val="center"/>
          </w:tcPr>
          <w:p w14:paraId="730826AD">
            <w:pPr>
              <w:jc w:val="center"/>
              <w:rPr>
                <w:rFonts w:hint="eastAsia" w:ascii="宋体" w:hAnsi="宋体" w:cs="宋体"/>
                <w:b/>
                <w:bCs/>
                <w:color w:val="auto"/>
                <w:szCs w:val="21"/>
                <w:highlight w:val="none"/>
              </w:rPr>
            </w:pPr>
            <w:bookmarkStart w:id="923" w:name="OLE_LINK9"/>
            <w:bookmarkStart w:id="924" w:name="OLE_LINK10"/>
            <w:r>
              <w:rPr>
                <w:rFonts w:hint="eastAsia" w:ascii="宋体" w:hAnsi="宋体" w:cs="宋体"/>
                <w:b/>
                <w:bCs/>
                <w:color w:val="auto"/>
                <w:szCs w:val="21"/>
                <w:highlight w:val="none"/>
              </w:rPr>
              <w:t>序号</w:t>
            </w:r>
          </w:p>
        </w:tc>
        <w:tc>
          <w:tcPr>
            <w:tcW w:w="657" w:type="pct"/>
            <w:shd w:val="clear" w:color="auto" w:fill="auto"/>
            <w:vAlign w:val="center"/>
          </w:tcPr>
          <w:p w14:paraId="5AEED96D">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名称</w:t>
            </w:r>
          </w:p>
        </w:tc>
        <w:tc>
          <w:tcPr>
            <w:tcW w:w="502" w:type="pct"/>
            <w:shd w:val="clear" w:color="auto" w:fill="auto"/>
            <w:vAlign w:val="center"/>
          </w:tcPr>
          <w:p w14:paraId="750F303E">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危化品序号</w:t>
            </w:r>
          </w:p>
        </w:tc>
        <w:tc>
          <w:tcPr>
            <w:tcW w:w="515" w:type="pct"/>
            <w:shd w:val="clear" w:color="auto" w:fill="auto"/>
            <w:vAlign w:val="center"/>
          </w:tcPr>
          <w:p w14:paraId="3DEA9699">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剧毒化学品</w:t>
            </w:r>
          </w:p>
        </w:tc>
        <w:tc>
          <w:tcPr>
            <w:tcW w:w="515" w:type="pct"/>
            <w:vAlign w:val="center"/>
          </w:tcPr>
          <w:p w14:paraId="746B75F7">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高毒物品</w:t>
            </w:r>
          </w:p>
        </w:tc>
        <w:tc>
          <w:tcPr>
            <w:tcW w:w="515" w:type="pct"/>
            <w:shd w:val="clear" w:color="auto" w:fill="auto"/>
            <w:vAlign w:val="center"/>
          </w:tcPr>
          <w:p w14:paraId="0468B1E9">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重点监管危化品</w:t>
            </w:r>
          </w:p>
        </w:tc>
        <w:tc>
          <w:tcPr>
            <w:tcW w:w="515" w:type="pct"/>
            <w:shd w:val="clear" w:color="auto" w:fill="auto"/>
            <w:vAlign w:val="center"/>
          </w:tcPr>
          <w:p w14:paraId="02928161">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易制毒化学品</w:t>
            </w:r>
          </w:p>
        </w:tc>
        <w:tc>
          <w:tcPr>
            <w:tcW w:w="515" w:type="pct"/>
            <w:vAlign w:val="center"/>
          </w:tcPr>
          <w:p w14:paraId="72842BC1">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易制爆化学品</w:t>
            </w:r>
          </w:p>
        </w:tc>
        <w:tc>
          <w:tcPr>
            <w:tcW w:w="515" w:type="pct"/>
            <w:vAlign w:val="center"/>
          </w:tcPr>
          <w:p w14:paraId="78E2D4FE">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特别管控危险化学品</w:t>
            </w:r>
          </w:p>
        </w:tc>
        <w:tc>
          <w:tcPr>
            <w:tcW w:w="517" w:type="pct"/>
            <w:shd w:val="clear" w:color="auto" w:fill="auto"/>
            <w:vAlign w:val="center"/>
          </w:tcPr>
          <w:p w14:paraId="5E8B472F">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监控化学品</w:t>
            </w:r>
          </w:p>
        </w:tc>
      </w:tr>
      <w:tr w14:paraId="74717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46A982BB">
            <w:pPr>
              <w:numPr>
                <w:ilvl w:val="0"/>
                <w:numId w:val="17"/>
              </w:numPr>
              <w:adjustRightInd w:val="0"/>
              <w:snapToGrid w:val="0"/>
              <w:ind w:left="425" w:hanging="425"/>
              <w:jc w:val="center"/>
              <w:rPr>
                <w:rFonts w:hint="eastAsia" w:ascii="宋体" w:hAnsi="宋体" w:cs="宋体"/>
                <w:color w:val="auto"/>
                <w:highlight w:val="none"/>
              </w:rPr>
            </w:pPr>
          </w:p>
        </w:tc>
        <w:tc>
          <w:tcPr>
            <w:tcW w:w="657" w:type="pct"/>
            <w:shd w:val="clear" w:color="auto" w:fill="auto"/>
            <w:vAlign w:val="center"/>
          </w:tcPr>
          <w:p w14:paraId="4672A75C">
            <w:pPr>
              <w:adjustRightInd/>
              <w:snapToGrid/>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盐酸</w:t>
            </w:r>
          </w:p>
        </w:tc>
        <w:tc>
          <w:tcPr>
            <w:tcW w:w="502" w:type="pct"/>
            <w:shd w:val="clear" w:color="auto" w:fill="auto"/>
            <w:vAlign w:val="center"/>
          </w:tcPr>
          <w:p w14:paraId="41574763">
            <w:pPr>
              <w:adjustRightInd/>
              <w:snapToGrid/>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2507</w:t>
            </w:r>
          </w:p>
        </w:tc>
        <w:tc>
          <w:tcPr>
            <w:tcW w:w="515" w:type="pct"/>
            <w:shd w:val="clear" w:color="auto" w:fill="auto"/>
            <w:vAlign w:val="center"/>
          </w:tcPr>
          <w:p w14:paraId="6A503908">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3CBAA48F">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shd w:val="clear" w:color="auto" w:fill="auto"/>
            <w:vAlign w:val="center"/>
          </w:tcPr>
          <w:p w14:paraId="027A976E">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shd w:val="clear" w:color="auto" w:fill="auto"/>
            <w:vAlign w:val="center"/>
          </w:tcPr>
          <w:p w14:paraId="049FA0DB">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第三类</w:t>
            </w:r>
          </w:p>
        </w:tc>
        <w:tc>
          <w:tcPr>
            <w:tcW w:w="515" w:type="pct"/>
            <w:vAlign w:val="center"/>
          </w:tcPr>
          <w:p w14:paraId="281A8D93">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03199DC7">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7" w:type="pct"/>
            <w:shd w:val="clear" w:color="auto" w:fill="auto"/>
            <w:vAlign w:val="center"/>
          </w:tcPr>
          <w:p w14:paraId="031386DF">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r>
      <w:tr w14:paraId="5D0E1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17789BCC">
            <w:pPr>
              <w:numPr>
                <w:ilvl w:val="0"/>
                <w:numId w:val="17"/>
              </w:numPr>
              <w:adjustRightInd w:val="0"/>
              <w:snapToGrid w:val="0"/>
              <w:ind w:left="425" w:hanging="425"/>
              <w:jc w:val="center"/>
              <w:rPr>
                <w:rFonts w:hint="eastAsia" w:ascii="宋体" w:hAnsi="宋体" w:cs="宋体"/>
                <w:color w:val="auto"/>
                <w:highlight w:val="none"/>
              </w:rPr>
            </w:pPr>
          </w:p>
        </w:tc>
        <w:tc>
          <w:tcPr>
            <w:tcW w:w="657" w:type="pct"/>
            <w:shd w:val="clear" w:color="auto" w:fill="auto"/>
            <w:vAlign w:val="center"/>
          </w:tcPr>
          <w:p w14:paraId="4CFF1300">
            <w:pPr>
              <w:adjustRightInd/>
              <w:snapToGrid/>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过氧化二苯甲酰</w:t>
            </w:r>
          </w:p>
        </w:tc>
        <w:tc>
          <w:tcPr>
            <w:tcW w:w="502" w:type="pct"/>
            <w:shd w:val="clear" w:color="auto" w:fill="auto"/>
            <w:vAlign w:val="center"/>
          </w:tcPr>
          <w:p w14:paraId="1349A58E">
            <w:pPr>
              <w:adjustRightInd/>
              <w:snapToGrid/>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874</w:t>
            </w:r>
          </w:p>
        </w:tc>
        <w:tc>
          <w:tcPr>
            <w:tcW w:w="515" w:type="pct"/>
            <w:shd w:val="clear" w:color="auto" w:fill="auto"/>
            <w:vAlign w:val="center"/>
          </w:tcPr>
          <w:p w14:paraId="5F47211B">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0E75DE51">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shd w:val="clear" w:color="auto" w:fill="auto"/>
            <w:vAlign w:val="center"/>
          </w:tcPr>
          <w:p w14:paraId="59EDAAF5">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第二批</w:t>
            </w:r>
          </w:p>
        </w:tc>
        <w:tc>
          <w:tcPr>
            <w:tcW w:w="515" w:type="pct"/>
            <w:shd w:val="clear" w:color="auto" w:fill="auto"/>
            <w:vAlign w:val="center"/>
          </w:tcPr>
          <w:p w14:paraId="28DCF820">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40346D3B">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4E3FC2C1">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7" w:type="pct"/>
            <w:shd w:val="clear" w:color="auto" w:fill="auto"/>
            <w:vAlign w:val="center"/>
          </w:tcPr>
          <w:p w14:paraId="3188537D">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r>
      <w:tr w14:paraId="78021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491C0F86">
            <w:pPr>
              <w:numPr>
                <w:ilvl w:val="0"/>
                <w:numId w:val="17"/>
              </w:numPr>
              <w:adjustRightInd w:val="0"/>
              <w:snapToGrid w:val="0"/>
              <w:ind w:left="425" w:hanging="425"/>
              <w:jc w:val="center"/>
              <w:rPr>
                <w:rFonts w:hint="eastAsia" w:ascii="宋体" w:hAnsi="宋体" w:cs="宋体"/>
                <w:color w:val="auto"/>
                <w:highlight w:val="none"/>
              </w:rPr>
            </w:pPr>
          </w:p>
        </w:tc>
        <w:tc>
          <w:tcPr>
            <w:tcW w:w="657" w:type="pct"/>
            <w:shd w:val="clear" w:color="auto" w:fill="auto"/>
            <w:vAlign w:val="center"/>
          </w:tcPr>
          <w:p w14:paraId="405539D8">
            <w:pPr>
              <w:adjustRightInd/>
              <w:snapToGrid/>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过氧化甲乙酮</w:t>
            </w:r>
          </w:p>
        </w:tc>
        <w:tc>
          <w:tcPr>
            <w:tcW w:w="502" w:type="pct"/>
            <w:shd w:val="clear" w:color="auto" w:fill="auto"/>
            <w:vAlign w:val="center"/>
          </w:tcPr>
          <w:p w14:paraId="542E3523">
            <w:pPr>
              <w:adjustRightInd/>
              <w:snapToGrid/>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891</w:t>
            </w:r>
          </w:p>
        </w:tc>
        <w:tc>
          <w:tcPr>
            <w:tcW w:w="515" w:type="pct"/>
            <w:shd w:val="clear" w:color="auto" w:fill="auto"/>
            <w:vAlign w:val="center"/>
          </w:tcPr>
          <w:p w14:paraId="32B1FC96">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1DC71CF9">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shd w:val="clear" w:color="auto" w:fill="auto"/>
            <w:vAlign w:val="center"/>
          </w:tcPr>
          <w:p w14:paraId="4B36E383">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第二批</w:t>
            </w:r>
          </w:p>
        </w:tc>
        <w:tc>
          <w:tcPr>
            <w:tcW w:w="515" w:type="pct"/>
            <w:shd w:val="clear" w:color="auto" w:fill="auto"/>
            <w:vAlign w:val="center"/>
          </w:tcPr>
          <w:p w14:paraId="7B1CFAF6">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66C6A69E">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45AB2068">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7" w:type="pct"/>
            <w:shd w:val="clear" w:color="auto" w:fill="auto"/>
            <w:vAlign w:val="center"/>
          </w:tcPr>
          <w:p w14:paraId="5C205B0B">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r>
      <w:tr w14:paraId="14809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02F40C33">
            <w:pPr>
              <w:numPr>
                <w:ilvl w:val="0"/>
                <w:numId w:val="17"/>
              </w:numPr>
              <w:adjustRightInd w:val="0"/>
              <w:snapToGrid w:val="0"/>
              <w:ind w:left="425" w:hanging="425"/>
              <w:jc w:val="center"/>
              <w:rPr>
                <w:rFonts w:hint="eastAsia" w:ascii="宋体" w:hAnsi="宋体" w:cs="宋体"/>
                <w:color w:val="auto"/>
                <w:highlight w:val="none"/>
              </w:rPr>
            </w:pPr>
          </w:p>
        </w:tc>
        <w:tc>
          <w:tcPr>
            <w:tcW w:w="657" w:type="pct"/>
            <w:shd w:val="clear" w:color="auto" w:fill="auto"/>
            <w:vAlign w:val="center"/>
          </w:tcPr>
          <w:p w14:paraId="52860730">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双氧水</w:t>
            </w:r>
          </w:p>
        </w:tc>
        <w:tc>
          <w:tcPr>
            <w:tcW w:w="502" w:type="pct"/>
            <w:shd w:val="clear" w:color="auto" w:fill="auto"/>
            <w:vAlign w:val="center"/>
          </w:tcPr>
          <w:p w14:paraId="490B2DD3">
            <w:pPr>
              <w:adjustRightInd/>
              <w:snapToGrid/>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903</w:t>
            </w:r>
          </w:p>
        </w:tc>
        <w:tc>
          <w:tcPr>
            <w:tcW w:w="515" w:type="pct"/>
            <w:shd w:val="clear" w:color="auto" w:fill="auto"/>
            <w:vAlign w:val="center"/>
          </w:tcPr>
          <w:p w14:paraId="7EEABF68">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1573963C">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shd w:val="clear" w:color="auto" w:fill="auto"/>
            <w:vAlign w:val="center"/>
          </w:tcPr>
          <w:p w14:paraId="50936FF3">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shd w:val="clear" w:color="auto" w:fill="auto"/>
            <w:vAlign w:val="center"/>
          </w:tcPr>
          <w:p w14:paraId="4F70BA48">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0B09358C">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3D9752A7">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7" w:type="pct"/>
            <w:shd w:val="clear" w:color="auto" w:fill="auto"/>
            <w:vAlign w:val="center"/>
          </w:tcPr>
          <w:p w14:paraId="1AFFB801">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r>
      <w:tr w14:paraId="5090B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6DDFAE9A">
            <w:pPr>
              <w:numPr>
                <w:ilvl w:val="0"/>
                <w:numId w:val="17"/>
              </w:numPr>
              <w:adjustRightInd w:val="0"/>
              <w:snapToGrid w:val="0"/>
              <w:ind w:left="425" w:hanging="425"/>
              <w:jc w:val="center"/>
              <w:rPr>
                <w:rFonts w:hint="eastAsia" w:ascii="宋体" w:hAnsi="宋体" w:cs="宋体"/>
                <w:color w:val="auto"/>
                <w:highlight w:val="none"/>
              </w:rPr>
            </w:pPr>
          </w:p>
        </w:tc>
        <w:tc>
          <w:tcPr>
            <w:tcW w:w="657" w:type="pct"/>
            <w:shd w:val="clear" w:color="auto" w:fill="auto"/>
            <w:vAlign w:val="center"/>
          </w:tcPr>
          <w:p w14:paraId="511B1EC4">
            <w:pPr>
              <w:jc w:val="center"/>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硝酸银</w:t>
            </w:r>
          </w:p>
        </w:tc>
        <w:tc>
          <w:tcPr>
            <w:tcW w:w="502" w:type="pct"/>
            <w:shd w:val="clear" w:color="auto" w:fill="auto"/>
            <w:vAlign w:val="center"/>
          </w:tcPr>
          <w:p w14:paraId="6238A1DE">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2340</w:t>
            </w:r>
          </w:p>
        </w:tc>
        <w:tc>
          <w:tcPr>
            <w:tcW w:w="515" w:type="pct"/>
            <w:shd w:val="clear" w:color="auto" w:fill="auto"/>
            <w:vAlign w:val="center"/>
          </w:tcPr>
          <w:p w14:paraId="2AD5596A">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49807802">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491D933C">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7C6D382C">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63C2A47C">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07D70EFC">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7" w:type="pct"/>
            <w:shd w:val="clear" w:color="auto" w:fill="auto"/>
            <w:vAlign w:val="center"/>
          </w:tcPr>
          <w:p w14:paraId="6E2B4919">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r>
      <w:tr w14:paraId="6D2BD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136DDDB0">
            <w:pPr>
              <w:numPr>
                <w:ilvl w:val="0"/>
                <w:numId w:val="17"/>
              </w:numPr>
              <w:adjustRightInd w:val="0"/>
              <w:snapToGrid w:val="0"/>
              <w:ind w:left="425" w:hanging="425"/>
              <w:jc w:val="center"/>
              <w:rPr>
                <w:rFonts w:hint="eastAsia" w:ascii="宋体" w:hAnsi="宋体" w:cs="宋体"/>
                <w:color w:val="auto"/>
                <w:highlight w:val="none"/>
              </w:rPr>
            </w:pPr>
          </w:p>
        </w:tc>
        <w:tc>
          <w:tcPr>
            <w:tcW w:w="657" w:type="pct"/>
            <w:shd w:val="clear" w:color="auto" w:fill="auto"/>
            <w:vAlign w:val="center"/>
          </w:tcPr>
          <w:p w14:paraId="6E88B51D">
            <w:pPr>
              <w:adjustRightInd/>
              <w:snapToGrid/>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丙酮</w:t>
            </w:r>
          </w:p>
        </w:tc>
        <w:tc>
          <w:tcPr>
            <w:tcW w:w="502" w:type="pct"/>
            <w:shd w:val="clear" w:color="auto" w:fill="auto"/>
            <w:vAlign w:val="center"/>
          </w:tcPr>
          <w:p w14:paraId="4E5121CE">
            <w:pPr>
              <w:adjustRightInd/>
              <w:snapToGrid/>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137</w:t>
            </w:r>
          </w:p>
        </w:tc>
        <w:tc>
          <w:tcPr>
            <w:tcW w:w="515" w:type="pct"/>
            <w:shd w:val="clear" w:color="auto" w:fill="auto"/>
            <w:vAlign w:val="center"/>
          </w:tcPr>
          <w:p w14:paraId="39B33D9A">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220682D7">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shd w:val="clear" w:color="auto" w:fill="auto"/>
            <w:vAlign w:val="center"/>
          </w:tcPr>
          <w:p w14:paraId="2B649025">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shd w:val="clear" w:color="auto" w:fill="auto"/>
            <w:vAlign w:val="center"/>
          </w:tcPr>
          <w:p w14:paraId="676923A7">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第三类</w:t>
            </w:r>
          </w:p>
        </w:tc>
        <w:tc>
          <w:tcPr>
            <w:tcW w:w="515" w:type="pct"/>
            <w:vAlign w:val="center"/>
          </w:tcPr>
          <w:p w14:paraId="3A0B954D">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5" w:type="pct"/>
            <w:vAlign w:val="center"/>
          </w:tcPr>
          <w:p w14:paraId="789654E4">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c>
          <w:tcPr>
            <w:tcW w:w="517" w:type="pct"/>
            <w:shd w:val="clear" w:color="auto" w:fill="auto"/>
            <w:vAlign w:val="center"/>
          </w:tcPr>
          <w:p w14:paraId="1A7CEB3A">
            <w:pPr>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w:t>
            </w:r>
          </w:p>
        </w:tc>
      </w:tr>
      <w:bookmarkEnd w:id="923"/>
      <w:bookmarkEnd w:id="924"/>
      <w:tr w14:paraId="5A94E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12BD0F48">
            <w:pPr>
              <w:numPr>
                <w:ilvl w:val="0"/>
                <w:numId w:val="17"/>
              </w:numPr>
              <w:adjustRightInd w:val="0"/>
              <w:snapToGrid w:val="0"/>
              <w:spacing w:line="240" w:lineRule="auto"/>
              <w:ind w:left="425" w:hanging="425"/>
              <w:jc w:val="center"/>
              <w:rPr>
                <w:rFonts w:hint="eastAsia" w:ascii="宋体" w:hAnsi="宋体" w:cs="宋体"/>
                <w:color w:val="auto"/>
                <w:highlight w:val="none"/>
              </w:rPr>
            </w:pPr>
          </w:p>
        </w:tc>
        <w:tc>
          <w:tcPr>
            <w:tcW w:w="657" w:type="pct"/>
            <w:shd w:val="clear" w:color="auto" w:fill="auto"/>
            <w:vAlign w:val="center"/>
          </w:tcPr>
          <w:p w14:paraId="409C91B8">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苯乙烯</w:t>
            </w:r>
          </w:p>
        </w:tc>
        <w:tc>
          <w:tcPr>
            <w:tcW w:w="502" w:type="pct"/>
            <w:shd w:val="clear" w:color="auto" w:fill="auto"/>
            <w:vAlign w:val="center"/>
          </w:tcPr>
          <w:p w14:paraId="46D9029A">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96</w:t>
            </w:r>
          </w:p>
        </w:tc>
        <w:tc>
          <w:tcPr>
            <w:tcW w:w="515" w:type="pct"/>
            <w:shd w:val="clear" w:color="auto" w:fill="auto"/>
            <w:vAlign w:val="center"/>
          </w:tcPr>
          <w:p w14:paraId="74A3FC3F">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45491C81">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7FFC1160">
            <w:pPr>
              <w:jc w:val="center"/>
              <w:rPr>
                <w:rFonts w:hint="eastAsia" w:ascii="宋体" w:hAnsi="宋体" w:cs="宋体"/>
                <w:color w:val="auto"/>
                <w:szCs w:val="21"/>
                <w:highlight w:val="none"/>
              </w:rPr>
            </w:pPr>
            <w:r>
              <w:rPr>
                <w:rFonts w:hint="eastAsia" w:ascii="宋体" w:hAnsi="宋体" w:cs="宋体"/>
                <w:color w:val="auto"/>
                <w:szCs w:val="21"/>
                <w:highlight w:val="none"/>
              </w:rPr>
              <w:t>第一批</w:t>
            </w:r>
          </w:p>
        </w:tc>
        <w:tc>
          <w:tcPr>
            <w:tcW w:w="515" w:type="pct"/>
            <w:shd w:val="clear" w:color="auto" w:fill="auto"/>
            <w:vAlign w:val="center"/>
          </w:tcPr>
          <w:p w14:paraId="4429DBD5">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0CE06535">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514469B4">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7" w:type="pct"/>
            <w:shd w:val="clear" w:color="auto" w:fill="auto"/>
            <w:vAlign w:val="center"/>
          </w:tcPr>
          <w:p w14:paraId="46DEA1D5">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r>
      <w:tr w14:paraId="630F6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1BBD9589">
            <w:pPr>
              <w:numPr>
                <w:ilvl w:val="0"/>
                <w:numId w:val="17"/>
              </w:numPr>
              <w:adjustRightInd w:val="0"/>
              <w:snapToGrid w:val="0"/>
              <w:spacing w:line="240" w:lineRule="auto"/>
              <w:ind w:left="425" w:hanging="425"/>
              <w:jc w:val="center"/>
              <w:rPr>
                <w:rFonts w:hint="eastAsia" w:ascii="宋体" w:hAnsi="宋体" w:cs="宋体"/>
                <w:color w:val="auto"/>
                <w:highlight w:val="none"/>
              </w:rPr>
            </w:pPr>
          </w:p>
        </w:tc>
        <w:tc>
          <w:tcPr>
            <w:tcW w:w="657" w:type="pct"/>
            <w:shd w:val="clear" w:color="auto" w:fill="auto"/>
            <w:vAlign w:val="center"/>
          </w:tcPr>
          <w:p w14:paraId="227AD5F6">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钴盐</w:t>
            </w:r>
          </w:p>
        </w:tc>
        <w:tc>
          <w:tcPr>
            <w:tcW w:w="502" w:type="pct"/>
            <w:shd w:val="clear" w:color="auto" w:fill="auto"/>
            <w:vAlign w:val="center"/>
          </w:tcPr>
          <w:p w14:paraId="7171C011">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2761</w:t>
            </w:r>
          </w:p>
        </w:tc>
        <w:tc>
          <w:tcPr>
            <w:tcW w:w="515" w:type="pct"/>
            <w:shd w:val="clear" w:color="auto" w:fill="auto"/>
            <w:vAlign w:val="center"/>
          </w:tcPr>
          <w:p w14:paraId="751F8B5B">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2A9F2164">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61DEC0E5">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5764A4F0">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3DC26A41">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2A919054">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7" w:type="pct"/>
            <w:shd w:val="clear" w:color="auto" w:fill="auto"/>
            <w:vAlign w:val="center"/>
          </w:tcPr>
          <w:p w14:paraId="2BAF309E">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r>
      <w:tr w14:paraId="35A7A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4B617D58">
            <w:pPr>
              <w:numPr>
                <w:ilvl w:val="0"/>
                <w:numId w:val="17"/>
              </w:numPr>
              <w:adjustRightInd w:val="0"/>
              <w:snapToGrid w:val="0"/>
              <w:spacing w:line="240" w:lineRule="auto"/>
              <w:ind w:left="425" w:hanging="425"/>
              <w:jc w:val="center"/>
              <w:rPr>
                <w:rFonts w:hint="eastAsia" w:ascii="宋体" w:hAnsi="宋体" w:cs="宋体"/>
                <w:color w:val="auto"/>
                <w:highlight w:val="none"/>
              </w:rPr>
            </w:pPr>
          </w:p>
        </w:tc>
        <w:tc>
          <w:tcPr>
            <w:tcW w:w="657" w:type="pct"/>
            <w:shd w:val="clear" w:color="auto" w:fill="auto"/>
            <w:vAlign w:val="center"/>
          </w:tcPr>
          <w:p w14:paraId="1D4C3EF7">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油漆</w:t>
            </w:r>
          </w:p>
        </w:tc>
        <w:tc>
          <w:tcPr>
            <w:tcW w:w="502" w:type="pct"/>
            <w:shd w:val="clear" w:color="auto" w:fill="auto"/>
            <w:vAlign w:val="center"/>
          </w:tcPr>
          <w:p w14:paraId="3AB99D0A">
            <w:pPr>
              <w:jc w:val="center"/>
              <w:rPr>
                <w:rFonts w:hint="eastAsia" w:ascii="宋体" w:hAnsi="宋体" w:cs="宋体"/>
                <w:color w:val="auto"/>
                <w:szCs w:val="21"/>
                <w:highlight w:val="none"/>
              </w:rPr>
            </w:pPr>
            <w:r>
              <w:rPr>
                <w:rFonts w:hint="eastAsia" w:ascii="宋体" w:hAnsi="宋体" w:cs="宋体"/>
                <w:color w:val="auto"/>
                <w:szCs w:val="21"/>
                <w:highlight w:val="none"/>
              </w:rPr>
              <w:t>2828</w:t>
            </w:r>
          </w:p>
        </w:tc>
        <w:tc>
          <w:tcPr>
            <w:tcW w:w="515" w:type="pct"/>
            <w:shd w:val="clear" w:color="auto" w:fill="auto"/>
            <w:vAlign w:val="center"/>
          </w:tcPr>
          <w:p w14:paraId="1DC26CAA">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1CB8FA17">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7490DE94">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5D4813DD">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17AD421B">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011AC989">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7" w:type="pct"/>
            <w:shd w:val="clear" w:color="auto" w:fill="auto"/>
            <w:vAlign w:val="center"/>
          </w:tcPr>
          <w:p w14:paraId="29E35DE0">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r>
      <w:tr w14:paraId="70157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6CE496EF">
            <w:pPr>
              <w:numPr>
                <w:ilvl w:val="0"/>
                <w:numId w:val="17"/>
              </w:numPr>
              <w:adjustRightInd w:val="0"/>
              <w:snapToGrid w:val="0"/>
              <w:spacing w:line="240" w:lineRule="auto"/>
              <w:ind w:left="425" w:hanging="425"/>
              <w:jc w:val="center"/>
              <w:rPr>
                <w:rFonts w:hint="eastAsia" w:ascii="宋体" w:hAnsi="宋体" w:cs="宋体"/>
                <w:color w:val="auto"/>
                <w:highlight w:val="none"/>
              </w:rPr>
            </w:pPr>
          </w:p>
        </w:tc>
        <w:tc>
          <w:tcPr>
            <w:tcW w:w="657" w:type="pct"/>
            <w:shd w:val="clear" w:color="auto" w:fill="auto"/>
            <w:vAlign w:val="center"/>
          </w:tcPr>
          <w:p w14:paraId="3FD5AEBC">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油漆固化剂</w:t>
            </w:r>
          </w:p>
        </w:tc>
        <w:tc>
          <w:tcPr>
            <w:tcW w:w="502" w:type="pct"/>
            <w:shd w:val="clear" w:color="auto" w:fill="auto"/>
            <w:vAlign w:val="center"/>
          </w:tcPr>
          <w:p w14:paraId="500A3B7B">
            <w:pPr>
              <w:jc w:val="center"/>
              <w:rPr>
                <w:rFonts w:hint="eastAsia" w:ascii="宋体" w:hAnsi="宋体" w:cs="宋体"/>
                <w:color w:val="auto"/>
                <w:szCs w:val="21"/>
                <w:highlight w:val="none"/>
              </w:rPr>
            </w:pPr>
            <w:r>
              <w:rPr>
                <w:rFonts w:hint="eastAsia" w:ascii="宋体" w:hAnsi="宋体" w:cs="宋体"/>
                <w:color w:val="auto"/>
                <w:szCs w:val="21"/>
                <w:highlight w:val="none"/>
              </w:rPr>
              <w:t>2828</w:t>
            </w:r>
          </w:p>
        </w:tc>
        <w:tc>
          <w:tcPr>
            <w:tcW w:w="515" w:type="pct"/>
            <w:shd w:val="clear" w:color="auto" w:fill="auto"/>
            <w:vAlign w:val="center"/>
          </w:tcPr>
          <w:p w14:paraId="12AD1AB1">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116C0467">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298B574F">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1C94379F">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1B58B63B">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36105BB4">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7" w:type="pct"/>
            <w:shd w:val="clear" w:color="auto" w:fill="auto"/>
            <w:vAlign w:val="center"/>
          </w:tcPr>
          <w:p w14:paraId="602D3F20">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r>
      <w:tr w14:paraId="0DA59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3963D4F5">
            <w:pPr>
              <w:numPr>
                <w:ilvl w:val="0"/>
                <w:numId w:val="17"/>
              </w:numPr>
              <w:adjustRightInd w:val="0"/>
              <w:snapToGrid w:val="0"/>
              <w:spacing w:line="240" w:lineRule="auto"/>
              <w:ind w:left="425" w:hanging="425"/>
              <w:jc w:val="center"/>
              <w:rPr>
                <w:rFonts w:hint="eastAsia" w:ascii="宋体" w:hAnsi="宋体" w:cs="宋体"/>
                <w:color w:val="auto"/>
                <w:highlight w:val="none"/>
              </w:rPr>
            </w:pPr>
          </w:p>
        </w:tc>
        <w:tc>
          <w:tcPr>
            <w:tcW w:w="657" w:type="pct"/>
            <w:shd w:val="clear" w:color="auto" w:fill="auto"/>
            <w:vAlign w:val="center"/>
          </w:tcPr>
          <w:p w14:paraId="2F08B665">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油漆稀释剂</w:t>
            </w:r>
          </w:p>
        </w:tc>
        <w:tc>
          <w:tcPr>
            <w:tcW w:w="502" w:type="pct"/>
            <w:shd w:val="clear" w:color="auto" w:fill="auto"/>
            <w:vAlign w:val="center"/>
          </w:tcPr>
          <w:p w14:paraId="56A214CF">
            <w:pPr>
              <w:jc w:val="center"/>
              <w:rPr>
                <w:rFonts w:hint="eastAsia" w:ascii="宋体" w:hAnsi="宋体" w:cs="宋体"/>
                <w:color w:val="auto"/>
                <w:szCs w:val="21"/>
                <w:highlight w:val="none"/>
              </w:rPr>
            </w:pPr>
            <w:r>
              <w:rPr>
                <w:rFonts w:hint="eastAsia" w:ascii="宋体" w:hAnsi="宋体" w:cs="宋体"/>
                <w:color w:val="auto"/>
                <w:szCs w:val="21"/>
                <w:highlight w:val="none"/>
              </w:rPr>
              <w:t>2828</w:t>
            </w:r>
          </w:p>
        </w:tc>
        <w:tc>
          <w:tcPr>
            <w:tcW w:w="515" w:type="pct"/>
            <w:shd w:val="clear" w:color="auto" w:fill="auto"/>
            <w:vAlign w:val="center"/>
          </w:tcPr>
          <w:p w14:paraId="31C7B989">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0AEDE32F">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680125B8">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shd w:val="clear" w:color="auto" w:fill="auto"/>
            <w:vAlign w:val="center"/>
          </w:tcPr>
          <w:p w14:paraId="7E0970B4">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6EAAE772">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5" w:type="pct"/>
            <w:vAlign w:val="center"/>
          </w:tcPr>
          <w:p w14:paraId="388A133B">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517" w:type="pct"/>
            <w:shd w:val="clear" w:color="auto" w:fill="auto"/>
            <w:vAlign w:val="center"/>
          </w:tcPr>
          <w:p w14:paraId="3B76B193">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r>
      <w:tr w14:paraId="4CEFE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8" w:type="pct"/>
            <w:shd w:val="clear" w:color="auto" w:fill="auto"/>
            <w:vAlign w:val="center"/>
          </w:tcPr>
          <w:p w14:paraId="3BF708C9">
            <w:pPr>
              <w:numPr>
                <w:ilvl w:val="0"/>
                <w:numId w:val="17"/>
              </w:numPr>
              <w:adjustRightInd w:val="0"/>
              <w:snapToGrid w:val="0"/>
              <w:spacing w:line="240" w:lineRule="auto"/>
              <w:ind w:left="425" w:hanging="425"/>
              <w:jc w:val="center"/>
              <w:rPr>
                <w:rFonts w:hint="eastAsia" w:ascii="宋体" w:hAnsi="宋体" w:cs="宋体"/>
                <w:color w:val="auto"/>
                <w:highlight w:val="none"/>
              </w:rPr>
            </w:pPr>
            <w:bookmarkStart w:id="925" w:name="_Toc3962"/>
            <w:bookmarkStart w:id="926" w:name="_Toc27037"/>
            <w:bookmarkStart w:id="927" w:name="_Toc17101"/>
            <w:bookmarkStart w:id="928" w:name="_Toc5818"/>
            <w:bookmarkStart w:id="929" w:name="_Toc42415915"/>
            <w:bookmarkStart w:id="930" w:name="_Toc22322"/>
            <w:bookmarkStart w:id="931" w:name="_Toc29641"/>
            <w:bookmarkStart w:id="932" w:name="_Toc10845"/>
            <w:bookmarkStart w:id="933" w:name="_Toc3287"/>
          </w:p>
        </w:tc>
        <w:tc>
          <w:tcPr>
            <w:tcW w:w="657" w:type="pct"/>
            <w:shd w:val="clear" w:color="auto" w:fill="auto"/>
            <w:vAlign w:val="center"/>
          </w:tcPr>
          <w:p w14:paraId="50355508">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六亚甲基四胺</w:t>
            </w:r>
          </w:p>
        </w:tc>
        <w:tc>
          <w:tcPr>
            <w:tcW w:w="502" w:type="pct"/>
            <w:shd w:val="clear" w:color="auto" w:fill="auto"/>
            <w:vAlign w:val="center"/>
          </w:tcPr>
          <w:p w14:paraId="6C68FCF1">
            <w:pPr>
              <w:jc w:val="center"/>
              <w:rPr>
                <w:rFonts w:hint="eastAsia" w:ascii="宋体" w:hAnsi="宋体" w:cs="宋体"/>
                <w:color w:val="auto"/>
                <w:szCs w:val="21"/>
                <w:highlight w:val="none"/>
              </w:rPr>
            </w:pPr>
            <w:r>
              <w:rPr>
                <w:rFonts w:hint="eastAsia" w:ascii="宋体" w:hAnsi="宋体" w:cs="宋体"/>
                <w:color w:val="auto"/>
                <w:szCs w:val="21"/>
                <w:highlight w:val="none"/>
              </w:rPr>
              <w:t>1375</w:t>
            </w:r>
          </w:p>
        </w:tc>
        <w:tc>
          <w:tcPr>
            <w:tcW w:w="1495" w:type="dxa"/>
            <w:shd w:val="clear" w:color="auto" w:fill="auto"/>
            <w:vAlign w:val="center"/>
          </w:tcPr>
          <w:p w14:paraId="0F3D28F6">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1495" w:type="dxa"/>
            <w:vAlign w:val="center"/>
          </w:tcPr>
          <w:p w14:paraId="08145119">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1495" w:type="dxa"/>
            <w:shd w:val="clear" w:color="auto" w:fill="auto"/>
            <w:vAlign w:val="center"/>
          </w:tcPr>
          <w:p w14:paraId="6B1A84F2">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1495" w:type="dxa"/>
            <w:shd w:val="clear" w:color="auto" w:fill="auto"/>
            <w:vAlign w:val="center"/>
          </w:tcPr>
          <w:p w14:paraId="100514F0">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1495" w:type="dxa"/>
            <w:vAlign w:val="center"/>
          </w:tcPr>
          <w:p w14:paraId="5F5CE75D">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1495" w:type="dxa"/>
            <w:vAlign w:val="center"/>
          </w:tcPr>
          <w:p w14:paraId="7507BD2B">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1500" w:type="dxa"/>
            <w:shd w:val="clear" w:color="auto" w:fill="auto"/>
            <w:vAlign w:val="center"/>
          </w:tcPr>
          <w:p w14:paraId="6386793A">
            <w:pPr>
              <w:jc w:val="center"/>
              <w:rPr>
                <w:rFonts w:hint="eastAsia" w:ascii="宋体" w:hAnsi="宋体" w:cs="宋体"/>
                <w:color w:val="auto"/>
                <w:szCs w:val="21"/>
                <w:highlight w:val="none"/>
              </w:rPr>
            </w:pPr>
            <w:r>
              <w:rPr>
                <w:rFonts w:hint="eastAsia" w:ascii="宋体" w:hAnsi="宋体" w:cs="宋体"/>
                <w:color w:val="auto"/>
                <w:szCs w:val="21"/>
                <w:highlight w:val="none"/>
              </w:rPr>
              <w:t>/</w:t>
            </w:r>
          </w:p>
        </w:tc>
      </w:tr>
    </w:tbl>
    <w:p w14:paraId="1DC70592">
      <w:pPr>
        <w:keepNext w:val="0"/>
        <w:keepLines w:val="0"/>
        <w:pageBreakBefore w:val="0"/>
        <w:widowControl w:val="0"/>
        <w:numPr>
          <w:ilvl w:val="0"/>
          <w:numId w:val="15"/>
        </w:numPr>
        <w:kinsoku/>
        <w:wordWrap/>
        <w:overflowPunct/>
        <w:topLinePunct w:val="0"/>
        <w:autoSpaceDE/>
        <w:autoSpaceDN/>
        <w:bidi w:val="0"/>
        <w:adjustRightInd w:val="0"/>
        <w:snapToGrid w:val="0"/>
        <w:spacing w:before="157" w:beforeLines="50" w:afterLines="0" w:line="360" w:lineRule="auto"/>
        <w:ind w:left="0" w:firstLine="560" w:firstLineChars="200"/>
        <w:textAlignment w:val="auto"/>
        <w:outlineLvl w:val="9"/>
        <w:rPr>
          <w:rFonts w:hint="eastAsia" w:ascii="宋体" w:hAnsi="宋体" w:eastAsia="宋体" w:cs="宋体"/>
          <w:b w:val="0"/>
          <w:bCs w:val="0"/>
          <w:color w:val="auto"/>
          <w:kern w:val="2"/>
          <w:sz w:val="28"/>
          <w:szCs w:val="28"/>
          <w:highlight w:val="none"/>
          <w:lang w:val="en-GB"/>
        </w:rPr>
      </w:pPr>
      <w:r>
        <w:rPr>
          <w:rFonts w:hint="eastAsia" w:ascii="宋体" w:hAnsi="宋体" w:eastAsia="宋体" w:cs="宋体"/>
          <w:b w:val="0"/>
          <w:bCs w:val="0"/>
          <w:color w:val="auto"/>
          <w:kern w:val="2"/>
          <w:sz w:val="28"/>
          <w:szCs w:val="28"/>
          <w:highlight w:val="none"/>
          <w:lang w:val="en-GB" w:eastAsia="zh-CN"/>
        </w:rPr>
        <w:t>物料</w:t>
      </w:r>
      <w:r>
        <w:rPr>
          <w:rFonts w:hint="eastAsia" w:ascii="宋体" w:hAnsi="宋体" w:eastAsia="宋体" w:cs="宋体"/>
          <w:b w:val="0"/>
          <w:bCs w:val="0"/>
          <w:color w:val="auto"/>
          <w:kern w:val="2"/>
          <w:sz w:val="28"/>
          <w:szCs w:val="28"/>
          <w:highlight w:val="none"/>
          <w:lang w:val="en-GB"/>
        </w:rPr>
        <w:t>的危险、有害因素分析</w:t>
      </w:r>
      <w:bookmarkEnd w:id="925"/>
      <w:bookmarkEnd w:id="926"/>
      <w:bookmarkEnd w:id="927"/>
      <w:bookmarkEnd w:id="928"/>
      <w:bookmarkEnd w:id="929"/>
      <w:bookmarkEnd w:id="930"/>
      <w:bookmarkEnd w:id="931"/>
      <w:bookmarkEnd w:id="932"/>
      <w:bookmarkEnd w:id="933"/>
    </w:p>
    <w:p w14:paraId="42889CB4">
      <w:pPr>
        <w:pStyle w:val="16"/>
        <w:adjustRightInd w:val="0"/>
        <w:snapToGrid w:val="0"/>
        <w:spacing w:line="360" w:lineRule="auto"/>
        <w:ind w:firstLine="560" w:firstLineChars="200"/>
        <w:rPr>
          <w:rFonts w:hint="eastAsia" w:ascii="宋体" w:hAnsi="宋体" w:eastAsia="宋体" w:cs="宋体"/>
          <w:bCs/>
          <w:color w:val="auto"/>
          <w:kern w:val="0"/>
          <w:sz w:val="28"/>
          <w:szCs w:val="28"/>
          <w:highlight w:val="none"/>
        </w:rPr>
      </w:pPr>
      <w:r>
        <w:rPr>
          <w:rFonts w:hint="eastAsia" w:ascii="宋体" w:hAnsi="宋体" w:eastAsia="宋体" w:cs="宋体"/>
          <w:color w:val="auto"/>
          <w:sz w:val="28"/>
          <w:szCs w:val="28"/>
          <w:highlight w:val="none"/>
          <w:lang w:eastAsia="zh-CN"/>
        </w:rPr>
        <w:t>危化品仓库储存</w:t>
      </w:r>
      <w:r>
        <w:rPr>
          <w:rFonts w:hint="eastAsia" w:ascii="宋体" w:hAnsi="宋体" w:eastAsia="宋体" w:cs="宋体"/>
          <w:bCs/>
          <w:color w:val="auto"/>
          <w:kern w:val="0"/>
          <w:sz w:val="28"/>
          <w:szCs w:val="28"/>
          <w:highlight w:val="none"/>
        </w:rPr>
        <w:t>的危险化学品的危险性类别见下表，</w:t>
      </w:r>
      <w:r>
        <w:rPr>
          <w:rFonts w:hint="eastAsia" w:ascii="宋体" w:hAnsi="宋体" w:eastAsia="宋体" w:cs="宋体"/>
          <w:color w:val="auto"/>
          <w:kern w:val="0"/>
          <w:sz w:val="28"/>
          <w:szCs w:val="28"/>
          <w:highlight w:val="none"/>
        </w:rPr>
        <w:t>具体理化及危险特性和重点监管的危险化学品安全措施和应急处置原则见附件</w:t>
      </w:r>
      <w:r>
        <w:rPr>
          <w:rFonts w:hint="eastAsia" w:ascii="宋体" w:hAnsi="宋体" w:eastAsia="宋体" w:cs="宋体"/>
          <w:bCs/>
          <w:color w:val="auto"/>
          <w:kern w:val="0"/>
          <w:sz w:val="28"/>
          <w:szCs w:val="28"/>
          <w:highlight w:val="none"/>
        </w:rPr>
        <w:t>。</w:t>
      </w:r>
    </w:p>
    <w:p w14:paraId="0EC471D2">
      <w:pPr>
        <w:adjustRightInd w:val="0"/>
        <w:snapToGrid w:val="0"/>
        <w:spacing w:line="360" w:lineRule="auto"/>
        <w:ind w:firstLine="0"/>
        <w:jc w:val="center"/>
        <w:rPr>
          <w:rFonts w:hint="eastAsia" w:ascii="黑体" w:hAnsi="黑体" w:eastAsia="黑体" w:cs="Times New Roman"/>
          <w:b/>
          <w:bCs/>
          <w:color w:val="auto"/>
          <w:sz w:val="24"/>
          <w:szCs w:val="24"/>
          <w:highlight w:val="none"/>
          <w:lang w:eastAsia="zh-CN"/>
        </w:rPr>
      </w:pPr>
      <w:bookmarkStart w:id="934" w:name="_Toc498075586"/>
      <w:bookmarkStart w:id="935" w:name="_Toc60846604"/>
    </w:p>
    <w:p w14:paraId="5CA9CF7C">
      <w:pPr>
        <w:adjustRightInd w:val="0"/>
        <w:snapToGrid w:val="0"/>
        <w:spacing w:line="360" w:lineRule="auto"/>
        <w:ind w:firstLine="0"/>
        <w:jc w:val="center"/>
        <w:rPr>
          <w:rFonts w:hint="eastAsia" w:ascii="黑体" w:hAnsi="黑体" w:eastAsia="黑体" w:cs="Times New Roman"/>
          <w:b/>
          <w:bCs/>
          <w:color w:val="auto"/>
          <w:sz w:val="24"/>
          <w:szCs w:val="24"/>
          <w:highlight w:val="none"/>
          <w:lang w:eastAsia="zh-CN"/>
        </w:rPr>
      </w:pPr>
    </w:p>
    <w:p w14:paraId="539B1B1B">
      <w:pPr>
        <w:adjustRightInd w:val="0"/>
        <w:snapToGrid w:val="0"/>
        <w:spacing w:line="360" w:lineRule="auto"/>
        <w:ind w:firstLine="0"/>
        <w:jc w:val="center"/>
        <w:rPr>
          <w:rFonts w:ascii="黑体" w:hAnsi="黑体" w:eastAsia="黑体" w:cs="Times New Roman"/>
          <w:b/>
          <w:bCs/>
          <w:color w:val="auto"/>
          <w:sz w:val="24"/>
          <w:szCs w:val="24"/>
          <w:highlight w:val="none"/>
        </w:rPr>
      </w:pPr>
      <w:r>
        <w:rPr>
          <w:rFonts w:hint="eastAsia" w:ascii="黑体" w:hAnsi="黑体" w:eastAsia="黑体" w:cs="Times New Roman"/>
          <w:b/>
          <w:bCs/>
          <w:color w:val="auto"/>
          <w:sz w:val="24"/>
          <w:szCs w:val="24"/>
          <w:highlight w:val="none"/>
          <w:lang w:eastAsia="zh-CN"/>
        </w:rPr>
        <w:t>表</w:t>
      </w:r>
      <w:r>
        <w:rPr>
          <w:rFonts w:hint="eastAsia" w:ascii="黑体" w:hAnsi="黑体" w:eastAsia="黑体" w:cs="Times New Roman"/>
          <w:b/>
          <w:bCs/>
          <w:color w:val="auto"/>
          <w:sz w:val="24"/>
          <w:szCs w:val="24"/>
          <w:highlight w:val="none"/>
          <w:lang w:val="en-US" w:eastAsia="zh-CN"/>
        </w:rPr>
        <w:t xml:space="preserve">3.2-2 </w:t>
      </w:r>
      <w:r>
        <w:rPr>
          <w:rFonts w:ascii="黑体" w:hAnsi="黑体" w:eastAsia="黑体" w:cs="Times New Roman"/>
          <w:b/>
          <w:bCs/>
          <w:color w:val="auto"/>
          <w:sz w:val="24"/>
          <w:szCs w:val="24"/>
          <w:highlight w:val="none"/>
        </w:rPr>
        <w:t>物料的火灾爆炸</w:t>
      </w:r>
      <w:r>
        <w:rPr>
          <w:rFonts w:hint="eastAsia" w:ascii="黑体" w:hAnsi="黑体" w:eastAsia="黑体" w:cs="Times New Roman"/>
          <w:b/>
          <w:bCs/>
          <w:color w:val="auto"/>
          <w:sz w:val="24"/>
          <w:szCs w:val="24"/>
          <w:highlight w:val="none"/>
          <w:lang w:eastAsia="zh-CN"/>
        </w:rPr>
        <w:t>、毒害</w:t>
      </w:r>
      <w:r>
        <w:rPr>
          <w:rFonts w:ascii="黑体" w:hAnsi="黑体" w:eastAsia="黑体" w:cs="Times New Roman"/>
          <w:b/>
          <w:bCs/>
          <w:color w:val="auto"/>
          <w:sz w:val="24"/>
          <w:szCs w:val="24"/>
          <w:highlight w:val="none"/>
        </w:rPr>
        <w:t>危险特性表</w:t>
      </w:r>
    </w:p>
    <w:tbl>
      <w:tblPr>
        <w:tblStyle w:val="61"/>
        <w:tblW w:w="4996" w:type="pct"/>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540"/>
        <w:gridCol w:w="1233"/>
        <w:gridCol w:w="3143"/>
        <w:gridCol w:w="933"/>
        <w:gridCol w:w="1490"/>
        <w:gridCol w:w="903"/>
        <w:gridCol w:w="1004"/>
        <w:gridCol w:w="1060"/>
        <w:gridCol w:w="977"/>
        <w:gridCol w:w="2169"/>
        <w:gridCol w:w="1038"/>
      </w:tblGrid>
      <w:tr w14:paraId="45545A83">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185" w:type="pct"/>
            <w:vMerge w:val="restart"/>
            <w:tcBorders>
              <w:tl2br w:val="nil"/>
              <w:tr2bl w:val="nil"/>
            </w:tcBorders>
            <w:vAlign w:val="center"/>
          </w:tcPr>
          <w:p w14:paraId="351CFA6E">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425" w:type="pct"/>
            <w:vMerge w:val="restart"/>
            <w:tcBorders>
              <w:tl2br w:val="nil"/>
              <w:tr2bl w:val="nil"/>
            </w:tcBorders>
            <w:vAlign w:val="center"/>
          </w:tcPr>
          <w:p w14:paraId="67BEE749">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危化品名称</w:t>
            </w:r>
          </w:p>
        </w:tc>
        <w:tc>
          <w:tcPr>
            <w:tcW w:w="1085" w:type="pct"/>
            <w:vMerge w:val="restart"/>
            <w:tcBorders>
              <w:tl2br w:val="nil"/>
              <w:tr2bl w:val="nil"/>
            </w:tcBorders>
            <w:vAlign w:val="center"/>
          </w:tcPr>
          <w:p w14:paraId="11696AAA">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危险性类别</w:t>
            </w:r>
          </w:p>
        </w:tc>
        <w:tc>
          <w:tcPr>
            <w:tcW w:w="322" w:type="pct"/>
            <w:vMerge w:val="restart"/>
            <w:tcBorders>
              <w:tl2br w:val="nil"/>
              <w:tr2bl w:val="nil"/>
            </w:tcBorders>
            <w:vAlign w:val="center"/>
          </w:tcPr>
          <w:p w14:paraId="0A4AFFB2">
            <w:pPr>
              <w:overflowPunct w:val="0"/>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闪点</w:t>
            </w:r>
          </w:p>
          <w:p w14:paraId="2F833141">
            <w:pPr>
              <w:overflowPunct w:val="0"/>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w:t>
            </w:r>
          </w:p>
        </w:tc>
        <w:tc>
          <w:tcPr>
            <w:tcW w:w="514" w:type="pct"/>
            <w:vMerge w:val="restart"/>
            <w:tcBorders>
              <w:tl2br w:val="nil"/>
              <w:tr2bl w:val="nil"/>
            </w:tcBorders>
            <w:vAlign w:val="center"/>
          </w:tcPr>
          <w:p w14:paraId="25E31D10">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爆炸极限v%</w:t>
            </w:r>
          </w:p>
        </w:tc>
        <w:tc>
          <w:tcPr>
            <w:tcW w:w="311" w:type="pct"/>
            <w:vMerge w:val="restart"/>
            <w:tcBorders>
              <w:tl2br w:val="nil"/>
              <w:tr2bl w:val="nil"/>
            </w:tcBorders>
            <w:vAlign w:val="center"/>
          </w:tcPr>
          <w:p w14:paraId="22586EAB">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火灾危险分类</w:t>
            </w:r>
          </w:p>
        </w:tc>
        <w:tc>
          <w:tcPr>
            <w:tcW w:w="1048" w:type="pct"/>
            <w:gridSpan w:val="3"/>
            <w:tcBorders>
              <w:tl2br w:val="nil"/>
              <w:tr2bl w:val="nil"/>
            </w:tcBorders>
            <w:vAlign w:val="center"/>
          </w:tcPr>
          <w:p w14:paraId="2490D9ED">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vertAlign w:val="superscript"/>
              </w:rPr>
            </w:pPr>
            <w:r>
              <w:rPr>
                <w:rFonts w:hint="eastAsia" w:ascii="宋体" w:hAnsi="宋体" w:eastAsia="宋体" w:cs="宋体"/>
                <w:b/>
                <w:bCs/>
                <w:color w:val="auto"/>
                <w:sz w:val="21"/>
                <w:szCs w:val="21"/>
                <w:highlight w:val="none"/>
              </w:rPr>
              <w:t>职业接触限值mg/m</w:t>
            </w:r>
            <w:r>
              <w:rPr>
                <w:rFonts w:hint="eastAsia" w:ascii="宋体" w:hAnsi="宋体" w:eastAsia="宋体" w:cs="宋体"/>
                <w:b/>
                <w:bCs/>
                <w:color w:val="auto"/>
                <w:sz w:val="21"/>
                <w:szCs w:val="21"/>
                <w:highlight w:val="none"/>
                <w:vertAlign w:val="superscript"/>
              </w:rPr>
              <w:t>3</w:t>
            </w:r>
          </w:p>
        </w:tc>
        <w:tc>
          <w:tcPr>
            <w:tcW w:w="748" w:type="pct"/>
            <w:vMerge w:val="restart"/>
            <w:tcBorders>
              <w:tl2br w:val="nil"/>
              <w:tr2bl w:val="nil"/>
            </w:tcBorders>
            <w:vAlign w:val="center"/>
          </w:tcPr>
          <w:p w14:paraId="4354A5E9">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毒理学</w:t>
            </w:r>
          </w:p>
          <w:p w14:paraId="61E814F1">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数据</w:t>
            </w:r>
          </w:p>
        </w:tc>
        <w:tc>
          <w:tcPr>
            <w:tcW w:w="358" w:type="pct"/>
            <w:vMerge w:val="restart"/>
            <w:tcBorders>
              <w:tl2br w:val="nil"/>
              <w:tr2bl w:val="nil"/>
            </w:tcBorders>
            <w:vAlign w:val="center"/>
          </w:tcPr>
          <w:p w14:paraId="33B0F699">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毒性</w:t>
            </w:r>
          </w:p>
          <w:p w14:paraId="27FDFAAD">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等级</w:t>
            </w:r>
          </w:p>
        </w:tc>
      </w:tr>
      <w:tr w14:paraId="161EC7F0">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185" w:type="pct"/>
            <w:vMerge w:val="continue"/>
            <w:tcBorders>
              <w:tl2br w:val="nil"/>
              <w:tr2bl w:val="nil"/>
            </w:tcBorders>
            <w:vAlign w:val="center"/>
          </w:tcPr>
          <w:p w14:paraId="3905B310">
            <w:pPr>
              <w:pStyle w:val="57"/>
              <w:widowControl w:val="0"/>
              <w:overflowPunct w:val="0"/>
              <w:adjustRightInd w:val="0"/>
              <w:snapToGrid w:val="0"/>
              <w:spacing w:before="0" w:beforeAutospacing="0" w:after="0" w:afterAutospacing="0"/>
              <w:jc w:val="center"/>
              <w:outlineLvl w:val="9"/>
              <w:rPr>
                <w:rFonts w:hint="eastAsia" w:ascii="宋体" w:hAnsi="宋体" w:eastAsia="宋体" w:cs="宋体"/>
                <w:color w:val="auto"/>
                <w:sz w:val="21"/>
                <w:szCs w:val="21"/>
                <w:highlight w:val="none"/>
              </w:rPr>
            </w:pPr>
          </w:p>
        </w:tc>
        <w:tc>
          <w:tcPr>
            <w:tcW w:w="425" w:type="pct"/>
            <w:vMerge w:val="continue"/>
            <w:tcBorders>
              <w:tl2br w:val="nil"/>
              <w:tr2bl w:val="nil"/>
            </w:tcBorders>
            <w:vAlign w:val="center"/>
          </w:tcPr>
          <w:p w14:paraId="3354CFAD">
            <w:pPr>
              <w:pStyle w:val="57"/>
              <w:widowControl w:val="0"/>
              <w:overflowPunct w:val="0"/>
              <w:adjustRightInd w:val="0"/>
              <w:snapToGrid w:val="0"/>
              <w:spacing w:before="0" w:beforeAutospacing="0" w:after="0" w:afterAutospacing="0"/>
              <w:jc w:val="center"/>
              <w:outlineLvl w:val="9"/>
              <w:rPr>
                <w:rFonts w:hint="eastAsia" w:ascii="宋体" w:hAnsi="宋体" w:eastAsia="宋体" w:cs="宋体"/>
                <w:color w:val="auto"/>
                <w:sz w:val="21"/>
                <w:szCs w:val="21"/>
                <w:highlight w:val="none"/>
              </w:rPr>
            </w:pPr>
          </w:p>
        </w:tc>
        <w:tc>
          <w:tcPr>
            <w:tcW w:w="1085" w:type="pct"/>
            <w:vMerge w:val="continue"/>
            <w:tcBorders>
              <w:tl2br w:val="nil"/>
              <w:tr2bl w:val="nil"/>
            </w:tcBorders>
            <w:vAlign w:val="center"/>
          </w:tcPr>
          <w:p w14:paraId="7799BDF4">
            <w:pPr>
              <w:pStyle w:val="57"/>
              <w:widowControl w:val="0"/>
              <w:overflowPunct w:val="0"/>
              <w:adjustRightInd w:val="0"/>
              <w:snapToGrid w:val="0"/>
              <w:spacing w:before="0" w:beforeAutospacing="0" w:after="0" w:afterAutospacing="0"/>
              <w:jc w:val="center"/>
              <w:outlineLvl w:val="9"/>
              <w:rPr>
                <w:rFonts w:hint="eastAsia" w:ascii="宋体" w:hAnsi="宋体" w:eastAsia="宋体" w:cs="宋体"/>
                <w:color w:val="auto"/>
                <w:sz w:val="21"/>
                <w:szCs w:val="21"/>
                <w:highlight w:val="none"/>
              </w:rPr>
            </w:pPr>
          </w:p>
        </w:tc>
        <w:tc>
          <w:tcPr>
            <w:tcW w:w="322" w:type="pct"/>
            <w:vMerge w:val="continue"/>
            <w:tcBorders>
              <w:tl2br w:val="nil"/>
              <w:tr2bl w:val="nil"/>
            </w:tcBorders>
            <w:vAlign w:val="center"/>
          </w:tcPr>
          <w:p w14:paraId="3B67B057">
            <w:pPr>
              <w:pStyle w:val="57"/>
              <w:widowControl w:val="0"/>
              <w:overflowPunct w:val="0"/>
              <w:adjustRightInd w:val="0"/>
              <w:snapToGrid w:val="0"/>
              <w:spacing w:before="0" w:beforeAutospacing="0" w:after="0" w:afterAutospacing="0"/>
              <w:jc w:val="center"/>
              <w:outlineLvl w:val="9"/>
              <w:rPr>
                <w:rFonts w:hint="eastAsia" w:ascii="宋体" w:hAnsi="宋体" w:eastAsia="宋体" w:cs="宋体"/>
                <w:color w:val="auto"/>
                <w:sz w:val="21"/>
                <w:szCs w:val="21"/>
                <w:highlight w:val="none"/>
              </w:rPr>
            </w:pPr>
          </w:p>
        </w:tc>
        <w:tc>
          <w:tcPr>
            <w:tcW w:w="514" w:type="pct"/>
            <w:vMerge w:val="continue"/>
            <w:tcBorders>
              <w:tl2br w:val="nil"/>
              <w:tr2bl w:val="nil"/>
            </w:tcBorders>
            <w:vAlign w:val="center"/>
          </w:tcPr>
          <w:p w14:paraId="1C1131CD">
            <w:pPr>
              <w:pStyle w:val="57"/>
              <w:widowControl w:val="0"/>
              <w:overflowPunct w:val="0"/>
              <w:adjustRightInd w:val="0"/>
              <w:snapToGrid w:val="0"/>
              <w:spacing w:before="0" w:beforeAutospacing="0" w:after="0" w:afterAutospacing="0"/>
              <w:jc w:val="center"/>
              <w:outlineLvl w:val="9"/>
              <w:rPr>
                <w:rFonts w:hint="eastAsia" w:ascii="宋体" w:hAnsi="宋体" w:eastAsia="宋体" w:cs="宋体"/>
                <w:color w:val="auto"/>
                <w:sz w:val="21"/>
                <w:szCs w:val="21"/>
                <w:highlight w:val="none"/>
              </w:rPr>
            </w:pPr>
          </w:p>
        </w:tc>
        <w:tc>
          <w:tcPr>
            <w:tcW w:w="311" w:type="pct"/>
            <w:vMerge w:val="continue"/>
            <w:tcBorders>
              <w:tl2br w:val="nil"/>
              <w:tr2bl w:val="nil"/>
            </w:tcBorders>
            <w:vAlign w:val="center"/>
          </w:tcPr>
          <w:p w14:paraId="24E15474">
            <w:pPr>
              <w:pStyle w:val="57"/>
              <w:widowControl w:val="0"/>
              <w:overflowPunct w:val="0"/>
              <w:adjustRightInd w:val="0"/>
              <w:snapToGrid w:val="0"/>
              <w:spacing w:before="0" w:beforeAutospacing="0" w:after="0" w:afterAutospacing="0"/>
              <w:jc w:val="center"/>
              <w:outlineLvl w:val="9"/>
              <w:rPr>
                <w:rFonts w:hint="eastAsia" w:ascii="宋体" w:hAnsi="宋体" w:eastAsia="宋体" w:cs="宋体"/>
                <w:color w:val="auto"/>
                <w:sz w:val="21"/>
                <w:szCs w:val="21"/>
                <w:highlight w:val="none"/>
              </w:rPr>
            </w:pPr>
          </w:p>
        </w:tc>
        <w:tc>
          <w:tcPr>
            <w:tcW w:w="346" w:type="pct"/>
            <w:tcBorders>
              <w:tl2br w:val="nil"/>
              <w:tr2bl w:val="nil"/>
            </w:tcBorders>
            <w:vAlign w:val="center"/>
          </w:tcPr>
          <w:p w14:paraId="33009E2E">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MAC</w:t>
            </w:r>
          </w:p>
        </w:tc>
        <w:tc>
          <w:tcPr>
            <w:tcW w:w="365" w:type="pct"/>
            <w:tcBorders>
              <w:tl2br w:val="nil"/>
              <w:tr2bl w:val="nil"/>
            </w:tcBorders>
            <w:vAlign w:val="center"/>
          </w:tcPr>
          <w:p w14:paraId="728495EF">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TWA</w:t>
            </w:r>
          </w:p>
        </w:tc>
        <w:tc>
          <w:tcPr>
            <w:tcW w:w="337" w:type="pct"/>
            <w:tcBorders>
              <w:tl2br w:val="nil"/>
              <w:tr2bl w:val="nil"/>
            </w:tcBorders>
            <w:vAlign w:val="center"/>
          </w:tcPr>
          <w:p w14:paraId="11D086CD">
            <w:pPr>
              <w:pStyle w:val="57"/>
              <w:widowControl w:val="0"/>
              <w:overflowPunct w:val="0"/>
              <w:adjustRightInd w:val="0"/>
              <w:snapToGrid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STEL</w:t>
            </w:r>
          </w:p>
        </w:tc>
        <w:tc>
          <w:tcPr>
            <w:tcW w:w="748" w:type="pct"/>
            <w:vMerge w:val="continue"/>
            <w:tcBorders>
              <w:tl2br w:val="nil"/>
              <w:tr2bl w:val="nil"/>
            </w:tcBorders>
            <w:vAlign w:val="center"/>
          </w:tcPr>
          <w:p w14:paraId="67F32DFF">
            <w:pPr>
              <w:pStyle w:val="57"/>
              <w:widowControl w:val="0"/>
              <w:overflowPunct w:val="0"/>
              <w:adjustRightInd w:val="0"/>
              <w:snapToGrid w:val="0"/>
              <w:spacing w:before="0" w:beforeAutospacing="0" w:after="0" w:afterAutospacing="0"/>
              <w:jc w:val="center"/>
              <w:outlineLvl w:val="9"/>
              <w:rPr>
                <w:rFonts w:hint="eastAsia" w:ascii="宋体" w:hAnsi="宋体" w:eastAsia="宋体" w:cs="宋体"/>
                <w:color w:val="auto"/>
                <w:sz w:val="21"/>
                <w:szCs w:val="21"/>
                <w:highlight w:val="none"/>
              </w:rPr>
            </w:pPr>
          </w:p>
        </w:tc>
        <w:tc>
          <w:tcPr>
            <w:tcW w:w="358" w:type="pct"/>
            <w:vMerge w:val="continue"/>
            <w:tcBorders>
              <w:tl2br w:val="nil"/>
              <w:tr2bl w:val="nil"/>
            </w:tcBorders>
            <w:vAlign w:val="center"/>
          </w:tcPr>
          <w:p w14:paraId="3BBC81F0">
            <w:pPr>
              <w:pStyle w:val="57"/>
              <w:widowControl w:val="0"/>
              <w:overflowPunct w:val="0"/>
              <w:adjustRightInd w:val="0"/>
              <w:snapToGrid w:val="0"/>
              <w:spacing w:before="0" w:beforeAutospacing="0" w:after="0" w:afterAutospacing="0"/>
              <w:jc w:val="center"/>
              <w:outlineLvl w:val="9"/>
              <w:rPr>
                <w:rFonts w:hint="eastAsia" w:ascii="宋体" w:hAnsi="宋体" w:eastAsia="宋体" w:cs="宋体"/>
                <w:color w:val="auto"/>
                <w:sz w:val="21"/>
                <w:szCs w:val="21"/>
                <w:highlight w:val="none"/>
              </w:rPr>
            </w:pPr>
          </w:p>
        </w:tc>
      </w:tr>
      <w:tr w14:paraId="542D47EC">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6DE25808">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936" w:name="_Toc4752"/>
            <w:bookmarkEnd w:id="936"/>
            <w:bookmarkStart w:id="937" w:name="_Toc9359"/>
            <w:bookmarkEnd w:id="937"/>
            <w:bookmarkStart w:id="938" w:name="_Toc1724"/>
            <w:bookmarkEnd w:id="938"/>
            <w:bookmarkStart w:id="939" w:name="_Toc26167"/>
            <w:bookmarkEnd w:id="939"/>
            <w:bookmarkStart w:id="940" w:name="_Toc30494"/>
            <w:bookmarkEnd w:id="940"/>
            <w:bookmarkStart w:id="941" w:name="_Toc31"/>
            <w:bookmarkEnd w:id="941"/>
            <w:bookmarkStart w:id="942" w:name="_Toc3078"/>
            <w:bookmarkEnd w:id="942"/>
            <w:bookmarkStart w:id="943" w:name="_Toc6820"/>
            <w:bookmarkEnd w:id="943"/>
            <w:bookmarkStart w:id="944" w:name="_Toc30433"/>
            <w:bookmarkEnd w:id="944"/>
            <w:bookmarkStart w:id="945" w:name="_Toc20291"/>
            <w:bookmarkEnd w:id="945"/>
            <w:bookmarkStart w:id="946" w:name="_Toc23180"/>
            <w:bookmarkEnd w:id="946"/>
            <w:bookmarkStart w:id="947" w:name="_Toc4261"/>
            <w:bookmarkEnd w:id="947"/>
            <w:bookmarkStart w:id="948" w:name="_Toc12728"/>
            <w:bookmarkEnd w:id="948"/>
            <w:bookmarkStart w:id="949" w:name="_Toc7570"/>
            <w:bookmarkEnd w:id="949"/>
            <w:bookmarkStart w:id="950" w:name="_Toc16880"/>
            <w:bookmarkEnd w:id="950"/>
            <w:bookmarkStart w:id="951" w:name="_Toc4344"/>
            <w:bookmarkEnd w:id="951"/>
            <w:bookmarkStart w:id="952" w:name="_Toc13243"/>
            <w:bookmarkEnd w:id="952"/>
            <w:bookmarkStart w:id="953" w:name="_Toc15915"/>
            <w:bookmarkEnd w:id="953"/>
            <w:bookmarkStart w:id="954" w:name="_Toc4292"/>
            <w:bookmarkEnd w:id="954"/>
            <w:bookmarkStart w:id="955" w:name="_Toc14153"/>
            <w:bookmarkEnd w:id="955"/>
          </w:p>
        </w:tc>
        <w:tc>
          <w:tcPr>
            <w:tcW w:w="425" w:type="pct"/>
            <w:tcBorders>
              <w:tl2br w:val="nil"/>
              <w:tr2bl w:val="nil"/>
            </w:tcBorders>
            <w:vAlign w:val="center"/>
          </w:tcPr>
          <w:p w14:paraId="00071F05">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szCs w:val="21"/>
                <w:highlight w:val="none"/>
              </w:rPr>
              <w:t>盐酸</w:t>
            </w:r>
          </w:p>
        </w:tc>
        <w:tc>
          <w:tcPr>
            <w:tcW w:w="1085" w:type="pct"/>
            <w:tcBorders>
              <w:tl2br w:val="nil"/>
              <w:tr2bl w:val="nil"/>
            </w:tcBorders>
            <w:vAlign w:val="center"/>
          </w:tcPr>
          <w:p w14:paraId="1340F04F">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皮肤腐蚀/刺激</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类别1B</w:t>
            </w:r>
          </w:p>
          <w:p w14:paraId="4745B7C5">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严重眼损伤/眼刺激</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类别1</w:t>
            </w:r>
          </w:p>
          <w:p w14:paraId="2FB8C368">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特异性靶器官毒性</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一次接触</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类别3（呼吸道刺激）</w:t>
            </w:r>
          </w:p>
          <w:p w14:paraId="7B855166">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危害水生环境</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急性危害</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类别2</w:t>
            </w:r>
          </w:p>
        </w:tc>
        <w:tc>
          <w:tcPr>
            <w:tcW w:w="322" w:type="pct"/>
            <w:tcBorders>
              <w:tl2br w:val="nil"/>
              <w:tr2bl w:val="nil"/>
            </w:tcBorders>
            <w:vAlign w:val="center"/>
          </w:tcPr>
          <w:p w14:paraId="1A8B7708">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514" w:type="pct"/>
            <w:tcBorders>
              <w:tl2br w:val="nil"/>
              <w:tr2bl w:val="nil"/>
            </w:tcBorders>
            <w:vAlign w:val="center"/>
          </w:tcPr>
          <w:p w14:paraId="0474840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11" w:type="pct"/>
            <w:tcBorders>
              <w:tl2br w:val="nil"/>
              <w:tr2bl w:val="nil"/>
            </w:tcBorders>
            <w:vAlign w:val="center"/>
          </w:tcPr>
          <w:p w14:paraId="13FC90A9">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戊类</w:t>
            </w:r>
          </w:p>
        </w:tc>
        <w:tc>
          <w:tcPr>
            <w:tcW w:w="346" w:type="pct"/>
            <w:tcBorders>
              <w:tl2br w:val="nil"/>
              <w:tr2bl w:val="nil"/>
            </w:tcBorders>
            <w:vAlign w:val="center"/>
          </w:tcPr>
          <w:p w14:paraId="1F40BF7B">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15</w:t>
            </w:r>
          </w:p>
        </w:tc>
        <w:tc>
          <w:tcPr>
            <w:tcW w:w="365" w:type="pct"/>
            <w:tcBorders>
              <w:tl2br w:val="nil"/>
              <w:tr2bl w:val="nil"/>
            </w:tcBorders>
            <w:vAlign w:val="center"/>
          </w:tcPr>
          <w:p w14:paraId="65BAC96A">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37" w:type="pct"/>
            <w:tcBorders>
              <w:tl2br w:val="nil"/>
              <w:tr2bl w:val="nil"/>
            </w:tcBorders>
            <w:vAlign w:val="center"/>
          </w:tcPr>
          <w:p w14:paraId="3EC2C936">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748" w:type="pct"/>
            <w:tcBorders>
              <w:tl2br w:val="nil"/>
              <w:tr2bl w:val="nil"/>
            </w:tcBorders>
            <w:vAlign w:val="center"/>
          </w:tcPr>
          <w:p w14:paraId="329559F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LD50：900mg/kg</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兔经口</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；LC50：20000ppm*4小时（大鼠吸入</w:t>
            </w:r>
            <w:r>
              <w:rPr>
                <w:rFonts w:hint="eastAsia" w:ascii="宋体" w:hAnsi="宋体" w:cs="宋体"/>
                <w:color w:val="auto"/>
                <w:szCs w:val="21"/>
                <w:highlight w:val="none"/>
                <w:lang w:eastAsia="zh-CN"/>
              </w:rPr>
              <w:t>）</w:t>
            </w:r>
          </w:p>
        </w:tc>
        <w:tc>
          <w:tcPr>
            <w:tcW w:w="358" w:type="pct"/>
            <w:tcBorders>
              <w:tl2br w:val="nil"/>
              <w:tr2bl w:val="nil"/>
            </w:tcBorders>
            <w:vAlign w:val="center"/>
          </w:tcPr>
          <w:p w14:paraId="61BEA57F">
            <w:pPr>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szCs w:val="21"/>
                <w:highlight w:val="none"/>
                <w:lang w:val="en-US" w:eastAsia="zh-CN"/>
              </w:rPr>
              <w:t>轻</w:t>
            </w:r>
            <w:r>
              <w:rPr>
                <w:rFonts w:hint="eastAsia" w:ascii="宋体" w:hAnsi="宋体" w:eastAsia="宋体" w:cs="宋体"/>
                <w:color w:val="auto"/>
                <w:szCs w:val="21"/>
                <w:highlight w:val="none"/>
              </w:rPr>
              <w:t>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Ⅱ级</w:t>
            </w:r>
            <w:r>
              <w:rPr>
                <w:rFonts w:hint="eastAsia" w:ascii="宋体" w:hAnsi="宋体" w:eastAsia="宋体" w:cs="宋体"/>
                <w:color w:val="auto"/>
                <w:szCs w:val="21"/>
                <w:highlight w:val="none"/>
                <w:lang w:eastAsia="zh-CN"/>
              </w:rPr>
              <w:t>）</w:t>
            </w:r>
          </w:p>
        </w:tc>
      </w:tr>
      <w:tr w14:paraId="67F27C71">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2D695B59">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956" w:name="_Toc19022"/>
            <w:bookmarkEnd w:id="956"/>
            <w:bookmarkStart w:id="957" w:name="_Toc29445"/>
            <w:bookmarkEnd w:id="957"/>
            <w:bookmarkStart w:id="958" w:name="_Toc4566"/>
            <w:bookmarkEnd w:id="958"/>
            <w:bookmarkStart w:id="959" w:name="_Toc12001"/>
            <w:bookmarkEnd w:id="959"/>
            <w:bookmarkStart w:id="960" w:name="_Toc27096"/>
            <w:bookmarkEnd w:id="960"/>
            <w:bookmarkStart w:id="961" w:name="_Toc22078"/>
            <w:bookmarkEnd w:id="961"/>
            <w:bookmarkStart w:id="962" w:name="_Toc21967"/>
            <w:bookmarkEnd w:id="962"/>
            <w:bookmarkStart w:id="963" w:name="_Toc3924"/>
            <w:bookmarkEnd w:id="963"/>
            <w:bookmarkStart w:id="964" w:name="_Toc26020"/>
            <w:bookmarkEnd w:id="964"/>
            <w:bookmarkStart w:id="965" w:name="_Toc860"/>
            <w:bookmarkEnd w:id="965"/>
            <w:bookmarkStart w:id="966" w:name="_Toc13762"/>
            <w:bookmarkEnd w:id="966"/>
            <w:bookmarkStart w:id="967" w:name="_Toc4921"/>
            <w:bookmarkEnd w:id="967"/>
            <w:bookmarkStart w:id="968" w:name="_Toc7656"/>
            <w:bookmarkEnd w:id="968"/>
            <w:bookmarkStart w:id="969" w:name="_Toc21730"/>
            <w:bookmarkEnd w:id="969"/>
            <w:bookmarkStart w:id="970" w:name="_Toc15539"/>
            <w:bookmarkEnd w:id="970"/>
            <w:bookmarkStart w:id="971" w:name="_Toc24741"/>
            <w:bookmarkEnd w:id="971"/>
            <w:bookmarkStart w:id="972" w:name="_Toc6915"/>
            <w:bookmarkEnd w:id="972"/>
            <w:bookmarkStart w:id="973" w:name="_Toc30785"/>
            <w:bookmarkEnd w:id="973"/>
            <w:bookmarkStart w:id="974" w:name="_Toc27746"/>
            <w:bookmarkEnd w:id="974"/>
            <w:bookmarkStart w:id="975" w:name="_Toc19180"/>
            <w:bookmarkEnd w:id="975"/>
          </w:p>
        </w:tc>
        <w:tc>
          <w:tcPr>
            <w:tcW w:w="425" w:type="pct"/>
            <w:tcBorders>
              <w:tl2br w:val="nil"/>
              <w:tr2bl w:val="nil"/>
            </w:tcBorders>
            <w:vAlign w:val="center"/>
          </w:tcPr>
          <w:p w14:paraId="37F61011">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过氧化二苯甲酰</w:t>
            </w:r>
          </w:p>
        </w:tc>
        <w:tc>
          <w:tcPr>
            <w:tcW w:w="1085" w:type="pct"/>
            <w:tcBorders>
              <w:tl2br w:val="nil"/>
              <w:tr2bl w:val="nil"/>
            </w:tcBorders>
            <w:vAlign w:val="center"/>
          </w:tcPr>
          <w:p w14:paraId="68132535">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有机过氧化物</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B型</w:t>
            </w:r>
          </w:p>
          <w:p w14:paraId="5F6FE8E9">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严重眼损伤/眼刺激</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类别2</w:t>
            </w:r>
          </w:p>
          <w:p w14:paraId="5DE1BC06">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皮肤致敏物</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类别1</w:t>
            </w:r>
          </w:p>
          <w:p w14:paraId="70106F38">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危害水生环境</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急性危害</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类别1</w:t>
            </w:r>
          </w:p>
        </w:tc>
        <w:tc>
          <w:tcPr>
            <w:tcW w:w="322" w:type="pct"/>
            <w:tcBorders>
              <w:tl2br w:val="nil"/>
              <w:tr2bl w:val="nil"/>
            </w:tcBorders>
            <w:vAlign w:val="center"/>
          </w:tcPr>
          <w:p w14:paraId="17BE7326">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无资料</w:t>
            </w:r>
          </w:p>
        </w:tc>
        <w:tc>
          <w:tcPr>
            <w:tcW w:w="514" w:type="pct"/>
            <w:tcBorders>
              <w:tl2br w:val="nil"/>
              <w:tr2bl w:val="nil"/>
            </w:tcBorders>
            <w:vAlign w:val="center"/>
          </w:tcPr>
          <w:p w14:paraId="2632430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无资料</w:t>
            </w:r>
          </w:p>
        </w:tc>
        <w:tc>
          <w:tcPr>
            <w:tcW w:w="311" w:type="pct"/>
            <w:tcBorders>
              <w:tl2br w:val="nil"/>
              <w:tr2bl w:val="nil"/>
            </w:tcBorders>
            <w:vAlign w:val="center"/>
          </w:tcPr>
          <w:p w14:paraId="74DEB612">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甲类</w:t>
            </w:r>
          </w:p>
        </w:tc>
        <w:tc>
          <w:tcPr>
            <w:tcW w:w="346" w:type="pct"/>
            <w:tcBorders>
              <w:tl2br w:val="nil"/>
              <w:tr2bl w:val="nil"/>
            </w:tcBorders>
            <w:vAlign w:val="center"/>
          </w:tcPr>
          <w:p w14:paraId="417A6CEA">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65" w:type="pct"/>
            <w:tcBorders>
              <w:tl2br w:val="nil"/>
              <w:tr2bl w:val="nil"/>
            </w:tcBorders>
            <w:vAlign w:val="center"/>
          </w:tcPr>
          <w:p w14:paraId="619AA0F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5</w:t>
            </w:r>
          </w:p>
        </w:tc>
        <w:tc>
          <w:tcPr>
            <w:tcW w:w="337" w:type="pct"/>
            <w:tcBorders>
              <w:tl2br w:val="nil"/>
              <w:tr2bl w:val="nil"/>
            </w:tcBorders>
            <w:vAlign w:val="center"/>
          </w:tcPr>
          <w:p w14:paraId="205E9CE0">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748" w:type="pct"/>
            <w:tcBorders>
              <w:tl2br w:val="nil"/>
              <w:tr2bl w:val="nil"/>
            </w:tcBorders>
            <w:vAlign w:val="center"/>
          </w:tcPr>
          <w:p w14:paraId="71307439">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LD50：7710mg/kg</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大鼠经口</w:t>
            </w:r>
            <w:r>
              <w:rPr>
                <w:rFonts w:hint="eastAsia" w:ascii="宋体" w:hAnsi="宋体" w:cs="宋体"/>
                <w:color w:val="auto"/>
                <w:szCs w:val="21"/>
                <w:highlight w:val="none"/>
                <w:lang w:eastAsia="zh-CN"/>
              </w:rPr>
              <w:t>）</w:t>
            </w:r>
          </w:p>
        </w:tc>
        <w:tc>
          <w:tcPr>
            <w:tcW w:w="358" w:type="pct"/>
            <w:tcBorders>
              <w:tl2br w:val="nil"/>
              <w:tr2bl w:val="nil"/>
            </w:tcBorders>
            <w:vAlign w:val="center"/>
          </w:tcPr>
          <w:p w14:paraId="660ABED0">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轻度危害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r w14:paraId="7AAA7798">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071348C4">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976" w:name="_Toc5551"/>
            <w:bookmarkEnd w:id="976"/>
            <w:bookmarkStart w:id="977" w:name="_Toc32004"/>
            <w:bookmarkEnd w:id="977"/>
            <w:bookmarkStart w:id="978" w:name="_Toc29593"/>
            <w:bookmarkEnd w:id="978"/>
            <w:bookmarkStart w:id="979" w:name="_Toc25105"/>
            <w:bookmarkEnd w:id="979"/>
            <w:bookmarkStart w:id="980" w:name="_Toc315"/>
            <w:bookmarkEnd w:id="980"/>
            <w:bookmarkStart w:id="981" w:name="_Toc3433"/>
            <w:bookmarkEnd w:id="981"/>
            <w:bookmarkStart w:id="982" w:name="_Toc30268"/>
            <w:bookmarkEnd w:id="982"/>
            <w:bookmarkStart w:id="983" w:name="_Toc30347"/>
            <w:bookmarkEnd w:id="983"/>
            <w:bookmarkStart w:id="984" w:name="_Toc27910"/>
            <w:bookmarkEnd w:id="984"/>
            <w:bookmarkStart w:id="985" w:name="_Toc18647"/>
            <w:bookmarkEnd w:id="985"/>
            <w:bookmarkStart w:id="986" w:name="_Toc11295"/>
            <w:bookmarkEnd w:id="986"/>
            <w:bookmarkStart w:id="987" w:name="_Toc5586"/>
            <w:bookmarkEnd w:id="987"/>
            <w:bookmarkStart w:id="988" w:name="_Toc25090"/>
            <w:bookmarkEnd w:id="988"/>
            <w:bookmarkStart w:id="989" w:name="_Toc2465"/>
            <w:bookmarkEnd w:id="989"/>
            <w:bookmarkStart w:id="990" w:name="_Toc19762"/>
            <w:bookmarkEnd w:id="990"/>
            <w:bookmarkStart w:id="991" w:name="_Toc10518"/>
            <w:bookmarkEnd w:id="991"/>
            <w:bookmarkStart w:id="992" w:name="_Toc1718"/>
            <w:bookmarkEnd w:id="992"/>
            <w:bookmarkStart w:id="993" w:name="_Toc23399"/>
            <w:bookmarkEnd w:id="993"/>
            <w:bookmarkStart w:id="994" w:name="_Toc29434"/>
            <w:bookmarkEnd w:id="994"/>
            <w:bookmarkStart w:id="995" w:name="_Toc32371"/>
            <w:bookmarkEnd w:id="995"/>
          </w:p>
        </w:tc>
        <w:tc>
          <w:tcPr>
            <w:tcW w:w="425" w:type="pct"/>
            <w:tcBorders>
              <w:tl2br w:val="nil"/>
              <w:tr2bl w:val="nil"/>
            </w:tcBorders>
            <w:vAlign w:val="center"/>
          </w:tcPr>
          <w:p w14:paraId="65ECA5C2">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过氧化甲乙酮</w:t>
            </w:r>
          </w:p>
        </w:tc>
        <w:tc>
          <w:tcPr>
            <w:tcW w:w="1085" w:type="pct"/>
            <w:tcBorders>
              <w:tl2br w:val="nil"/>
              <w:tr2bl w:val="nil"/>
            </w:tcBorders>
            <w:vAlign w:val="center"/>
          </w:tcPr>
          <w:p w14:paraId="3009CBF5">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有机过氧化物</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E型</w:t>
            </w:r>
          </w:p>
          <w:p w14:paraId="1E6F4825">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皮肤腐蚀/刺激</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类别2</w:t>
            </w:r>
          </w:p>
          <w:p w14:paraId="4EA3AF3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严重眼损伤/眼刺激</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类别2</w:t>
            </w:r>
          </w:p>
        </w:tc>
        <w:tc>
          <w:tcPr>
            <w:tcW w:w="322" w:type="pct"/>
            <w:tcBorders>
              <w:tl2br w:val="nil"/>
              <w:tr2bl w:val="nil"/>
            </w:tcBorders>
            <w:vAlign w:val="center"/>
          </w:tcPr>
          <w:p w14:paraId="23E816F2">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50</w:t>
            </w:r>
          </w:p>
        </w:tc>
        <w:tc>
          <w:tcPr>
            <w:tcW w:w="514" w:type="pct"/>
            <w:tcBorders>
              <w:tl2br w:val="nil"/>
              <w:tr2bl w:val="nil"/>
            </w:tcBorders>
            <w:vAlign w:val="center"/>
          </w:tcPr>
          <w:p w14:paraId="68EEC184">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无资料</w:t>
            </w:r>
          </w:p>
        </w:tc>
        <w:tc>
          <w:tcPr>
            <w:tcW w:w="311" w:type="pct"/>
            <w:tcBorders>
              <w:tl2br w:val="nil"/>
              <w:tr2bl w:val="nil"/>
            </w:tcBorders>
            <w:vAlign w:val="center"/>
          </w:tcPr>
          <w:p w14:paraId="02EF05FB">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甲类</w:t>
            </w:r>
          </w:p>
        </w:tc>
        <w:tc>
          <w:tcPr>
            <w:tcW w:w="346" w:type="pct"/>
            <w:tcBorders>
              <w:tl2br w:val="nil"/>
              <w:tr2bl w:val="nil"/>
            </w:tcBorders>
            <w:vAlign w:val="center"/>
          </w:tcPr>
          <w:p w14:paraId="5604790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65" w:type="pct"/>
            <w:tcBorders>
              <w:tl2br w:val="nil"/>
              <w:tr2bl w:val="nil"/>
            </w:tcBorders>
            <w:vAlign w:val="center"/>
          </w:tcPr>
          <w:p w14:paraId="2C6B6863">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0.2×10</w:t>
            </w:r>
            <w:r>
              <w:rPr>
                <w:rFonts w:hint="eastAsia" w:ascii="宋体" w:hAnsi="宋体" w:eastAsia="宋体" w:cs="宋体"/>
                <w:color w:val="auto"/>
                <w:szCs w:val="21"/>
                <w:highlight w:val="none"/>
                <w:vertAlign w:val="superscript"/>
              </w:rPr>
              <w:t>-6</w:t>
            </w:r>
            <w:r>
              <w:rPr>
                <w:rFonts w:hint="eastAsia" w:ascii="宋体" w:hAnsi="宋体" w:eastAsia="宋体" w:cs="宋体"/>
                <w:color w:val="auto"/>
                <w:szCs w:val="21"/>
                <w:highlight w:val="none"/>
              </w:rPr>
              <w:t>(CL)</w:t>
            </w:r>
          </w:p>
        </w:tc>
        <w:tc>
          <w:tcPr>
            <w:tcW w:w="337" w:type="pct"/>
            <w:tcBorders>
              <w:tl2br w:val="nil"/>
              <w:tr2bl w:val="nil"/>
            </w:tcBorders>
            <w:vAlign w:val="center"/>
          </w:tcPr>
          <w:p w14:paraId="37FC3193">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748" w:type="pct"/>
            <w:tcBorders>
              <w:tl2br w:val="nil"/>
              <w:tr2bl w:val="nil"/>
            </w:tcBorders>
            <w:vAlign w:val="center"/>
          </w:tcPr>
          <w:p w14:paraId="383B0827">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LD50：484mg/kg</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大鼠经口</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；LC50：200ppm，4小时</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大鼠吸入</w:t>
            </w:r>
            <w:r>
              <w:rPr>
                <w:rFonts w:hint="eastAsia" w:ascii="宋体" w:hAnsi="宋体" w:cs="宋体"/>
                <w:color w:val="auto"/>
                <w:szCs w:val="21"/>
                <w:highlight w:val="none"/>
                <w:lang w:eastAsia="zh-CN"/>
              </w:rPr>
              <w:t>）</w:t>
            </w:r>
          </w:p>
        </w:tc>
        <w:tc>
          <w:tcPr>
            <w:tcW w:w="358" w:type="pct"/>
            <w:tcBorders>
              <w:tl2br w:val="nil"/>
              <w:tr2bl w:val="nil"/>
            </w:tcBorders>
            <w:vAlign w:val="center"/>
          </w:tcPr>
          <w:p w14:paraId="26350240">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轻度危害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r w14:paraId="366A28C1">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574903F8">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996" w:name="_Toc14575"/>
            <w:bookmarkEnd w:id="996"/>
            <w:bookmarkStart w:id="997" w:name="_Toc2455"/>
            <w:bookmarkEnd w:id="997"/>
            <w:bookmarkStart w:id="998" w:name="_Toc27304"/>
            <w:bookmarkEnd w:id="998"/>
            <w:bookmarkStart w:id="999" w:name="_Toc13551"/>
            <w:bookmarkEnd w:id="999"/>
            <w:bookmarkStart w:id="1000" w:name="_Toc17331"/>
            <w:bookmarkEnd w:id="1000"/>
            <w:bookmarkStart w:id="1001" w:name="_Toc8611"/>
            <w:bookmarkEnd w:id="1001"/>
            <w:bookmarkStart w:id="1002" w:name="_Toc12171"/>
            <w:bookmarkEnd w:id="1002"/>
            <w:bookmarkStart w:id="1003" w:name="_Toc21091"/>
            <w:bookmarkEnd w:id="1003"/>
            <w:bookmarkStart w:id="1004" w:name="_Toc18594"/>
            <w:bookmarkEnd w:id="1004"/>
            <w:bookmarkStart w:id="1005" w:name="_Toc18885"/>
            <w:bookmarkEnd w:id="1005"/>
            <w:bookmarkStart w:id="1006" w:name="_Toc5198"/>
            <w:bookmarkEnd w:id="1006"/>
            <w:bookmarkStart w:id="1007" w:name="_Toc511"/>
            <w:bookmarkEnd w:id="1007"/>
            <w:bookmarkStart w:id="1008" w:name="_Toc27307"/>
            <w:bookmarkEnd w:id="1008"/>
            <w:bookmarkStart w:id="1009" w:name="_Toc31934"/>
            <w:bookmarkEnd w:id="1009"/>
            <w:bookmarkStart w:id="1010" w:name="_Toc1910"/>
            <w:bookmarkEnd w:id="1010"/>
            <w:bookmarkStart w:id="1011" w:name="_Toc26205"/>
            <w:bookmarkEnd w:id="1011"/>
            <w:bookmarkStart w:id="1012" w:name="_Toc26039"/>
            <w:bookmarkEnd w:id="1012"/>
            <w:bookmarkStart w:id="1013" w:name="_Toc26621"/>
            <w:bookmarkEnd w:id="1013"/>
            <w:bookmarkStart w:id="1014" w:name="_Toc3095"/>
            <w:bookmarkEnd w:id="1014"/>
            <w:bookmarkStart w:id="1015" w:name="_Toc27176"/>
            <w:bookmarkEnd w:id="1015"/>
          </w:p>
        </w:tc>
        <w:tc>
          <w:tcPr>
            <w:tcW w:w="425" w:type="pct"/>
            <w:tcBorders>
              <w:tl2br w:val="nil"/>
              <w:tr2bl w:val="nil"/>
            </w:tcBorders>
            <w:vAlign w:val="center"/>
          </w:tcPr>
          <w:p w14:paraId="192C4149">
            <w:pPr>
              <w:pStyle w:val="44"/>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双氧水</w:t>
            </w:r>
          </w:p>
        </w:tc>
        <w:tc>
          <w:tcPr>
            <w:tcW w:w="1085" w:type="pct"/>
            <w:tcBorders>
              <w:tl2br w:val="nil"/>
              <w:tr2bl w:val="nil"/>
            </w:tcBorders>
            <w:vAlign w:val="center"/>
          </w:tcPr>
          <w:p w14:paraId="0CD41E9C">
            <w:pPr>
              <w:widowControl/>
              <w:adjustRightInd w:val="0"/>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氧化性液体，类别2</w:t>
            </w:r>
          </w:p>
          <w:p w14:paraId="745B2652">
            <w:pPr>
              <w:widowControl/>
              <w:adjustRightInd w:val="0"/>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皮肤腐蚀/刺激，类别1A</w:t>
            </w:r>
          </w:p>
          <w:p w14:paraId="7B067FF5">
            <w:pPr>
              <w:widowControl/>
              <w:adjustRightInd w:val="0"/>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严重眼损伤/眼刺激，类别1</w:t>
            </w:r>
          </w:p>
          <w:p w14:paraId="4220FEEB">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Cs w:val="21"/>
                <w:highlight w:val="none"/>
              </w:rPr>
              <w:t>特异性靶器官毒性</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一次接触，类别3（呼吸道刺激）</w:t>
            </w:r>
          </w:p>
        </w:tc>
        <w:tc>
          <w:tcPr>
            <w:tcW w:w="322" w:type="pct"/>
            <w:tcBorders>
              <w:tl2br w:val="nil"/>
              <w:tr2bl w:val="nil"/>
            </w:tcBorders>
            <w:vAlign w:val="center"/>
          </w:tcPr>
          <w:p w14:paraId="3FF9FAA3">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无意义</w:t>
            </w:r>
          </w:p>
        </w:tc>
        <w:tc>
          <w:tcPr>
            <w:tcW w:w="514" w:type="pct"/>
            <w:tcBorders>
              <w:tl2br w:val="nil"/>
              <w:tr2bl w:val="nil"/>
            </w:tcBorders>
            <w:vAlign w:val="center"/>
          </w:tcPr>
          <w:p w14:paraId="393844A6">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无意义</w:t>
            </w:r>
          </w:p>
        </w:tc>
        <w:tc>
          <w:tcPr>
            <w:tcW w:w="311" w:type="pct"/>
            <w:tcBorders>
              <w:tl2br w:val="nil"/>
              <w:tr2bl w:val="nil"/>
            </w:tcBorders>
            <w:vAlign w:val="center"/>
          </w:tcPr>
          <w:p w14:paraId="0AFB08F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乙类</w:t>
            </w:r>
          </w:p>
        </w:tc>
        <w:tc>
          <w:tcPr>
            <w:tcW w:w="346" w:type="pct"/>
            <w:tcBorders>
              <w:tl2br w:val="nil"/>
              <w:tr2bl w:val="nil"/>
            </w:tcBorders>
            <w:vAlign w:val="center"/>
          </w:tcPr>
          <w:p w14:paraId="00C912F0">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65" w:type="pct"/>
            <w:tcBorders>
              <w:tl2br w:val="nil"/>
              <w:tr2bl w:val="nil"/>
            </w:tcBorders>
            <w:vAlign w:val="center"/>
          </w:tcPr>
          <w:p w14:paraId="556B7B24">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1.5</w:t>
            </w:r>
          </w:p>
        </w:tc>
        <w:tc>
          <w:tcPr>
            <w:tcW w:w="337" w:type="pct"/>
            <w:tcBorders>
              <w:tl2br w:val="nil"/>
              <w:tr2bl w:val="nil"/>
            </w:tcBorders>
            <w:vAlign w:val="center"/>
          </w:tcPr>
          <w:p w14:paraId="333A0835">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748" w:type="pct"/>
            <w:tcBorders>
              <w:tl2br w:val="nil"/>
              <w:tr2bl w:val="nil"/>
            </w:tcBorders>
            <w:vAlign w:val="center"/>
          </w:tcPr>
          <w:p w14:paraId="3C1B13D2">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LD50:2000mg/kg</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大鼠经口）；</w:t>
            </w:r>
          </w:p>
          <w:p w14:paraId="2CE8DBBA">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LC50:2000mg/kg/4小时</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吸入</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大鼠</w:t>
            </w:r>
          </w:p>
        </w:tc>
        <w:tc>
          <w:tcPr>
            <w:tcW w:w="358" w:type="pct"/>
            <w:tcBorders>
              <w:tl2br w:val="nil"/>
              <w:tr2bl w:val="nil"/>
            </w:tcBorders>
            <w:vAlign w:val="center"/>
          </w:tcPr>
          <w:p w14:paraId="4250596C">
            <w:pPr>
              <w:pStyle w:val="19"/>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szCs w:val="21"/>
                <w:highlight w:val="none"/>
                <w:lang w:eastAsia="zh-CN"/>
              </w:rPr>
              <w:t>轻</w:t>
            </w:r>
            <w:r>
              <w:rPr>
                <w:rFonts w:hint="eastAsia" w:ascii="宋体" w:hAnsi="宋体" w:eastAsia="宋体" w:cs="宋体"/>
                <w:color w:val="auto"/>
                <w:szCs w:val="21"/>
                <w:highlight w:val="none"/>
              </w:rPr>
              <w:t>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r w14:paraId="7570C518">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44404625">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1016" w:name="_Toc12656"/>
            <w:bookmarkEnd w:id="1016"/>
            <w:bookmarkStart w:id="1017" w:name="_Toc29745"/>
            <w:bookmarkEnd w:id="1017"/>
            <w:bookmarkStart w:id="1018" w:name="_Toc6182"/>
            <w:bookmarkEnd w:id="1018"/>
            <w:bookmarkStart w:id="1019" w:name="_Toc21861"/>
            <w:bookmarkEnd w:id="1019"/>
            <w:bookmarkStart w:id="1020" w:name="_Toc12282"/>
            <w:bookmarkEnd w:id="1020"/>
            <w:bookmarkStart w:id="1021" w:name="_Toc7623"/>
            <w:bookmarkEnd w:id="1021"/>
            <w:bookmarkStart w:id="1022" w:name="_Toc24990"/>
            <w:bookmarkEnd w:id="1022"/>
            <w:bookmarkStart w:id="1023" w:name="_Toc29841"/>
            <w:bookmarkEnd w:id="1023"/>
            <w:bookmarkStart w:id="1024" w:name="_Toc22774"/>
            <w:bookmarkEnd w:id="1024"/>
            <w:bookmarkStart w:id="1025" w:name="_Toc19539"/>
            <w:bookmarkEnd w:id="1025"/>
            <w:bookmarkStart w:id="1026" w:name="_Toc25735"/>
            <w:bookmarkEnd w:id="1026"/>
            <w:bookmarkStart w:id="1027" w:name="_Toc16965"/>
            <w:bookmarkEnd w:id="1027"/>
          </w:p>
        </w:tc>
        <w:tc>
          <w:tcPr>
            <w:tcW w:w="425" w:type="pct"/>
            <w:tcBorders>
              <w:tl2br w:val="nil"/>
              <w:tr2bl w:val="nil"/>
            </w:tcBorders>
            <w:vAlign w:val="center"/>
          </w:tcPr>
          <w:p w14:paraId="504F8305">
            <w:pPr>
              <w:pStyle w:val="44"/>
              <w:adjustRightInd w:val="0"/>
              <w:snapToGrid w:val="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硝酸银</w:t>
            </w:r>
          </w:p>
        </w:tc>
        <w:tc>
          <w:tcPr>
            <w:tcW w:w="1085" w:type="pct"/>
            <w:tcBorders>
              <w:tl2br w:val="nil"/>
              <w:tr2bl w:val="nil"/>
            </w:tcBorders>
            <w:vAlign w:val="center"/>
          </w:tcPr>
          <w:p w14:paraId="1023ECA4">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氧化性固体</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类别2</w:t>
            </w:r>
          </w:p>
          <w:p w14:paraId="2A2F05FE">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皮肤腐蚀/刺激</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类别1B</w:t>
            </w:r>
          </w:p>
          <w:p w14:paraId="4E9FF1E0">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严重眼损伤/眼刺激</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类别1</w:t>
            </w:r>
          </w:p>
          <w:p w14:paraId="6D1E21C4">
            <w:pPr>
              <w:widowControl/>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危害水生环境</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急性危害</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类别1</w:t>
            </w:r>
          </w:p>
          <w:p w14:paraId="618A669B">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危害水生环境</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长期危害</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类别1</w:t>
            </w:r>
          </w:p>
        </w:tc>
        <w:tc>
          <w:tcPr>
            <w:tcW w:w="322" w:type="pct"/>
            <w:tcBorders>
              <w:tl2br w:val="nil"/>
              <w:tr2bl w:val="nil"/>
            </w:tcBorders>
            <w:vAlign w:val="center"/>
          </w:tcPr>
          <w:p w14:paraId="0CE9086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无意义</w:t>
            </w:r>
          </w:p>
        </w:tc>
        <w:tc>
          <w:tcPr>
            <w:tcW w:w="514" w:type="pct"/>
            <w:tcBorders>
              <w:tl2br w:val="nil"/>
              <w:tr2bl w:val="nil"/>
            </w:tcBorders>
            <w:vAlign w:val="center"/>
          </w:tcPr>
          <w:p w14:paraId="459B79D8">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无意义</w:t>
            </w:r>
          </w:p>
        </w:tc>
        <w:tc>
          <w:tcPr>
            <w:tcW w:w="311" w:type="pct"/>
            <w:tcBorders>
              <w:tl2br w:val="nil"/>
              <w:tr2bl w:val="nil"/>
            </w:tcBorders>
            <w:vAlign w:val="center"/>
          </w:tcPr>
          <w:p w14:paraId="3520FF4B">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乙类</w:t>
            </w:r>
          </w:p>
        </w:tc>
        <w:tc>
          <w:tcPr>
            <w:tcW w:w="346" w:type="pct"/>
            <w:tcBorders>
              <w:tl2br w:val="nil"/>
              <w:tr2bl w:val="nil"/>
            </w:tcBorders>
            <w:vAlign w:val="center"/>
          </w:tcPr>
          <w:p w14:paraId="0401CC7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65" w:type="pct"/>
            <w:tcBorders>
              <w:tl2br w:val="nil"/>
              <w:tr2bl w:val="nil"/>
            </w:tcBorders>
            <w:vAlign w:val="center"/>
          </w:tcPr>
          <w:p w14:paraId="74CBDF3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37" w:type="pct"/>
            <w:tcBorders>
              <w:tl2br w:val="nil"/>
              <w:tr2bl w:val="nil"/>
            </w:tcBorders>
            <w:vAlign w:val="center"/>
          </w:tcPr>
          <w:p w14:paraId="639A3A66">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748" w:type="pct"/>
            <w:tcBorders>
              <w:tl2br w:val="nil"/>
              <w:tr2bl w:val="nil"/>
            </w:tcBorders>
            <w:vAlign w:val="center"/>
          </w:tcPr>
          <w:p w14:paraId="6BCC31B3">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58" w:type="pct"/>
            <w:tcBorders>
              <w:tl2br w:val="nil"/>
              <w:tr2bl w:val="nil"/>
            </w:tcBorders>
            <w:vAlign w:val="center"/>
          </w:tcPr>
          <w:p w14:paraId="6EE3C9E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轻度危害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r w14:paraId="7BE0945D">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3979BAC2">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1028" w:name="_Toc4166"/>
            <w:bookmarkEnd w:id="1028"/>
            <w:bookmarkStart w:id="1029" w:name="_Toc25920"/>
            <w:bookmarkEnd w:id="1029"/>
            <w:bookmarkStart w:id="1030" w:name="_Toc1047"/>
            <w:bookmarkEnd w:id="1030"/>
            <w:bookmarkStart w:id="1031" w:name="_Toc6580"/>
            <w:bookmarkEnd w:id="1031"/>
            <w:bookmarkStart w:id="1032" w:name="_Toc8647"/>
            <w:bookmarkEnd w:id="1032"/>
            <w:bookmarkStart w:id="1033" w:name="_Toc471"/>
            <w:bookmarkEnd w:id="1033"/>
            <w:bookmarkStart w:id="1034" w:name="_Toc22623"/>
            <w:bookmarkEnd w:id="1034"/>
            <w:bookmarkStart w:id="1035" w:name="_Toc1616"/>
            <w:bookmarkEnd w:id="1035"/>
            <w:bookmarkStart w:id="1036" w:name="_Toc23910"/>
            <w:bookmarkEnd w:id="1036"/>
            <w:bookmarkStart w:id="1037" w:name="_Toc10601"/>
            <w:bookmarkEnd w:id="1037"/>
            <w:bookmarkStart w:id="1038" w:name="_Toc22592"/>
            <w:bookmarkEnd w:id="1038"/>
            <w:bookmarkStart w:id="1039" w:name="_Toc13647"/>
            <w:bookmarkEnd w:id="1039"/>
            <w:bookmarkStart w:id="1040" w:name="_Toc15738"/>
            <w:bookmarkEnd w:id="1040"/>
            <w:bookmarkStart w:id="1041" w:name="_Toc920"/>
            <w:bookmarkEnd w:id="1041"/>
            <w:bookmarkStart w:id="1042" w:name="_Toc31647"/>
            <w:bookmarkEnd w:id="1042"/>
            <w:bookmarkStart w:id="1043" w:name="_Toc15552"/>
            <w:bookmarkEnd w:id="1043"/>
            <w:bookmarkStart w:id="1044" w:name="_Toc11440"/>
            <w:bookmarkEnd w:id="1044"/>
            <w:bookmarkStart w:id="1045" w:name="_Toc27038"/>
            <w:bookmarkEnd w:id="1045"/>
          </w:p>
        </w:tc>
        <w:tc>
          <w:tcPr>
            <w:tcW w:w="425" w:type="pct"/>
            <w:tcBorders>
              <w:tl2br w:val="nil"/>
              <w:tr2bl w:val="nil"/>
            </w:tcBorders>
            <w:vAlign w:val="center"/>
          </w:tcPr>
          <w:p w14:paraId="05B0FDA9">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丙酮</w:t>
            </w:r>
          </w:p>
          <w:p w14:paraId="38B384C4">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沸点（℃）：56.5</w:t>
            </w:r>
          </w:p>
        </w:tc>
        <w:tc>
          <w:tcPr>
            <w:tcW w:w="1085" w:type="pct"/>
            <w:tcBorders>
              <w:tl2br w:val="nil"/>
              <w:tr2bl w:val="nil"/>
            </w:tcBorders>
            <w:vAlign w:val="center"/>
          </w:tcPr>
          <w:p w14:paraId="1B9E8E27">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易燃液体</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类别2</w:t>
            </w:r>
          </w:p>
          <w:p w14:paraId="6CE2515C">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严重眼损伤/眼刺激</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类别2</w:t>
            </w:r>
          </w:p>
          <w:p w14:paraId="1A0E8246">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特异性靶器官毒性</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一次接触</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类别3（麻醉效应）</w:t>
            </w:r>
          </w:p>
        </w:tc>
        <w:tc>
          <w:tcPr>
            <w:tcW w:w="322" w:type="pct"/>
            <w:tcBorders>
              <w:tl2br w:val="nil"/>
              <w:tr2bl w:val="nil"/>
            </w:tcBorders>
            <w:vAlign w:val="center"/>
          </w:tcPr>
          <w:p w14:paraId="70A53AC2">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-20</w:t>
            </w:r>
          </w:p>
        </w:tc>
        <w:tc>
          <w:tcPr>
            <w:tcW w:w="514" w:type="pct"/>
            <w:tcBorders>
              <w:tl2br w:val="nil"/>
              <w:tr2bl w:val="nil"/>
            </w:tcBorders>
            <w:vAlign w:val="center"/>
          </w:tcPr>
          <w:p w14:paraId="7F6EEDC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2.3-13.0</w:t>
            </w:r>
          </w:p>
        </w:tc>
        <w:tc>
          <w:tcPr>
            <w:tcW w:w="311" w:type="pct"/>
            <w:tcBorders>
              <w:tl2br w:val="nil"/>
              <w:tr2bl w:val="nil"/>
            </w:tcBorders>
            <w:vAlign w:val="center"/>
          </w:tcPr>
          <w:p w14:paraId="20BC5F3F">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甲类</w:t>
            </w:r>
          </w:p>
        </w:tc>
        <w:tc>
          <w:tcPr>
            <w:tcW w:w="346" w:type="pct"/>
            <w:tcBorders>
              <w:tl2br w:val="nil"/>
              <w:tr2bl w:val="nil"/>
            </w:tcBorders>
            <w:vAlign w:val="center"/>
          </w:tcPr>
          <w:p w14:paraId="1654DF01">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400</w:t>
            </w:r>
          </w:p>
        </w:tc>
        <w:tc>
          <w:tcPr>
            <w:tcW w:w="365" w:type="pct"/>
            <w:tcBorders>
              <w:tl2br w:val="nil"/>
              <w:tr2bl w:val="nil"/>
            </w:tcBorders>
            <w:vAlign w:val="center"/>
          </w:tcPr>
          <w:p w14:paraId="3E0B319A">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2380mg/m</w:t>
            </w:r>
            <w:r>
              <w:rPr>
                <w:rFonts w:hint="eastAsia" w:ascii="宋体" w:hAnsi="宋体" w:eastAsia="宋体" w:cs="宋体"/>
                <w:color w:val="auto"/>
                <w:szCs w:val="21"/>
                <w:highlight w:val="none"/>
                <w:vertAlign w:val="superscript"/>
              </w:rPr>
              <w:t>3</w:t>
            </w:r>
          </w:p>
        </w:tc>
        <w:tc>
          <w:tcPr>
            <w:tcW w:w="337" w:type="pct"/>
            <w:tcBorders>
              <w:tl2br w:val="nil"/>
              <w:tr2bl w:val="nil"/>
            </w:tcBorders>
            <w:vAlign w:val="center"/>
          </w:tcPr>
          <w:p w14:paraId="3C1E5325">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2380mg/m</w:t>
            </w:r>
            <w:r>
              <w:rPr>
                <w:rFonts w:hint="eastAsia" w:ascii="宋体" w:hAnsi="宋体" w:eastAsia="宋体" w:cs="宋体"/>
                <w:color w:val="auto"/>
                <w:szCs w:val="21"/>
                <w:highlight w:val="none"/>
                <w:vertAlign w:val="superscript"/>
              </w:rPr>
              <w:t>3</w:t>
            </w:r>
          </w:p>
        </w:tc>
        <w:tc>
          <w:tcPr>
            <w:tcW w:w="748" w:type="pct"/>
            <w:tcBorders>
              <w:tl2br w:val="nil"/>
              <w:tr2bl w:val="nil"/>
            </w:tcBorders>
            <w:vAlign w:val="center"/>
          </w:tcPr>
          <w:p w14:paraId="394E21FA">
            <w:pPr>
              <w:adjustRightInd w:val="0"/>
              <w:snapToGrid w:val="0"/>
              <w:jc w:val="center"/>
              <w:rPr>
                <w:rFonts w:hint="eastAsia" w:ascii="宋体" w:hAnsi="宋体" w:eastAsia="宋体" w:cs="宋体"/>
                <w:color w:val="auto"/>
                <w:kern w:val="0"/>
                <w:sz w:val="21"/>
                <w:szCs w:val="21"/>
                <w:highlight w:val="none"/>
                <w:lang w:val="en-GB"/>
              </w:rPr>
            </w:pPr>
            <w:r>
              <w:rPr>
                <w:rFonts w:hint="eastAsia" w:ascii="宋体" w:hAnsi="宋体" w:eastAsia="宋体" w:cs="宋体"/>
                <w:color w:val="auto"/>
                <w:szCs w:val="21"/>
                <w:highlight w:val="none"/>
              </w:rPr>
              <w:t>LC50：无资料；LD50：5800mg/kg</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大鼠经口</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；20000mg/kg</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兔经皮</w:t>
            </w:r>
            <w:r>
              <w:rPr>
                <w:rFonts w:hint="eastAsia" w:ascii="宋体" w:hAnsi="宋体" w:cs="宋体"/>
                <w:color w:val="auto"/>
                <w:szCs w:val="21"/>
                <w:highlight w:val="none"/>
                <w:lang w:eastAsia="zh-CN"/>
              </w:rPr>
              <w:t>）</w:t>
            </w:r>
          </w:p>
        </w:tc>
        <w:tc>
          <w:tcPr>
            <w:tcW w:w="358" w:type="pct"/>
            <w:tcBorders>
              <w:tl2br w:val="nil"/>
              <w:tr2bl w:val="nil"/>
            </w:tcBorders>
            <w:vAlign w:val="center"/>
          </w:tcPr>
          <w:p w14:paraId="64D466F7">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轻度危害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r w14:paraId="50785440">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262EDEB9">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1046" w:name="_Toc29066"/>
            <w:bookmarkEnd w:id="1046"/>
            <w:bookmarkStart w:id="1047" w:name="_Toc32470"/>
            <w:bookmarkEnd w:id="1047"/>
            <w:bookmarkStart w:id="1048" w:name="_Toc30003"/>
            <w:bookmarkEnd w:id="1048"/>
            <w:bookmarkStart w:id="1049" w:name="_Toc10138"/>
            <w:bookmarkEnd w:id="1049"/>
            <w:bookmarkStart w:id="1050" w:name="_Toc2085"/>
            <w:bookmarkEnd w:id="1050"/>
            <w:bookmarkStart w:id="1051" w:name="_Toc12385"/>
            <w:bookmarkEnd w:id="1051"/>
            <w:bookmarkStart w:id="1052" w:name="_Toc30456"/>
            <w:bookmarkEnd w:id="1052"/>
            <w:bookmarkStart w:id="1053" w:name="_Toc32431"/>
            <w:bookmarkEnd w:id="1053"/>
            <w:bookmarkStart w:id="1054" w:name="_Toc30902"/>
            <w:bookmarkEnd w:id="1054"/>
            <w:bookmarkStart w:id="1055" w:name="_Toc2060"/>
            <w:bookmarkEnd w:id="1055"/>
            <w:bookmarkStart w:id="1056" w:name="_Toc26204"/>
            <w:bookmarkEnd w:id="1056"/>
            <w:bookmarkStart w:id="1057" w:name="_Toc19434"/>
            <w:bookmarkEnd w:id="1057"/>
          </w:p>
        </w:tc>
        <w:tc>
          <w:tcPr>
            <w:tcW w:w="425" w:type="pct"/>
            <w:tcBorders>
              <w:tl2br w:val="nil"/>
              <w:tr2bl w:val="nil"/>
            </w:tcBorders>
            <w:vAlign w:val="center"/>
          </w:tcPr>
          <w:p w14:paraId="54745943">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苯乙烯</w:t>
            </w:r>
          </w:p>
        </w:tc>
        <w:tc>
          <w:tcPr>
            <w:tcW w:w="1085" w:type="pct"/>
            <w:tcBorders>
              <w:tl2br w:val="nil"/>
              <w:tr2bl w:val="nil"/>
            </w:tcBorders>
            <w:vAlign w:val="center"/>
          </w:tcPr>
          <w:p w14:paraId="6671840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易燃液体</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类别3</w:t>
            </w:r>
          </w:p>
          <w:p w14:paraId="5E3531CB">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皮肤腐蚀/刺激</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类别2</w:t>
            </w:r>
          </w:p>
          <w:p w14:paraId="34380062">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严重眼损伤/眼刺激</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类别2</w:t>
            </w:r>
          </w:p>
          <w:p w14:paraId="7107B554">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致癌性</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类别2</w:t>
            </w:r>
          </w:p>
          <w:p w14:paraId="1F134B9A">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生殖毒性</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类别2</w:t>
            </w:r>
          </w:p>
          <w:p w14:paraId="393D79D2">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特异性靶器官毒性</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反复接触</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类别1</w:t>
            </w:r>
          </w:p>
          <w:p w14:paraId="47250912">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危害水生环境</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急性危害</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类别2</w:t>
            </w:r>
          </w:p>
        </w:tc>
        <w:tc>
          <w:tcPr>
            <w:tcW w:w="322" w:type="pct"/>
            <w:tcBorders>
              <w:tl2br w:val="nil"/>
              <w:tr2bl w:val="nil"/>
            </w:tcBorders>
            <w:vAlign w:val="center"/>
          </w:tcPr>
          <w:p w14:paraId="12390F9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34.4</w:t>
            </w:r>
          </w:p>
        </w:tc>
        <w:tc>
          <w:tcPr>
            <w:tcW w:w="514" w:type="pct"/>
            <w:tcBorders>
              <w:tl2br w:val="nil"/>
              <w:tr2bl w:val="nil"/>
            </w:tcBorders>
            <w:vAlign w:val="center"/>
          </w:tcPr>
          <w:p w14:paraId="192B727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1.1-6.1</w:t>
            </w:r>
          </w:p>
        </w:tc>
        <w:tc>
          <w:tcPr>
            <w:tcW w:w="311" w:type="pct"/>
            <w:tcBorders>
              <w:tl2br w:val="nil"/>
              <w:tr2bl w:val="nil"/>
            </w:tcBorders>
            <w:vAlign w:val="center"/>
          </w:tcPr>
          <w:p w14:paraId="629C0E4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乙类</w:t>
            </w:r>
          </w:p>
        </w:tc>
        <w:tc>
          <w:tcPr>
            <w:tcW w:w="346" w:type="pct"/>
            <w:tcBorders>
              <w:tl2br w:val="nil"/>
              <w:tr2bl w:val="nil"/>
            </w:tcBorders>
            <w:vAlign w:val="center"/>
          </w:tcPr>
          <w:p w14:paraId="6667A6AC">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40</w:t>
            </w:r>
          </w:p>
        </w:tc>
        <w:tc>
          <w:tcPr>
            <w:tcW w:w="365" w:type="pct"/>
            <w:tcBorders>
              <w:tl2br w:val="nil"/>
              <w:tr2bl w:val="nil"/>
            </w:tcBorders>
            <w:vAlign w:val="center"/>
          </w:tcPr>
          <w:p w14:paraId="6D88AB13">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Cs w:val="21"/>
                <w:highlight w:val="none"/>
              </w:rPr>
              <w:t>213mg/m</w:t>
            </w:r>
            <w:r>
              <w:rPr>
                <w:rFonts w:hint="eastAsia" w:ascii="宋体" w:hAnsi="宋体" w:eastAsia="宋体" w:cs="宋体"/>
                <w:color w:val="auto"/>
                <w:szCs w:val="21"/>
                <w:highlight w:val="none"/>
                <w:vertAlign w:val="superscript"/>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皮</w:t>
            </w:r>
            <w:r>
              <w:rPr>
                <w:rFonts w:hint="eastAsia" w:ascii="宋体" w:hAnsi="宋体" w:eastAsia="宋体" w:cs="宋体"/>
                <w:color w:val="auto"/>
                <w:szCs w:val="21"/>
                <w:highlight w:val="none"/>
                <w:lang w:eastAsia="zh-CN"/>
              </w:rPr>
              <w:t>〕</w:t>
            </w:r>
          </w:p>
        </w:tc>
        <w:tc>
          <w:tcPr>
            <w:tcW w:w="337" w:type="pct"/>
            <w:tcBorders>
              <w:tl2br w:val="nil"/>
              <w:tr2bl w:val="nil"/>
            </w:tcBorders>
            <w:vAlign w:val="center"/>
          </w:tcPr>
          <w:p w14:paraId="16F5CCE7">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Cs w:val="21"/>
                <w:highlight w:val="none"/>
              </w:rPr>
              <w:t>426mg/m</w:t>
            </w:r>
            <w:r>
              <w:rPr>
                <w:rFonts w:hint="eastAsia" w:ascii="宋体" w:hAnsi="宋体" w:eastAsia="宋体" w:cs="宋体"/>
                <w:color w:val="auto"/>
                <w:szCs w:val="21"/>
                <w:highlight w:val="none"/>
                <w:vertAlign w:val="superscript"/>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皮</w:t>
            </w:r>
            <w:r>
              <w:rPr>
                <w:rFonts w:hint="eastAsia" w:ascii="宋体" w:hAnsi="宋体" w:eastAsia="宋体" w:cs="宋体"/>
                <w:color w:val="auto"/>
                <w:szCs w:val="21"/>
                <w:highlight w:val="none"/>
                <w:lang w:eastAsia="zh-CN"/>
              </w:rPr>
              <w:t>〕</w:t>
            </w:r>
          </w:p>
        </w:tc>
        <w:tc>
          <w:tcPr>
            <w:tcW w:w="748" w:type="pct"/>
            <w:tcBorders>
              <w:tl2br w:val="nil"/>
              <w:tr2bl w:val="nil"/>
            </w:tcBorders>
            <w:vAlign w:val="center"/>
          </w:tcPr>
          <w:p w14:paraId="3891515B">
            <w:pPr>
              <w:adjustRightInd w:val="0"/>
              <w:snapToGrid w:val="0"/>
              <w:jc w:val="center"/>
              <w:rPr>
                <w:rFonts w:hint="eastAsia" w:ascii="宋体" w:hAnsi="宋体" w:eastAsia="宋体" w:cs="宋体"/>
                <w:color w:val="auto"/>
                <w:kern w:val="0"/>
                <w:sz w:val="21"/>
                <w:szCs w:val="21"/>
                <w:highlight w:val="none"/>
                <w:lang w:val="en-GB"/>
              </w:rPr>
            </w:pPr>
            <w:r>
              <w:rPr>
                <w:rFonts w:hint="eastAsia" w:ascii="宋体" w:hAnsi="宋体" w:eastAsia="宋体" w:cs="宋体"/>
                <w:color w:val="auto"/>
                <w:szCs w:val="21"/>
                <w:highlight w:val="none"/>
              </w:rPr>
              <w:t>LD50：5000mg/kg</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大鼠经口</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；LC50：24000mg/m</w:t>
            </w:r>
            <w:r>
              <w:rPr>
                <w:rFonts w:hint="eastAsia" w:ascii="宋体" w:hAnsi="宋体" w:eastAsia="宋体" w:cs="宋体"/>
                <w:color w:val="auto"/>
                <w:szCs w:val="21"/>
                <w:highlight w:val="none"/>
                <w:vertAlign w:val="superscript"/>
              </w:rPr>
              <w:t>3</w:t>
            </w:r>
            <w:r>
              <w:rPr>
                <w:rFonts w:hint="eastAsia" w:ascii="宋体" w:hAnsi="宋体" w:eastAsia="宋体" w:cs="宋体"/>
                <w:color w:val="auto"/>
                <w:szCs w:val="21"/>
                <w:highlight w:val="none"/>
              </w:rPr>
              <w:t>，4小时</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大鼠吸入</w:t>
            </w:r>
            <w:r>
              <w:rPr>
                <w:rFonts w:hint="eastAsia" w:ascii="宋体" w:hAnsi="宋体" w:cs="宋体"/>
                <w:color w:val="auto"/>
                <w:szCs w:val="21"/>
                <w:highlight w:val="none"/>
                <w:lang w:eastAsia="zh-CN"/>
              </w:rPr>
              <w:t>）</w:t>
            </w:r>
          </w:p>
        </w:tc>
        <w:tc>
          <w:tcPr>
            <w:tcW w:w="358" w:type="pct"/>
            <w:tcBorders>
              <w:tl2br w:val="nil"/>
              <w:tr2bl w:val="nil"/>
            </w:tcBorders>
            <w:vAlign w:val="center"/>
          </w:tcPr>
          <w:p w14:paraId="0E870AEC">
            <w:pPr>
              <w:pStyle w:val="19"/>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中</w:t>
            </w:r>
            <w:r>
              <w:rPr>
                <w:rFonts w:hint="eastAsia" w:ascii="宋体" w:hAnsi="宋体" w:eastAsia="宋体" w:cs="宋体"/>
                <w:color w:val="auto"/>
                <w:szCs w:val="21"/>
                <w:highlight w:val="none"/>
              </w:rPr>
              <w:t>度危害</w:t>
            </w:r>
            <w:r>
              <w:rPr>
                <w:rFonts w:hint="eastAsia" w:ascii="宋体" w:hAnsi="宋体" w:eastAsia="宋体" w:cs="宋体"/>
                <w:color w:val="auto"/>
                <w:szCs w:val="21"/>
                <w:highlight w:val="none"/>
                <w:lang w:eastAsia="zh-CN"/>
              </w:rPr>
              <w:t>（</w:t>
            </w:r>
            <w:r>
              <w:rPr>
                <w:rFonts w:hint="eastAsia" w:ascii="宋体" w:hAnsi="宋体" w:cs="宋体"/>
                <w:color w:val="auto"/>
                <w:szCs w:val="21"/>
                <w:highlight w:val="none"/>
              </w:rPr>
              <w:t>Ⅲ</w:t>
            </w:r>
          </w:p>
          <w:p w14:paraId="34C9E024">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Cs w:val="21"/>
                <w:highlight w:val="none"/>
              </w:rPr>
              <w:t>级</w:t>
            </w:r>
            <w:r>
              <w:rPr>
                <w:rFonts w:hint="eastAsia" w:ascii="宋体" w:hAnsi="宋体" w:eastAsia="宋体" w:cs="宋体"/>
                <w:color w:val="auto"/>
                <w:szCs w:val="21"/>
                <w:highlight w:val="none"/>
                <w:lang w:eastAsia="zh-CN"/>
              </w:rPr>
              <w:t>）</w:t>
            </w:r>
          </w:p>
        </w:tc>
      </w:tr>
      <w:tr w14:paraId="0161FA07">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1267C5E9">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1058" w:name="_Toc2215"/>
            <w:bookmarkEnd w:id="1058"/>
            <w:bookmarkStart w:id="1059" w:name="_Toc13433"/>
            <w:bookmarkEnd w:id="1059"/>
            <w:bookmarkStart w:id="1060" w:name="_Toc24641"/>
            <w:bookmarkEnd w:id="1060"/>
            <w:bookmarkStart w:id="1061" w:name="_Toc2688"/>
            <w:bookmarkEnd w:id="1061"/>
            <w:bookmarkStart w:id="1062" w:name="_Toc28525"/>
            <w:bookmarkEnd w:id="1062"/>
            <w:bookmarkStart w:id="1063" w:name="_Toc32472"/>
            <w:bookmarkEnd w:id="1063"/>
            <w:bookmarkStart w:id="1064" w:name="_Toc25670"/>
            <w:bookmarkEnd w:id="1064"/>
            <w:bookmarkStart w:id="1065" w:name="_Toc28559"/>
            <w:bookmarkEnd w:id="1065"/>
            <w:bookmarkStart w:id="1066" w:name="_Toc7465"/>
            <w:bookmarkEnd w:id="1066"/>
            <w:bookmarkStart w:id="1067" w:name="_Toc31684"/>
            <w:bookmarkEnd w:id="1067"/>
            <w:bookmarkStart w:id="1068" w:name="_Toc9755"/>
            <w:bookmarkEnd w:id="1068"/>
            <w:bookmarkStart w:id="1069" w:name="_Toc25615"/>
            <w:bookmarkEnd w:id="1069"/>
          </w:p>
        </w:tc>
        <w:tc>
          <w:tcPr>
            <w:tcW w:w="425" w:type="pct"/>
            <w:tcBorders>
              <w:tl2br w:val="nil"/>
              <w:tr2bl w:val="nil"/>
            </w:tcBorders>
            <w:vAlign w:val="center"/>
          </w:tcPr>
          <w:p w14:paraId="486F4484">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钴盐</w:t>
            </w:r>
          </w:p>
        </w:tc>
        <w:tc>
          <w:tcPr>
            <w:tcW w:w="1085" w:type="pct"/>
            <w:tcBorders>
              <w:tl2br w:val="nil"/>
              <w:tr2bl w:val="nil"/>
            </w:tcBorders>
            <w:vAlign w:val="center"/>
          </w:tcPr>
          <w:p w14:paraId="0A89F9FE">
            <w:pPr>
              <w:widowControl/>
              <w:adjustRightInd w:val="0"/>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易燃液体</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类别3</w:t>
            </w:r>
          </w:p>
          <w:p w14:paraId="09B95390">
            <w:pPr>
              <w:widowControl/>
              <w:adjustRightInd w:val="0"/>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皮肤腐蚀/刺激</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类别2</w:t>
            </w:r>
          </w:p>
          <w:p w14:paraId="22D66EB1">
            <w:pPr>
              <w:widowControl/>
              <w:adjustRightInd w:val="0"/>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严重眼损伤/眼刺激</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类别1</w:t>
            </w:r>
          </w:p>
          <w:p w14:paraId="662F8E54">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Cs w:val="21"/>
                <w:highlight w:val="none"/>
              </w:rPr>
              <w:t>特异性靶器官毒性</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一次接触</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类别3（呼吸道刺激、麻醉效应）</w:t>
            </w:r>
          </w:p>
        </w:tc>
        <w:tc>
          <w:tcPr>
            <w:tcW w:w="322" w:type="pct"/>
            <w:tcBorders>
              <w:tl2br w:val="nil"/>
              <w:tr2bl w:val="nil"/>
            </w:tcBorders>
            <w:vAlign w:val="center"/>
          </w:tcPr>
          <w:p w14:paraId="34FCCD6F">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35</w:t>
            </w:r>
          </w:p>
        </w:tc>
        <w:tc>
          <w:tcPr>
            <w:tcW w:w="514" w:type="pct"/>
            <w:tcBorders>
              <w:tl2br w:val="nil"/>
              <w:tr2bl w:val="nil"/>
            </w:tcBorders>
            <w:vAlign w:val="center"/>
          </w:tcPr>
          <w:p w14:paraId="28FF1EB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1.4-11.2</w:t>
            </w:r>
          </w:p>
        </w:tc>
        <w:tc>
          <w:tcPr>
            <w:tcW w:w="311" w:type="pct"/>
            <w:tcBorders>
              <w:tl2br w:val="nil"/>
              <w:tr2bl w:val="nil"/>
            </w:tcBorders>
            <w:vAlign w:val="center"/>
          </w:tcPr>
          <w:p w14:paraId="64CF14B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乙类</w:t>
            </w:r>
          </w:p>
        </w:tc>
        <w:tc>
          <w:tcPr>
            <w:tcW w:w="346" w:type="pct"/>
            <w:tcBorders>
              <w:tl2br w:val="nil"/>
              <w:tr2bl w:val="nil"/>
            </w:tcBorders>
            <w:vAlign w:val="center"/>
          </w:tcPr>
          <w:p w14:paraId="157A8391">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65" w:type="pct"/>
            <w:tcBorders>
              <w:tl2br w:val="nil"/>
              <w:tr2bl w:val="nil"/>
            </w:tcBorders>
            <w:vAlign w:val="center"/>
          </w:tcPr>
          <w:p w14:paraId="3B646B41">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37" w:type="pct"/>
            <w:tcBorders>
              <w:tl2br w:val="nil"/>
              <w:tr2bl w:val="nil"/>
            </w:tcBorders>
            <w:vAlign w:val="center"/>
          </w:tcPr>
          <w:p w14:paraId="4C4AB617">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748" w:type="pct"/>
            <w:tcBorders>
              <w:tl2br w:val="nil"/>
              <w:tr2bl w:val="nil"/>
            </w:tcBorders>
            <w:vAlign w:val="center"/>
          </w:tcPr>
          <w:p w14:paraId="53EC6123">
            <w:pPr>
              <w:adjustRightInd w:val="0"/>
              <w:snapToGrid w:val="0"/>
              <w:jc w:val="center"/>
              <w:rPr>
                <w:rFonts w:hint="eastAsia" w:ascii="宋体" w:hAnsi="宋体" w:eastAsia="宋体" w:cs="宋体"/>
                <w:color w:val="auto"/>
                <w:kern w:val="0"/>
                <w:sz w:val="21"/>
                <w:szCs w:val="21"/>
                <w:highlight w:val="none"/>
                <w:lang w:val="en-GB"/>
              </w:rPr>
            </w:pPr>
            <w:r>
              <w:rPr>
                <w:rFonts w:hint="eastAsia" w:ascii="宋体" w:hAnsi="宋体" w:eastAsia="宋体" w:cs="宋体"/>
                <w:color w:val="auto"/>
                <w:szCs w:val="21"/>
                <w:highlight w:val="none"/>
              </w:rPr>
              <w:t>无资料</w:t>
            </w:r>
          </w:p>
        </w:tc>
        <w:tc>
          <w:tcPr>
            <w:tcW w:w="358" w:type="pct"/>
            <w:tcBorders>
              <w:tl2br w:val="nil"/>
              <w:tr2bl w:val="nil"/>
            </w:tcBorders>
            <w:vAlign w:val="center"/>
          </w:tcPr>
          <w:p w14:paraId="6B09282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轻度危害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r w14:paraId="23CF13D5">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2FDAC1FE">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1070" w:name="_Toc16190"/>
            <w:bookmarkEnd w:id="1070"/>
            <w:bookmarkStart w:id="1071" w:name="_Toc10040"/>
            <w:bookmarkEnd w:id="1071"/>
            <w:bookmarkStart w:id="1072" w:name="_Toc1993"/>
            <w:bookmarkEnd w:id="1072"/>
            <w:bookmarkStart w:id="1073" w:name="_Toc24804"/>
            <w:bookmarkEnd w:id="1073"/>
            <w:bookmarkStart w:id="1074" w:name="_Toc2494"/>
            <w:bookmarkEnd w:id="1074"/>
            <w:bookmarkStart w:id="1075" w:name="_Toc8146"/>
            <w:bookmarkEnd w:id="1075"/>
            <w:bookmarkStart w:id="1076" w:name="_Toc19380"/>
            <w:bookmarkEnd w:id="1076"/>
            <w:bookmarkStart w:id="1077" w:name="_Toc28351"/>
            <w:bookmarkEnd w:id="1077"/>
            <w:bookmarkStart w:id="1078" w:name="_Toc22579"/>
            <w:bookmarkEnd w:id="1078"/>
            <w:bookmarkStart w:id="1079" w:name="_Toc24129"/>
            <w:bookmarkEnd w:id="1079"/>
            <w:bookmarkStart w:id="1080" w:name="_Toc17657"/>
            <w:bookmarkEnd w:id="1080"/>
            <w:bookmarkStart w:id="1081" w:name="_Toc4765"/>
            <w:bookmarkEnd w:id="1081"/>
          </w:p>
        </w:tc>
        <w:tc>
          <w:tcPr>
            <w:tcW w:w="425" w:type="pct"/>
            <w:tcBorders>
              <w:tl2br w:val="nil"/>
              <w:tr2bl w:val="nil"/>
            </w:tcBorders>
            <w:vAlign w:val="center"/>
          </w:tcPr>
          <w:p w14:paraId="05671A84">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Cs w:val="21"/>
                <w:highlight w:val="none"/>
              </w:rPr>
              <w:t>油漆</w:t>
            </w:r>
          </w:p>
        </w:tc>
        <w:tc>
          <w:tcPr>
            <w:tcW w:w="1085" w:type="pct"/>
            <w:tcBorders>
              <w:tl2br w:val="nil"/>
              <w:tr2bl w:val="nil"/>
            </w:tcBorders>
            <w:vAlign w:val="center"/>
          </w:tcPr>
          <w:p w14:paraId="5B70BF3A">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易燃液体，类别3</w:t>
            </w:r>
          </w:p>
        </w:tc>
        <w:tc>
          <w:tcPr>
            <w:tcW w:w="322" w:type="pct"/>
            <w:tcBorders>
              <w:tl2br w:val="nil"/>
              <w:tr2bl w:val="nil"/>
            </w:tcBorders>
            <w:vAlign w:val="center"/>
          </w:tcPr>
          <w:p w14:paraId="59EFE17F">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33</w:t>
            </w:r>
          </w:p>
        </w:tc>
        <w:tc>
          <w:tcPr>
            <w:tcW w:w="514" w:type="pct"/>
            <w:tcBorders>
              <w:tl2br w:val="nil"/>
              <w:tr2bl w:val="nil"/>
            </w:tcBorders>
            <w:vAlign w:val="center"/>
          </w:tcPr>
          <w:p w14:paraId="22989D5F">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1.3-6.0</w:t>
            </w:r>
          </w:p>
        </w:tc>
        <w:tc>
          <w:tcPr>
            <w:tcW w:w="311" w:type="pct"/>
            <w:tcBorders>
              <w:tl2br w:val="nil"/>
              <w:tr2bl w:val="nil"/>
            </w:tcBorders>
            <w:vAlign w:val="center"/>
          </w:tcPr>
          <w:p w14:paraId="4BBB8B4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乙类</w:t>
            </w:r>
          </w:p>
        </w:tc>
        <w:tc>
          <w:tcPr>
            <w:tcW w:w="346" w:type="pct"/>
            <w:tcBorders>
              <w:tl2br w:val="nil"/>
              <w:tr2bl w:val="nil"/>
            </w:tcBorders>
            <w:vAlign w:val="center"/>
          </w:tcPr>
          <w:p w14:paraId="77E0C8BA">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65" w:type="pct"/>
            <w:tcBorders>
              <w:tl2br w:val="nil"/>
              <w:tr2bl w:val="nil"/>
            </w:tcBorders>
            <w:vAlign w:val="center"/>
          </w:tcPr>
          <w:p w14:paraId="0AAB9539">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37" w:type="pct"/>
            <w:tcBorders>
              <w:tl2br w:val="nil"/>
              <w:tr2bl w:val="nil"/>
            </w:tcBorders>
            <w:vAlign w:val="center"/>
          </w:tcPr>
          <w:p w14:paraId="0DCA870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748" w:type="pct"/>
            <w:tcBorders>
              <w:tl2br w:val="nil"/>
              <w:tr2bl w:val="nil"/>
            </w:tcBorders>
            <w:vAlign w:val="center"/>
          </w:tcPr>
          <w:p w14:paraId="6972371D">
            <w:pPr>
              <w:adjustRightInd w:val="0"/>
              <w:snapToGrid w:val="0"/>
              <w:jc w:val="center"/>
              <w:rPr>
                <w:rFonts w:hint="eastAsia" w:ascii="宋体" w:hAnsi="宋体" w:eastAsia="宋体" w:cs="宋体"/>
                <w:color w:val="auto"/>
                <w:kern w:val="0"/>
                <w:sz w:val="21"/>
                <w:szCs w:val="21"/>
                <w:highlight w:val="none"/>
                <w:lang w:val="en-GB"/>
              </w:rPr>
            </w:pPr>
            <w:r>
              <w:rPr>
                <w:rFonts w:hint="eastAsia" w:ascii="宋体" w:hAnsi="宋体" w:eastAsia="宋体" w:cs="宋体"/>
                <w:color w:val="auto"/>
                <w:szCs w:val="21"/>
                <w:highlight w:val="none"/>
              </w:rPr>
              <w:t>无资料</w:t>
            </w:r>
          </w:p>
        </w:tc>
        <w:tc>
          <w:tcPr>
            <w:tcW w:w="358" w:type="pct"/>
            <w:tcBorders>
              <w:tl2br w:val="nil"/>
              <w:tr2bl w:val="nil"/>
            </w:tcBorders>
            <w:vAlign w:val="center"/>
          </w:tcPr>
          <w:p w14:paraId="52133944">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轻度危害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r w14:paraId="67F7DEFD">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5110DB28">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1082" w:name="_Toc30814"/>
            <w:bookmarkEnd w:id="1082"/>
            <w:bookmarkStart w:id="1083" w:name="_Toc6325"/>
            <w:bookmarkEnd w:id="1083"/>
            <w:bookmarkStart w:id="1084" w:name="_Toc26539"/>
            <w:bookmarkEnd w:id="1084"/>
            <w:bookmarkStart w:id="1085" w:name="_Toc6346"/>
            <w:bookmarkEnd w:id="1085"/>
            <w:bookmarkStart w:id="1086" w:name="_Toc23801"/>
            <w:bookmarkEnd w:id="1086"/>
            <w:bookmarkStart w:id="1087" w:name="_Toc23095"/>
            <w:bookmarkEnd w:id="1087"/>
            <w:bookmarkStart w:id="1088" w:name="_Toc1850"/>
            <w:bookmarkEnd w:id="1088"/>
            <w:bookmarkStart w:id="1089" w:name="_Toc23055"/>
            <w:bookmarkEnd w:id="1089"/>
            <w:bookmarkStart w:id="1090" w:name="_Toc31687"/>
            <w:bookmarkEnd w:id="1090"/>
            <w:bookmarkStart w:id="1091" w:name="_Toc26753"/>
            <w:bookmarkEnd w:id="1091"/>
            <w:bookmarkStart w:id="1092" w:name="_Toc17794"/>
            <w:bookmarkEnd w:id="1092"/>
            <w:bookmarkStart w:id="1093" w:name="_Toc8974"/>
            <w:bookmarkEnd w:id="1093"/>
          </w:p>
        </w:tc>
        <w:tc>
          <w:tcPr>
            <w:tcW w:w="425" w:type="pct"/>
            <w:tcBorders>
              <w:tl2br w:val="nil"/>
              <w:tr2bl w:val="nil"/>
            </w:tcBorders>
            <w:vAlign w:val="center"/>
          </w:tcPr>
          <w:p w14:paraId="01BD8C09">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油漆固化剂</w:t>
            </w:r>
          </w:p>
        </w:tc>
        <w:tc>
          <w:tcPr>
            <w:tcW w:w="1085" w:type="pct"/>
            <w:tcBorders>
              <w:tl2br w:val="nil"/>
              <w:tr2bl w:val="nil"/>
            </w:tcBorders>
            <w:vAlign w:val="center"/>
          </w:tcPr>
          <w:p w14:paraId="36D27785">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易燃液体，类别3</w:t>
            </w:r>
          </w:p>
        </w:tc>
        <w:tc>
          <w:tcPr>
            <w:tcW w:w="322" w:type="pct"/>
            <w:tcBorders>
              <w:tl2br w:val="nil"/>
              <w:tr2bl w:val="nil"/>
            </w:tcBorders>
            <w:vAlign w:val="center"/>
          </w:tcPr>
          <w:p w14:paraId="45F51A3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35</w:t>
            </w:r>
          </w:p>
        </w:tc>
        <w:tc>
          <w:tcPr>
            <w:tcW w:w="514" w:type="pct"/>
            <w:tcBorders>
              <w:tl2br w:val="nil"/>
              <w:tr2bl w:val="nil"/>
            </w:tcBorders>
            <w:vAlign w:val="center"/>
          </w:tcPr>
          <w:p w14:paraId="6549208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1.45-11.25</w:t>
            </w:r>
          </w:p>
        </w:tc>
        <w:tc>
          <w:tcPr>
            <w:tcW w:w="311" w:type="pct"/>
            <w:tcBorders>
              <w:tl2br w:val="nil"/>
              <w:tr2bl w:val="nil"/>
            </w:tcBorders>
            <w:vAlign w:val="center"/>
          </w:tcPr>
          <w:p w14:paraId="1F9858A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乙类</w:t>
            </w:r>
          </w:p>
        </w:tc>
        <w:tc>
          <w:tcPr>
            <w:tcW w:w="346" w:type="pct"/>
            <w:tcBorders>
              <w:tl2br w:val="nil"/>
              <w:tr2bl w:val="nil"/>
            </w:tcBorders>
            <w:vAlign w:val="center"/>
          </w:tcPr>
          <w:p w14:paraId="2CFB5918">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65" w:type="pct"/>
            <w:tcBorders>
              <w:tl2br w:val="nil"/>
              <w:tr2bl w:val="nil"/>
            </w:tcBorders>
            <w:vAlign w:val="center"/>
          </w:tcPr>
          <w:p w14:paraId="0A70DD24">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37" w:type="pct"/>
            <w:tcBorders>
              <w:tl2br w:val="nil"/>
              <w:tr2bl w:val="nil"/>
            </w:tcBorders>
            <w:vAlign w:val="center"/>
          </w:tcPr>
          <w:p w14:paraId="3B1D63B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748" w:type="pct"/>
            <w:tcBorders>
              <w:tl2br w:val="nil"/>
              <w:tr2bl w:val="nil"/>
            </w:tcBorders>
            <w:vAlign w:val="center"/>
          </w:tcPr>
          <w:p w14:paraId="341F045B">
            <w:pPr>
              <w:adjustRightInd w:val="0"/>
              <w:snapToGrid w:val="0"/>
              <w:jc w:val="center"/>
              <w:rPr>
                <w:rFonts w:hint="eastAsia" w:ascii="宋体" w:hAnsi="宋体" w:eastAsia="宋体" w:cs="宋体"/>
                <w:color w:val="auto"/>
                <w:kern w:val="0"/>
                <w:sz w:val="21"/>
                <w:szCs w:val="21"/>
                <w:highlight w:val="none"/>
                <w:lang w:val="en-GB"/>
              </w:rPr>
            </w:pPr>
            <w:r>
              <w:rPr>
                <w:rFonts w:hint="eastAsia" w:ascii="宋体" w:hAnsi="宋体" w:eastAsia="宋体" w:cs="宋体"/>
                <w:color w:val="auto"/>
                <w:szCs w:val="21"/>
                <w:highlight w:val="none"/>
              </w:rPr>
              <w:t>无资料</w:t>
            </w:r>
          </w:p>
        </w:tc>
        <w:tc>
          <w:tcPr>
            <w:tcW w:w="358" w:type="pct"/>
            <w:tcBorders>
              <w:tl2br w:val="nil"/>
              <w:tr2bl w:val="nil"/>
            </w:tcBorders>
            <w:vAlign w:val="center"/>
          </w:tcPr>
          <w:p w14:paraId="7C599B80">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轻度危害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r w14:paraId="431B4EC6">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7027D358">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1094" w:name="_Toc26132"/>
            <w:bookmarkEnd w:id="1094"/>
            <w:bookmarkStart w:id="1095" w:name="_Toc2847"/>
            <w:bookmarkEnd w:id="1095"/>
            <w:bookmarkStart w:id="1096" w:name="_Toc20441"/>
            <w:bookmarkEnd w:id="1096"/>
            <w:bookmarkStart w:id="1097" w:name="_Toc13710"/>
            <w:bookmarkEnd w:id="1097"/>
            <w:bookmarkStart w:id="1098" w:name="_Toc8745"/>
            <w:bookmarkEnd w:id="1098"/>
            <w:bookmarkStart w:id="1099" w:name="_Toc25757"/>
            <w:bookmarkEnd w:id="1099"/>
            <w:bookmarkStart w:id="1100" w:name="_Toc24256"/>
            <w:bookmarkEnd w:id="1100"/>
            <w:bookmarkStart w:id="1101" w:name="_Toc4529"/>
            <w:bookmarkEnd w:id="1101"/>
            <w:bookmarkStart w:id="1102" w:name="_Toc14172"/>
            <w:bookmarkEnd w:id="1102"/>
            <w:bookmarkStart w:id="1103" w:name="_Toc28477"/>
            <w:bookmarkEnd w:id="1103"/>
            <w:bookmarkStart w:id="1104" w:name="_Toc29962"/>
            <w:bookmarkEnd w:id="1104"/>
            <w:bookmarkStart w:id="1105" w:name="_Toc6680"/>
            <w:bookmarkEnd w:id="1105"/>
          </w:p>
        </w:tc>
        <w:tc>
          <w:tcPr>
            <w:tcW w:w="425" w:type="pct"/>
            <w:tcBorders>
              <w:tl2br w:val="nil"/>
              <w:tr2bl w:val="nil"/>
            </w:tcBorders>
            <w:vAlign w:val="center"/>
          </w:tcPr>
          <w:p w14:paraId="3596CBBC">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油漆稀释剂</w:t>
            </w:r>
          </w:p>
        </w:tc>
        <w:tc>
          <w:tcPr>
            <w:tcW w:w="1085" w:type="pct"/>
            <w:tcBorders>
              <w:tl2br w:val="nil"/>
              <w:tr2bl w:val="nil"/>
            </w:tcBorders>
            <w:vAlign w:val="center"/>
          </w:tcPr>
          <w:p w14:paraId="562DE7A0">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易燃液体，类别3</w:t>
            </w:r>
          </w:p>
        </w:tc>
        <w:tc>
          <w:tcPr>
            <w:tcW w:w="322" w:type="pct"/>
            <w:tcBorders>
              <w:tl2br w:val="nil"/>
              <w:tr2bl w:val="nil"/>
            </w:tcBorders>
            <w:vAlign w:val="center"/>
          </w:tcPr>
          <w:p w14:paraId="054C0A8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23</w:t>
            </w:r>
          </w:p>
        </w:tc>
        <w:tc>
          <w:tcPr>
            <w:tcW w:w="514" w:type="pct"/>
            <w:tcBorders>
              <w:tl2br w:val="nil"/>
              <w:tr2bl w:val="nil"/>
            </w:tcBorders>
            <w:vAlign w:val="center"/>
          </w:tcPr>
          <w:p w14:paraId="2956DF62">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无资料</w:t>
            </w:r>
          </w:p>
        </w:tc>
        <w:tc>
          <w:tcPr>
            <w:tcW w:w="311" w:type="pct"/>
            <w:tcBorders>
              <w:tl2br w:val="nil"/>
              <w:tr2bl w:val="nil"/>
            </w:tcBorders>
            <w:vAlign w:val="center"/>
          </w:tcPr>
          <w:p w14:paraId="17BD141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甲类</w:t>
            </w:r>
          </w:p>
        </w:tc>
        <w:tc>
          <w:tcPr>
            <w:tcW w:w="346" w:type="pct"/>
            <w:tcBorders>
              <w:tl2br w:val="nil"/>
              <w:tr2bl w:val="nil"/>
            </w:tcBorders>
            <w:vAlign w:val="center"/>
          </w:tcPr>
          <w:p w14:paraId="08675F12">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65" w:type="pct"/>
            <w:tcBorders>
              <w:tl2br w:val="nil"/>
              <w:tr2bl w:val="nil"/>
            </w:tcBorders>
            <w:vAlign w:val="center"/>
          </w:tcPr>
          <w:p w14:paraId="3D4C4DA8">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337" w:type="pct"/>
            <w:tcBorders>
              <w:tl2br w:val="nil"/>
              <w:tr2bl w:val="nil"/>
            </w:tcBorders>
            <w:vAlign w:val="center"/>
          </w:tcPr>
          <w:p w14:paraId="28F03A28">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w:t>
            </w:r>
          </w:p>
        </w:tc>
        <w:tc>
          <w:tcPr>
            <w:tcW w:w="748" w:type="pct"/>
            <w:tcBorders>
              <w:tl2br w:val="nil"/>
              <w:tr2bl w:val="nil"/>
            </w:tcBorders>
            <w:vAlign w:val="center"/>
          </w:tcPr>
          <w:p w14:paraId="1D8C1965">
            <w:pPr>
              <w:adjustRightInd w:val="0"/>
              <w:snapToGrid w:val="0"/>
              <w:jc w:val="center"/>
              <w:rPr>
                <w:rFonts w:hint="eastAsia" w:ascii="宋体" w:hAnsi="宋体" w:eastAsia="宋体" w:cs="宋体"/>
                <w:color w:val="auto"/>
                <w:kern w:val="0"/>
                <w:sz w:val="21"/>
                <w:szCs w:val="21"/>
                <w:highlight w:val="none"/>
                <w:lang w:val="en-GB"/>
              </w:rPr>
            </w:pPr>
            <w:r>
              <w:rPr>
                <w:rFonts w:hint="eastAsia" w:ascii="宋体" w:hAnsi="宋体" w:eastAsia="宋体" w:cs="宋体"/>
                <w:color w:val="auto"/>
                <w:szCs w:val="21"/>
                <w:highlight w:val="none"/>
              </w:rPr>
              <w:t>无资料</w:t>
            </w:r>
          </w:p>
        </w:tc>
        <w:tc>
          <w:tcPr>
            <w:tcW w:w="358" w:type="pct"/>
            <w:tcBorders>
              <w:tl2br w:val="nil"/>
              <w:tr2bl w:val="nil"/>
            </w:tcBorders>
            <w:vAlign w:val="center"/>
          </w:tcPr>
          <w:p w14:paraId="0E50BEFB">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轻度危害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r w14:paraId="6DBF8407">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43FA8CDC">
            <w:pPr>
              <w:pStyle w:val="369"/>
              <w:widowControl w:val="0"/>
              <w:numPr>
                <w:ilvl w:val="0"/>
                <w:numId w:val="18"/>
              </w:numPr>
              <w:adjustRightInd w:val="0"/>
              <w:snapToGrid w:val="0"/>
              <w:spacing w:line="240" w:lineRule="auto"/>
              <w:ind w:left="0" w:firstLine="0"/>
              <w:jc w:val="center"/>
              <w:textAlignment w:val="baseline"/>
              <w:outlineLvl w:val="9"/>
              <w:rPr>
                <w:rFonts w:hint="eastAsia" w:ascii="宋体" w:hAnsi="宋体" w:eastAsia="宋体" w:cs="宋体"/>
                <w:color w:val="auto"/>
                <w:sz w:val="21"/>
                <w:szCs w:val="21"/>
                <w:highlight w:val="none"/>
              </w:rPr>
            </w:pPr>
            <w:bookmarkStart w:id="1106" w:name="_Toc5749"/>
            <w:bookmarkEnd w:id="1106"/>
            <w:bookmarkStart w:id="1107" w:name="_Toc6021"/>
            <w:bookmarkEnd w:id="1107"/>
            <w:bookmarkStart w:id="1108" w:name="_Toc22463"/>
            <w:bookmarkEnd w:id="1108"/>
            <w:bookmarkStart w:id="1109" w:name="_Toc32601"/>
            <w:bookmarkEnd w:id="1109"/>
            <w:bookmarkStart w:id="1110" w:name="_Toc18255"/>
            <w:bookmarkEnd w:id="1110"/>
          </w:p>
        </w:tc>
        <w:tc>
          <w:tcPr>
            <w:tcW w:w="425" w:type="pct"/>
            <w:tcBorders>
              <w:tl2br w:val="nil"/>
              <w:tr2bl w:val="nil"/>
            </w:tcBorders>
            <w:vAlign w:val="center"/>
          </w:tcPr>
          <w:p w14:paraId="48F09255">
            <w:pPr>
              <w:adjustRightInd w:val="0"/>
              <w:snapToGrid w:val="0"/>
              <w:spacing w:line="240" w:lineRule="auto"/>
              <w:jc w:val="center"/>
              <w:rPr>
                <w:rFonts w:hint="eastAsia" w:ascii="宋体" w:hAnsi="宋体" w:eastAsia="宋体" w:cs="宋体"/>
                <w:color w:val="auto"/>
                <w:szCs w:val="21"/>
                <w:highlight w:val="none"/>
              </w:rPr>
            </w:pPr>
            <w:r>
              <w:rPr>
                <w:rFonts w:hint="eastAsia" w:ascii="宋体" w:hAnsi="宋体" w:cs="宋体"/>
                <w:color w:val="auto"/>
                <w:kern w:val="0"/>
                <w:sz w:val="21"/>
                <w:szCs w:val="21"/>
                <w:highlight w:val="none"/>
              </w:rPr>
              <w:t>六亚甲基四胺</w:t>
            </w:r>
          </w:p>
        </w:tc>
        <w:tc>
          <w:tcPr>
            <w:tcW w:w="1085" w:type="pct"/>
            <w:tcBorders>
              <w:tl2br w:val="nil"/>
              <w:tr2bl w:val="nil"/>
            </w:tcBorders>
            <w:vAlign w:val="center"/>
          </w:tcPr>
          <w:p w14:paraId="685CDCAB">
            <w:pPr>
              <w:widowControl/>
              <w:adjustRightInd w:val="0"/>
              <w:snapToGrid w:val="0"/>
              <w:spacing w:line="240" w:lineRule="auto"/>
              <w:jc w:val="center"/>
              <w:rPr>
                <w:rFonts w:ascii="宋体" w:hAnsi="宋体" w:cs="宋体"/>
                <w:color w:val="auto"/>
                <w:kern w:val="0"/>
                <w:sz w:val="21"/>
                <w:szCs w:val="21"/>
                <w:highlight w:val="none"/>
              </w:rPr>
            </w:pPr>
            <w:r>
              <w:rPr>
                <w:rFonts w:ascii="宋体" w:hAnsi="宋体" w:cs="宋体"/>
                <w:color w:val="auto"/>
                <w:kern w:val="0"/>
                <w:sz w:val="21"/>
                <w:szCs w:val="21"/>
                <w:highlight w:val="none"/>
              </w:rPr>
              <w:t>易燃固体</w:t>
            </w:r>
            <w:r>
              <w:rPr>
                <w:rFonts w:hint="eastAsia" w:ascii="宋体" w:hAnsi="宋体" w:cs="宋体"/>
                <w:color w:val="auto"/>
                <w:kern w:val="0"/>
                <w:sz w:val="21"/>
                <w:szCs w:val="21"/>
                <w:highlight w:val="none"/>
                <w:lang w:eastAsia="zh-CN"/>
              </w:rPr>
              <w:t>，</w:t>
            </w:r>
            <w:r>
              <w:rPr>
                <w:rFonts w:ascii="宋体" w:hAnsi="宋体" w:cs="宋体"/>
                <w:color w:val="auto"/>
                <w:kern w:val="0"/>
                <w:sz w:val="21"/>
                <w:szCs w:val="21"/>
                <w:highlight w:val="none"/>
              </w:rPr>
              <w:t>类别2</w:t>
            </w:r>
          </w:p>
          <w:p w14:paraId="2E542CB9">
            <w:pPr>
              <w:widowControl/>
              <w:adjustRightInd w:val="0"/>
              <w:snapToGrid w:val="0"/>
              <w:spacing w:line="240" w:lineRule="auto"/>
              <w:jc w:val="center"/>
              <w:rPr>
                <w:rFonts w:ascii="宋体" w:hAnsi="宋体" w:cs="宋体"/>
                <w:color w:val="auto"/>
                <w:kern w:val="0"/>
                <w:sz w:val="21"/>
                <w:szCs w:val="21"/>
                <w:highlight w:val="none"/>
              </w:rPr>
            </w:pPr>
            <w:r>
              <w:rPr>
                <w:rFonts w:ascii="宋体" w:hAnsi="宋体" w:cs="宋体"/>
                <w:color w:val="auto"/>
                <w:kern w:val="0"/>
                <w:sz w:val="21"/>
                <w:szCs w:val="21"/>
                <w:highlight w:val="none"/>
              </w:rPr>
              <w:t>皮肤致敏物</w:t>
            </w:r>
            <w:r>
              <w:rPr>
                <w:rFonts w:hint="eastAsia" w:ascii="宋体" w:hAnsi="宋体" w:cs="宋体"/>
                <w:color w:val="auto"/>
                <w:kern w:val="0"/>
                <w:sz w:val="21"/>
                <w:szCs w:val="21"/>
                <w:highlight w:val="none"/>
                <w:lang w:eastAsia="zh-CN"/>
              </w:rPr>
              <w:t>，</w:t>
            </w:r>
            <w:r>
              <w:rPr>
                <w:rFonts w:ascii="宋体" w:hAnsi="宋体" w:cs="宋体"/>
                <w:color w:val="auto"/>
                <w:kern w:val="0"/>
                <w:sz w:val="21"/>
                <w:szCs w:val="21"/>
                <w:highlight w:val="none"/>
              </w:rPr>
              <w:t>类别1</w:t>
            </w:r>
          </w:p>
          <w:p w14:paraId="7E0078E3">
            <w:pPr>
              <w:widowControl/>
              <w:adjustRightInd w:val="0"/>
              <w:snapToGrid w:val="0"/>
              <w:jc w:val="center"/>
              <w:rPr>
                <w:rFonts w:hint="eastAsia" w:ascii="宋体" w:hAnsi="宋体" w:eastAsia="宋体" w:cs="宋体"/>
                <w:color w:val="auto"/>
                <w:kern w:val="0"/>
                <w:sz w:val="21"/>
                <w:szCs w:val="21"/>
                <w:highlight w:val="none"/>
              </w:rPr>
            </w:pPr>
            <w:r>
              <w:rPr>
                <w:rFonts w:ascii="宋体" w:hAnsi="宋体" w:cs="宋体"/>
                <w:color w:val="auto"/>
                <w:kern w:val="0"/>
                <w:sz w:val="21"/>
                <w:szCs w:val="21"/>
                <w:highlight w:val="none"/>
              </w:rPr>
              <w:t>危害水生环境</w:t>
            </w:r>
            <w:r>
              <w:rPr>
                <w:rFonts w:hint="eastAsia" w:ascii="宋体" w:hAnsi="宋体" w:cs="宋体"/>
                <w:color w:val="auto"/>
                <w:kern w:val="0"/>
                <w:sz w:val="21"/>
                <w:szCs w:val="21"/>
                <w:highlight w:val="none"/>
                <w:lang w:eastAsia="zh-CN"/>
              </w:rPr>
              <w:t>－</w:t>
            </w:r>
            <w:r>
              <w:rPr>
                <w:rFonts w:ascii="宋体" w:hAnsi="宋体" w:cs="宋体"/>
                <w:color w:val="auto"/>
                <w:kern w:val="0"/>
                <w:sz w:val="21"/>
                <w:szCs w:val="21"/>
                <w:highlight w:val="none"/>
              </w:rPr>
              <w:t>急性危害</w:t>
            </w:r>
            <w:r>
              <w:rPr>
                <w:rFonts w:hint="eastAsia" w:ascii="宋体" w:hAnsi="宋体" w:cs="宋体"/>
                <w:color w:val="auto"/>
                <w:kern w:val="0"/>
                <w:sz w:val="21"/>
                <w:szCs w:val="21"/>
                <w:highlight w:val="none"/>
                <w:lang w:eastAsia="zh-CN"/>
              </w:rPr>
              <w:t>，</w:t>
            </w:r>
            <w:r>
              <w:rPr>
                <w:rFonts w:ascii="宋体" w:hAnsi="宋体" w:cs="宋体"/>
                <w:color w:val="auto"/>
                <w:kern w:val="0"/>
                <w:sz w:val="21"/>
                <w:szCs w:val="21"/>
                <w:highlight w:val="none"/>
              </w:rPr>
              <w:t>类别2</w:t>
            </w:r>
          </w:p>
        </w:tc>
        <w:tc>
          <w:tcPr>
            <w:tcW w:w="322" w:type="pct"/>
            <w:tcBorders>
              <w:tl2br w:val="nil"/>
              <w:tr2bl w:val="nil"/>
            </w:tcBorders>
            <w:vAlign w:val="center"/>
          </w:tcPr>
          <w:p w14:paraId="78671E54">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无意义</w:t>
            </w:r>
          </w:p>
        </w:tc>
        <w:tc>
          <w:tcPr>
            <w:tcW w:w="514" w:type="pct"/>
            <w:tcBorders>
              <w:tl2br w:val="nil"/>
              <w:tr2bl w:val="nil"/>
            </w:tcBorders>
            <w:vAlign w:val="center"/>
          </w:tcPr>
          <w:p w14:paraId="364B6175">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无意义</w:t>
            </w:r>
          </w:p>
        </w:tc>
        <w:tc>
          <w:tcPr>
            <w:tcW w:w="311" w:type="pct"/>
            <w:tcBorders>
              <w:tl2br w:val="nil"/>
              <w:tr2bl w:val="nil"/>
            </w:tcBorders>
            <w:vAlign w:val="center"/>
          </w:tcPr>
          <w:p w14:paraId="3C971341">
            <w:pPr>
              <w:adjustRightInd w:val="0"/>
              <w:snapToGrid w:val="0"/>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乙</w:t>
            </w:r>
          </w:p>
        </w:tc>
        <w:tc>
          <w:tcPr>
            <w:tcW w:w="1004" w:type="dxa"/>
            <w:tcBorders>
              <w:tl2br w:val="nil"/>
              <w:tr2bl w:val="nil"/>
            </w:tcBorders>
            <w:vAlign w:val="center"/>
          </w:tcPr>
          <w:p w14:paraId="10692C96">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1060" w:type="dxa"/>
            <w:tcBorders>
              <w:tl2br w:val="nil"/>
              <w:tr2bl w:val="nil"/>
            </w:tcBorders>
            <w:vAlign w:val="center"/>
          </w:tcPr>
          <w:p w14:paraId="2F81BA90">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977" w:type="dxa"/>
            <w:tcBorders>
              <w:tl2br w:val="nil"/>
              <w:tr2bl w:val="nil"/>
            </w:tcBorders>
            <w:vAlign w:val="center"/>
          </w:tcPr>
          <w:p w14:paraId="321D9303">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2169" w:type="dxa"/>
            <w:tcBorders>
              <w:tl2br w:val="nil"/>
              <w:tr2bl w:val="nil"/>
            </w:tcBorders>
            <w:vAlign w:val="center"/>
          </w:tcPr>
          <w:p w14:paraId="42EE42E9">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无资料</w:t>
            </w:r>
          </w:p>
        </w:tc>
        <w:tc>
          <w:tcPr>
            <w:tcW w:w="1038" w:type="dxa"/>
            <w:tcBorders>
              <w:tl2br w:val="nil"/>
              <w:tr2bl w:val="nil"/>
            </w:tcBorders>
            <w:vAlign w:val="center"/>
          </w:tcPr>
          <w:p w14:paraId="011F044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轻度危害</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Ⅳ级</w:t>
            </w:r>
            <w:r>
              <w:rPr>
                <w:rFonts w:hint="eastAsia" w:ascii="宋体" w:hAnsi="宋体" w:eastAsia="宋体" w:cs="宋体"/>
                <w:color w:val="auto"/>
                <w:szCs w:val="21"/>
                <w:highlight w:val="none"/>
                <w:lang w:eastAsia="zh-CN"/>
              </w:rPr>
              <w:t>）</w:t>
            </w:r>
          </w:p>
        </w:tc>
      </w:tr>
    </w:tbl>
    <w:p w14:paraId="24673C77">
      <w:pPr>
        <w:adjustRightInd w:val="0"/>
        <w:snapToGrid w:val="0"/>
        <w:spacing w:afterLines="50"/>
        <w:ind w:firstLine="0" w:firstLineChars="0"/>
        <w:rPr>
          <w:rFonts w:hint="eastAsia" w:ascii="宋体" w:hAnsi="宋体" w:eastAsia="宋体" w:cs="宋体"/>
          <w:color w:val="auto"/>
          <w:szCs w:val="21"/>
          <w:highlight w:val="none"/>
        </w:rPr>
      </w:pPr>
      <w:r>
        <w:rPr>
          <w:rFonts w:hint="eastAsia" w:ascii="宋体" w:hAnsi="宋体" w:eastAsia="宋体" w:cs="宋体"/>
          <w:color w:val="auto"/>
          <w:kern w:val="0"/>
          <w:sz w:val="21"/>
          <w:szCs w:val="21"/>
          <w:highlight w:val="none"/>
        </w:rPr>
        <w:t>注：职业接触限值以《工作场所有害因素职业接触限值第1部分：化学有害因素》GBZ2.1-2019为准，危害程度以《职业性接触毒物危害程度分级》GBZ/T230-2010所给出的为准。</w:t>
      </w:r>
    </w:p>
    <w:p w14:paraId="2E72CFA0">
      <w:pPr>
        <w:keepNext w:val="0"/>
        <w:keepLines w:val="0"/>
        <w:pageBreakBefore w:val="0"/>
        <w:widowControl w:val="0"/>
        <w:numPr>
          <w:ilvl w:val="-1"/>
          <w:numId w:val="0"/>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outlineLvl w:val="9"/>
        <w:rPr>
          <w:rFonts w:hint="eastAsia" w:ascii="宋体" w:hAnsi="宋体" w:eastAsia="宋体" w:cs="宋体"/>
          <w:b w:val="0"/>
          <w:bCs/>
          <w:color w:val="auto"/>
          <w:sz w:val="28"/>
          <w:szCs w:val="28"/>
          <w:highlight w:val="none"/>
        </w:rPr>
      </w:pPr>
      <w:r>
        <w:rPr>
          <w:rFonts w:hint="eastAsia"/>
          <w:bCs/>
          <w:color w:val="auto"/>
          <w:spacing w:val="0"/>
          <w:kern w:val="0"/>
          <w:sz w:val="28"/>
          <w:szCs w:val="28"/>
          <w:highlight w:val="none"/>
          <w:lang w:eastAsia="zh-CN"/>
        </w:rPr>
        <w:t>危化品仓库储存的</w:t>
      </w:r>
      <w:r>
        <w:rPr>
          <w:rFonts w:hint="eastAsia"/>
          <w:bCs/>
          <w:color w:val="auto"/>
          <w:spacing w:val="0"/>
          <w:kern w:val="0"/>
          <w:sz w:val="28"/>
          <w:szCs w:val="28"/>
          <w:highlight w:val="none"/>
        </w:rPr>
        <w:t>危险化学品</w:t>
      </w:r>
      <w:r>
        <w:rPr>
          <w:rFonts w:hint="eastAsia"/>
          <w:bCs/>
          <w:color w:val="auto"/>
          <w:spacing w:val="0"/>
          <w:kern w:val="0"/>
          <w:sz w:val="28"/>
          <w:szCs w:val="28"/>
          <w:highlight w:val="none"/>
          <w:lang w:eastAsia="zh-CN"/>
        </w:rPr>
        <w:t>的</w:t>
      </w:r>
      <w:r>
        <w:rPr>
          <w:rFonts w:hint="eastAsia"/>
          <w:bCs/>
          <w:color w:val="auto"/>
          <w:spacing w:val="0"/>
          <w:kern w:val="0"/>
          <w:sz w:val="28"/>
          <w:szCs w:val="28"/>
          <w:highlight w:val="none"/>
        </w:rPr>
        <w:t>危险性主要表现在以下几个方面：</w:t>
      </w:r>
    </w:p>
    <w:p w14:paraId="06699393">
      <w:pPr>
        <w:keepNext w:val="0"/>
        <w:keepLines w:val="0"/>
        <w:pageBreakBefore w:val="0"/>
        <w:widowControl w:val="0"/>
        <w:numPr>
          <w:ilvl w:val="0"/>
          <w:numId w:val="19"/>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outlineLvl w:val="9"/>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火灾、爆炸</w:t>
      </w:r>
    </w:p>
    <w:p w14:paraId="2FAD6402">
      <w:pPr>
        <w:adjustRightInd w:val="0"/>
        <w:snapToGrid w:val="0"/>
        <w:spacing w:beforeLines="0" w:afterLines="0" w:line="360" w:lineRule="auto"/>
        <w:ind w:firstLine="560" w:firstLineChars="200"/>
        <w:rPr>
          <w:rFonts w:hint="eastAsia" w:ascii="宋体" w:hAnsi="宋体" w:cs="宋体"/>
          <w:bCs/>
          <w:color w:val="auto"/>
          <w:sz w:val="28"/>
          <w:szCs w:val="28"/>
          <w:highlight w:val="none"/>
        </w:rPr>
      </w:pPr>
      <w:r>
        <w:rPr>
          <w:rFonts w:hint="eastAsia" w:ascii="宋体" w:hAnsi="宋体" w:cs="宋体"/>
          <w:bCs/>
          <w:color w:val="auto"/>
          <w:sz w:val="28"/>
          <w:szCs w:val="28"/>
          <w:highlight w:val="none"/>
        </w:rPr>
        <w:t>过氧化二苯甲酰</w:t>
      </w:r>
      <w:r>
        <w:rPr>
          <w:rFonts w:hint="eastAsia" w:ascii="宋体" w:hAnsi="宋体" w:cs="宋体"/>
          <w:bCs/>
          <w:color w:val="auto"/>
          <w:sz w:val="28"/>
          <w:szCs w:val="28"/>
          <w:highlight w:val="none"/>
          <w:lang w:eastAsia="zh-CN"/>
        </w:rPr>
        <w:t>、</w:t>
      </w:r>
      <w:r>
        <w:rPr>
          <w:rFonts w:hint="eastAsia" w:ascii="宋体" w:hAnsi="宋体" w:cs="宋体"/>
          <w:bCs/>
          <w:color w:val="auto"/>
          <w:sz w:val="28"/>
          <w:szCs w:val="28"/>
          <w:highlight w:val="none"/>
        </w:rPr>
        <w:t>过氧化甲乙酮</w:t>
      </w:r>
      <w:r>
        <w:rPr>
          <w:rFonts w:hint="eastAsia" w:ascii="宋体" w:hAnsi="宋体" w:cs="宋体"/>
          <w:bCs/>
          <w:color w:val="auto"/>
          <w:sz w:val="28"/>
          <w:szCs w:val="28"/>
          <w:highlight w:val="none"/>
          <w:lang w:eastAsia="zh-CN"/>
        </w:rPr>
        <w:t>、</w:t>
      </w:r>
      <w:r>
        <w:rPr>
          <w:rFonts w:hint="eastAsia" w:ascii="宋体" w:hAnsi="宋体" w:cs="宋体"/>
          <w:bCs/>
          <w:color w:val="auto"/>
          <w:sz w:val="28"/>
          <w:szCs w:val="28"/>
          <w:highlight w:val="none"/>
        </w:rPr>
        <w:t>丙酮</w:t>
      </w:r>
      <w:r>
        <w:rPr>
          <w:rFonts w:hint="eastAsia" w:ascii="宋体" w:hAnsi="宋体" w:cs="宋体"/>
          <w:bCs/>
          <w:color w:val="auto"/>
          <w:sz w:val="28"/>
          <w:szCs w:val="28"/>
          <w:highlight w:val="none"/>
          <w:lang w:eastAsia="zh-CN"/>
        </w:rPr>
        <w:t>和</w:t>
      </w:r>
      <w:r>
        <w:rPr>
          <w:rFonts w:hint="eastAsia" w:ascii="宋体" w:hAnsi="宋体" w:cs="宋体"/>
          <w:bCs/>
          <w:color w:val="auto"/>
          <w:sz w:val="28"/>
          <w:szCs w:val="28"/>
          <w:highlight w:val="none"/>
        </w:rPr>
        <w:t>油漆稀释剂火灾危险类别为甲类；六亚甲基四胺</w:t>
      </w:r>
      <w:r>
        <w:rPr>
          <w:rFonts w:hint="eastAsia" w:ascii="宋体" w:hAnsi="宋体" w:cs="宋体"/>
          <w:bCs/>
          <w:color w:val="auto"/>
          <w:sz w:val="28"/>
          <w:szCs w:val="28"/>
          <w:highlight w:val="none"/>
          <w:lang w:eastAsia="zh-CN"/>
        </w:rPr>
        <w:t>、双氧水、硝酸银</w:t>
      </w:r>
      <w:r>
        <w:rPr>
          <w:rFonts w:hint="eastAsia" w:ascii="宋体" w:hAnsi="宋体" w:cs="宋体"/>
          <w:bCs/>
          <w:color w:val="auto"/>
          <w:sz w:val="28"/>
          <w:szCs w:val="28"/>
          <w:highlight w:val="none"/>
        </w:rPr>
        <w:t>、苯乙烯、钴盐</w:t>
      </w:r>
      <w:r>
        <w:rPr>
          <w:rFonts w:hint="eastAsia" w:ascii="宋体" w:hAnsi="宋体" w:cs="宋体"/>
          <w:bCs/>
          <w:color w:val="auto"/>
          <w:sz w:val="28"/>
          <w:szCs w:val="28"/>
          <w:highlight w:val="none"/>
          <w:lang w:eastAsia="zh-CN"/>
        </w:rPr>
        <w:t>、</w:t>
      </w:r>
      <w:r>
        <w:rPr>
          <w:rFonts w:hint="eastAsia" w:ascii="宋体" w:hAnsi="宋体" w:cs="宋体"/>
          <w:bCs/>
          <w:color w:val="auto"/>
          <w:sz w:val="28"/>
          <w:szCs w:val="28"/>
          <w:highlight w:val="none"/>
        </w:rPr>
        <w:t>油漆</w:t>
      </w:r>
      <w:r>
        <w:rPr>
          <w:rFonts w:hint="eastAsia" w:ascii="宋体" w:hAnsi="宋体" w:cs="宋体"/>
          <w:bCs/>
          <w:color w:val="auto"/>
          <w:sz w:val="28"/>
          <w:szCs w:val="28"/>
          <w:highlight w:val="none"/>
          <w:lang w:eastAsia="zh-CN"/>
        </w:rPr>
        <w:t>和</w:t>
      </w:r>
      <w:r>
        <w:rPr>
          <w:rFonts w:hint="eastAsia" w:ascii="宋体" w:hAnsi="宋体" w:cs="宋体"/>
          <w:bCs/>
          <w:color w:val="auto"/>
          <w:sz w:val="28"/>
          <w:szCs w:val="28"/>
          <w:highlight w:val="none"/>
        </w:rPr>
        <w:t>油漆固化剂火灾危险类别为乙类。</w:t>
      </w:r>
    </w:p>
    <w:p w14:paraId="4B2CFE99">
      <w:pPr>
        <w:adjustRightInd w:val="0"/>
        <w:snapToGrid w:val="0"/>
        <w:spacing w:beforeLines="0" w:afterLines="0" w:line="360" w:lineRule="auto"/>
        <w:ind w:firstLine="560" w:firstLineChars="200"/>
        <w:rPr>
          <w:rFonts w:hint="eastAsia" w:ascii="宋体" w:hAnsi="宋体" w:cs="宋体"/>
          <w:bCs/>
          <w:color w:val="auto"/>
          <w:sz w:val="28"/>
          <w:szCs w:val="28"/>
          <w:highlight w:val="none"/>
        </w:rPr>
      </w:pPr>
      <w:r>
        <w:rPr>
          <w:rFonts w:hint="eastAsia" w:ascii="宋体" w:hAnsi="宋体" w:cs="宋体"/>
          <w:bCs/>
          <w:color w:val="auto"/>
          <w:sz w:val="28"/>
          <w:szCs w:val="28"/>
          <w:highlight w:val="none"/>
        </w:rPr>
        <w:t>丙酮、油漆稀释剂、苯乙烯</w:t>
      </w:r>
      <w:r>
        <w:rPr>
          <w:rFonts w:hint="eastAsia" w:ascii="宋体" w:hAnsi="宋体" w:cs="宋体"/>
          <w:bCs/>
          <w:color w:val="auto"/>
          <w:sz w:val="28"/>
          <w:szCs w:val="28"/>
          <w:highlight w:val="none"/>
          <w:lang w:eastAsia="zh-CN"/>
        </w:rPr>
        <w:t>、</w:t>
      </w:r>
      <w:r>
        <w:rPr>
          <w:rFonts w:hint="eastAsia" w:ascii="宋体" w:hAnsi="宋体" w:cs="宋体"/>
          <w:bCs/>
          <w:color w:val="auto"/>
          <w:sz w:val="28"/>
          <w:szCs w:val="28"/>
          <w:highlight w:val="none"/>
        </w:rPr>
        <w:t>钴盐、油漆</w:t>
      </w:r>
      <w:r>
        <w:rPr>
          <w:rFonts w:hint="eastAsia" w:ascii="宋体" w:hAnsi="宋体" w:cs="宋体"/>
          <w:bCs/>
          <w:color w:val="auto"/>
          <w:sz w:val="28"/>
          <w:szCs w:val="28"/>
          <w:highlight w:val="none"/>
          <w:lang w:eastAsia="zh-CN"/>
        </w:rPr>
        <w:t>和</w:t>
      </w:r>
      <w:r>
        <w:rPr>
          <w:rFonts w:hint="eastAsia" w:ascii="宋体" w:hAnsi="宋体" w:cs="宋体"/>
          <w:bCs/>
          <w:color w:val="auto"/>
          <w:sz w:val="28"/>
          <w:szCs w:val="28"/>
          <w:highlight w:val="none"/>
        </w:rPr>
        <w:t>油漆固化剂属于易燃液体，较易着火、燃烧；它们的沸点低，易挥发，闪点又低，着火所需能量又小，一旦遇明火或火花有引起火灾的可能性。油漆、稀释剂导电率极小，容易产生静电，一旦静电积聚产生火花，就能引起着火燃烧。另外，这些易燃物品的蒸气比重都比空气大，极易在低凹处积聚、扩散，稍有不慎就会造成火灾，并有向周围扩散和回燃的危险。油漆、丙酮等的挥发性很强，挥发出来的蒸气一旦和空气混合，达到爆炸极限，遇到火源，就有发生爆炸的危险。爆炸极限范围越大、爆炸下限越低的易燃液体，其爆炸的危险性也就越大。</w:t>
      </w:r>
    </w:p>
    <w:p w14:paraId="5D26C2DC">
      <w:pPr>
        <w:adjustRightInd w:val="0"/>
        <w:snapToGrid w:val="0"/>
        <w:spacing w:beforeLines="0" w:afterLines="0" w:line="360" w:lineRule="auto"/>
        <w:ind w:firstLine="560" w:firstLineChars="200"/>
        <w:rPr>
          <w:rFonts w:hint="eastAsia" w:ascii="宋体" w:hAnsi="宋体" w:cs="宋体"/>
          <w:bCs/>
          <w:color w:val="auto"/>
          <w:sz w:val="28"/>
          <w:szCs w:val="28"/>
          <w:highlight w:val="none"/>
        </w:rPr>
      </w:pPr>
      <w:r>
        <w:rPr>
          <w:rFonts w:hint="eastAsia" w:ascii="宋体" w:hAnsi="宋体" w:cs="宋体"/>
          <w:bCs/>
          <w:color w:val="auto"/>
          <w:sz w:val="28"/>
          <w:szCs w:val="28"/>
          <w:highlight w:val="none"/>
        </w:rPr>
        <w:t>苯乙烯遇酸性催化剂如路易斯催化剂、齐格勒催化剂、硫酸、氯化铁、氯化铝等都能产生猛烈聚合，放出大量热量。</w:t>
      </w:r>
    </w:p>
    <w:p w14:paraId="0CAA0941">
      <w:pPr>
        <w:pStyle w:val="60"/>
        <w:adjustRightInd w:val="0"/>
        <w:snapToGrid w:val="0"/>
        <w:spacing w:beforeLines="0" w:after="0" w:afterLines="0" w:line="360" w:lineRule="auto"/>
        <w:ind w:left="0" w:leftChars="0"/>
        <w:rPr>
          <w:color w:val="auto"/>
          <w:sz w:val="28"/>
          <w:szCs w:val="28"/>
          <w:highlight w:val="none"/>
        </w:rPr>
        <w:sectPr>
          <w:footerReference r:id="rId11" w:type="default"/>
          <w:pgSz w:w="16838" w:h="11906" w:orient="landscape"/>
          <w:pgMar w:top="1588" w:right="1418" w:bottom="1134" w:left="1134" w:header="794" w:footer="794" w:gutter="0"/>
          <w:pgBorders>
            <w:top w:val="none" w:sz="0" w:space="0"/>
            <w:left w:val="none" w:sz="0" w:space="0"/>
            <w:bottom w:val="none" w:sz="0" w:space="0"/>
            <w:right w:val="none" w:sz="0" w:space="0"/>
          </w:pgBorders>
          <w:cols w:space="425" w:num="1"/>
          <w:docGrid w:linePitch="312" w:charSpace="0"/>
        </w:sectPr>
      </w:pPr>
      <w:r>
        <w:rPr>
          <w:rFonts w:hint="eastAsia" w:ascii="宋体" w:hAnsi="宋体" w:cs="宋体"/>
          <w:bCs/>
          <w:color w:val="auto"/>
          <w:sz w:val="28"/>
          <w:szCs w:val="28"/>
          <w:highlight w:val="none"/>
        </w:rPr>
        <w:t>苯乙烯</w:t>
      </w:r>
      <w:r>
        <w:rPr>
          <w:rFonts w:hint="eastAsia" w:ascii="宋体" w:hAnsi="宋体"/>
          <w:color w:val="auto"/>
          <w:sz w:val="28"/>
          <w:szCs w:val="28"/>
          <w:highlight w:val="none"/>
        </w:rPr>
        <w:t>火场温度下易发生危险的聚合反应，不得使用直流水扑救。与硫酸、氯化铁、氯化铝可发生猛烈聚合，放</w:t>
      </w:r>
    </w:p>
    <w:bookmarkEnd w:id="934"/>
    <w:bookmarkEnd w:id="935"/>
    <w:p w14:paraId="4E938FF7">
      <w:pPr>
        <w:adjustRightInd w:val="0"/>
        <w:snapToGrid w:val="0"/>
        <w:spacing w:beforeLines="0" w:afterLines="0" w:line="360" w:lineRule="auto"/>
        <w:ind w:firstLine="0" w:firstLineChars="0"/>
        <w:rPr>
          <w:rFonts w:hint="eastAsia" w:ascii="宋体" w:hAnsi="宋体"/>
          <w:color w:val="auto"/>
          <w:sz w:val="28"/>
          <w:szCs w:val="28"/>
          <w:highlight w:val="none"/>
        </w:rPr>
      </w:pPr>
      <w:r>
        <w:rPr>
          <w:rFonts w:hint="eastAsia" w:ascii="宋体" w:hAnsi="宋体"/>
          <w:color w:val="auto"/>
          <w:sz w:val="28"/>
          <w:szCs w:val="28"/>
          <w:highlight w:val="none"/>
        </w:rPr>
        <w:t>出大量热量。</w:t>
      </w:r>
    </w:p>
    <w:p w14:paraId="2991AD3E">
      <w:pPr>
        <w:adjustRightInd w:val="0"/>
        <w:snapToGrid w:val="0"/>
        <w:spacing w:beforeLines="0" w:afterLines="0" w:line="360" w:lineRule="auto"/>
        <w:ind w:firstLine="560" w:firstLineChars="200"/>
        <w:rPr>
          <w:rFonts w:hint="eastAsia" w:ascii="宋体" w:hAnsi="宋体"/>
          <w:color w:val="auto"/>
          <w:sz w:val="28"/>
          <w:szCs w:val="28"/>
          <w:highlight w:val="none"/>
        </w:rPr>
      </w:pPr>
      <w:r>
        <w:rPr>
          <w:rFonts w:hint="eastAsia" w:ascii="宋体" w:hAnsi="宋体"/>
          <w:color w:val="auto"/>
          <w:sz w:val="28"/>
          <w:szCs w:val="28"/>
          <w:highlight w:val="none"/>
        </w:rPr>
        <w:t>过氧化二苯甲酰干燥时极度易燃，遇热、摩擦、振动、撞击或杂质污染均可能引起爆炸性分解。急剧加热时可发生爆炸。</w:t>
      </w:r>
    </w:p>
    <w:p w14:paraId="30C4DA5E">
      <w:pPr>
        <w:adjustRightInd w:val="0"/>
        <w:snapToGrid w:val="0"/>
        <w:spacing w:beforeLines="0" w:afterLines="0" w:line="360" w:lineRule="auto"/>
        <w:ind w:firstLine="560" w:firstLineChars="200"/>
        <w:rPr>
          <w:rFonts w:hint="eastAsia" w:ascii="宋体" w:hAnsi="宋体" w:cs="宋体"/>
          <w:bCs/>
          <w:color w:val="auto"/>
          <w:sz w:val="28"/>
          <w:szCs w:val="28"/>
          <w:highlight w:val="none"/>
          <w:lang w:eastAsia="zh-CN"/>
        </w:rPr>
      </w:pPr>
      <w:r>
        <w:rPr>
          <w:rFonts w:hint="eastAsia" w:ascii="宋体" w:hAnsi="宋体" w:cs="宋体"/>
          <w:bCs/>
          <w:color w:val="auto"/>
          <w:sz w:val="28"/>
          <w:szCs w:val="28"/>
          <w:highlight w:val="none"/>
        </w:rPr>
        <w:t>过氧化二苯甲酰</w:t>
      </w:r>
      <w:r>
        <w:rPr>
          <w:rFonts w:hint="eastAsia" w:ascii="宋体" w:hAnsi="宋体" w:cs="宋体"/>
          <w:bCs/>
          <w:color w:val="auto"/>
          <w:sz w:val="28"/>
          <w:szCs w:val="28"/>
          <w:highlight w:val="none"/>
          <w:lang w:eastAsia="zh-CN"/>
        </w:rPr>
        <w:t>是强氧化剂、极不稳定，易燃烧。当撞击、受热、摩擦时能爆炸。急剧加热时可发生爆炸。加入硫酸时发生燃烧。与强酸、强碱、硫化物、还原剂和促进剂如二甲基苯胺、胺、胺类或金属环烷酸盐接触会剧烈反应。</w:t>
      </w:r>
    </w:p>
    <w:p w14:paraId="164A1E7B">
      <w:pPr>
        <w:adjustRightInd w:val="0"/>
        <w:snapToGrid w:val="0"/>
        <w:spacing w:beforeLines="0" w:afterLines="0" w:line="360" w:lineRule="auto"/>
        <w:ind w:firstLine="560" w:firstLineChars="200"/>
        <w:rPr>
          <w:rFonts w:hint="eastAsia" w:ascii="宋体" w:hAnsi="宋体" w:cs="宋体"/>
          <w:bCs/>
          <w:color w:val="auto"/>
          <w:sz w:val="28"/>
          <w:szCs w:val="28"/>
          <w:highlight w:val="none"/>
          <w:lang w:eastAsia="zh-CN"/>
        </w:rPr>
      </w:pPr>
      <w:r>
        <w:rPr>
          <w:rFonts w:hint="eastAsia" w:ascii="宋体" w:hAnsi="宋体" w:cs="Times New Roman"/>
          <w:color w:val="auto"/>
          <w:sz w:val="28"/>
          <w:szCs w:val="28"/>
          <w:highlight w:val="none"/>
        </w:rPr>
        <w:t>过氧化甲乙酮</w:t>
      </w:r>
      <w:r>
        <w:rPr>
          <w:rFonts w:hint="eastAsia" w:ascii="宋体" w:hAnsi="宋体" w:cs="宋体"/>
          <w:bCs/>
          <w:color w:val="auto"/>
          <w:sz w:val="28"/>
          <w:szCs w:val="28"/>
          <w:highlight w:val="none"/>
          <w:lang w:eastAsia="zh-CN"/>
        </w:rPr>
        <w:t>是强氧化剂，与还原剂、促进剂、有机物、可燃物等接触会剧烈反应，有燃烧爆炸的风险。</w:t>
      </w:r>
    </w:p>
    <w:p w14:paraId="139F9F17">
      <w:pPr>
        <w:adjustRightInd w:val="0"/>
        <w:snapToGrid w:val="0"/>
        <w:spacing w:beforeLines="0" w:afterLines="0" w:line="360" w:lineRule="auto"/>
        <w:ind w:firstLine="560" w:firstLineChars="200"/>
        <w:rPr>
          <w:rFonts w:hint="eastAsia" w:ascii="宋体" w:hAnsi="宋体"/>
          <w:color w:val="auto"/>
          <w:sz w:val="28"/>
          <w:szCs w:val="28"/>
          <w:highlight w:val="none"/>
        </w:rPr>
      </w:pPr>
      <w:r>
        <w:rPr>
          <w:rFonts w:hint="eastAsia" w:ascii="宋体" w:hAnsi="宋体"/>
          <w:color w:val="auto"/>
          <w:sz w:val="28"/>
          <w:szCs w:val="28"/>
          <w:highlight w:val="none"/>
        </w:rPr>
        <w:t>过氧化甲乙酮遇明火、高热、摩擦、振动、撞击可能引起激烈燃烧或爆炸。</w:t>
      </w:r>
    </w:p>
    <w:p w14:paraId="789543FC">
      <w:pPr>
        <w:adjustRightInd w:val="0"/>
        <w:snapToGrid w:val="0"/>
        <w:spacing w:beforeLines="0" w:afterLines="0" w:line="360" w:lineRule="auto"/>
        <w:ind w:firstLine="560" w:firstLineChars="200"/>
        <w:rPr>
          <w:rFonts w:hint="eastAsia" w:ascii="宋体" w:hAnsi="宋体" w:cs="宋体"/>
          <w:bCs/>
          <w:color w:val="auto"/>
          <w:sz w:val="28"/>
          <w:szCs w:val="28"/>
          <w:highlight w:val="none"/>
          <w:lang w:eastAsia="zh-CN"/>
        </w:rPr>
      </w:pPr>
      <w:r>
        <w:rPr>
          <w:rFonts w:hint="eastAsia" w:ascii="宋体" w:hAnsi="宋体"/>
          <w:color w:val="auto"/>
          <w:sz w:val="28"/>
          <w:szCs w:val="28"/>
          <w:highlight w:val="none"/>
          <w:lang w:eastAsia="zh-CN"/>
        </w:rPr>
        <w:t>双氧水是</w:t>
      </w:r>
      <w:r>
        <w:rPr>
          <w:rFonts w:hint="eastAsia" w:ascii="宋体" w:hAnsi="宋体"/>
          <w:color w:val="auto"/>
          <w:sz w:val="28"/>
          <w:szCs w:val="28"/>
          <w:highlight w:val="none"/>
        </w:rPr>
        <w:t>爆炸性强氧化剂。过氧化氢本身不燃，但能与可燃物反应放出大量热量和氧气而引起着火爆炸。过氧化氢在pH值3.4～4.5时最稳定，在碱性溶液中</w:t>
      </w:r>
      <w:r>
        <w:rPr>
          <w:rFonts w:hint="eastAsia" w:ascii="宋体" w:hAnsi="宋体"/>
          <w:color w:val="auto"/>
          <w:sz w:val="28"/>
          <w:szCs w:val="28"/>
          <w:highlight w:val="none"/>
          <w:lang w:eastAsia="zh-CN"/>
        </w:rPr>
        <w:t>极</w:t>
      </w:r>
      <w:r>
        <w:rPr>
          <w:rFonts w:hint="eastAsia" w:ascii="宋体" w:hAnsi="宋体"/>
          <w:color w:val="auto"/>
          <w:sz w:val="28"/>
          <w:szCs w:val="28"/>
          <w:highlight w:val="none"/>
        </w:rPr>
        <w:t>易分解，在遇强光，特别是短波射线照射时也能发生分解。当加热到100℃以上时，开始急剧分解。它与许多有机物如糖、淀粉、醇类、石油产品等形成爆炸性混合物，在撞击、受热或电火花作用下能发生爆炸。过氧化氢与许多无机物或杂质接触后会迅速分解而导致爆炸，放出大量的热量、氧和水蒸气。大多数重金属（如铁、铜、银、铅、汞、锌、钴、镍、铬、锰等）及其氧化物和盐类都是活性催化剂，尘土、香烟灰、粉尘、铁锈等也能加速分解。浓度超过74％的过氧化氢，在具有适当的点火源或温度的密闭容器中，会产生气相爆炸。</w:t>
      </w:r>
    </w:p>
    <w:p w14:paraId="181B2A80">
      <w:pPr>
        <w:adjustRightInd w:val="0"/>
        <w:snapToGrid w:val="0"/>
        <w:spacing w:beforeLines="0" w:afterLines="0" w:line="360" w:lineRule="auto"/>
        <w:ind w:firstLine="560" w:firstLineChars="200"/>
        <w:rPr>
          <w:rFonts w:hint="eastAsia" w:ascii="宋体" w:hAnsi="宋体"/>
          <w:color w:val="auto"/>
          <w:sz w:val="28"/>
          <w:szCs w:val="28"/>
          <w:highlight w:val="none"/>
        </w:rPr>
      </w:pPr>
      <w:r>
        <w:rPr>
          <w:rFonts w:hint="eastAsia" w:ascii="宋体" w:hAnsi="宋体" w:cs="宋体"/>
          <w:bCs/>
          <w:color w:val="auto"/>
          <w:sz w:val="28"/>
          <w:szCs w:val="28"/>
          <w:highlight w:val="none"/>
          <w:lang w:eastAsia="zh-CN"/>
        </w:rPr>
        <w:t>硝酸银为</w:t>
      </w:r>
      <w:r>
        <w:rPr>
          <w:rFonts w:hint="eastAsia" w:ascii="宋体" w:hAnsi="宋体"/>
          <w:color w:val="auto"/>
          <w:sz w:val="28"/>
          <w:szCs w:val="28"/>
          <w:highlight w:val="none"/>
        </w:rPr>
        <w:t>无机氧化剂。遇可燃物着火时，能助长火势。硝酸银见光分解成银、二氧化氮和氧气。</w:t>
      </w:r>
    </w:p>
    <w:p w14:paraId="4B5401BA">
      <w:pPr>
        <w:adjustRightInd w:val="0"/>
        <w:snapToGrid w:val="0"/>
        <w:spacing w:beforeLines="0" w:afterLines="0" w:line="360" w:lineRule="auto"/>
        <w:ind w:firstLine="560" w:firstLineChars="200"/>
        <w:rPr>
          <w:rFonts w:hint="eastAsia" w:ascii="宋体" w:hAnsi="宋体"/>
          <w:color w:val="auto"/>
          <w:sz w:val="28"/>
          <w:szCs w:val="28"/>
          <w:highlight w:val="none"/>
        </w:rPr>
      </w:pPr>
      <w:r>
        <w:rPr>
          <w:rFonts w:hint="eastAsia" w:ascii="宋体" w:hAnsi="宋体" w:cs="宋体"/>
          <w:bCs/>
          <w:color w:val="auto"/>
          <w:sz w:val="28"/>
          <w:szCs w:val="28"/>
          <w:highlight w:val="none"/>
        </w:rPr>
        <w:t>六亚甲基四胺</w:t>
      </w:r>
      <w:r>
        <w:rPr>
          <w:rFonts w:hint="eastAsia" w:ascii="宋体" w:hAnsi="宋体"/>
          <w:color w:val="auto"/>
          <w:sz w:val="28"/>
          <w:szCs w:val="28"/>
          <w:highlight w:val="none"/>
        </w:rPr>
        <w:t>遇明火有引起燃烧的危险。受热分解放出有毒的氧化氮烟气。与氧化剂混合能形成爆炸性混合物。具有腐蚀性。</w:t>
      </w:r>
    </w:p>
    <w:p w14:paraId="401AE416">
      <w:pPr>
        <w:numPr>
          <w:ilvl w:val="0"/>
          <w:numId w:val="19"/>
        </w:numPr>
        <w:adjustRightInd w:val="0"/>
        <w:snapToGrid w:val="0"/>
        <w:spacing w:beforeLines="0" w:afterLines="0" w:line="360" w:lineRule="auto"/>
        <w:ind w:left="0" w:leftChars="0" w:firstLine="560" w:firstLineChars="0"/>
        <w:outlineLvl w:val="9"/>
        <w:rPr>
          <w:rFonts w:hint="eastAsia" w:ascii="宋体" w:hAnsi="宋体" w:eastAsia="宋体" w:cs="宋体"/>
          <w:b w:val="0"/>
          <w:bCs/>
          <w:color w:val="auto"/>
          <w:sz w:val="28"/>
          <w:szCs w:val="28"/>
          <w:highlight w:val="none"/>
        </w:rPr>
      </w:pPr>
      <w:bookmarkStart w:id="1111" w:name="_Toc498075587"/>
      <w:bookmarkStart w:id="1112" w:name="_Toc60846605"/>
      <w:r>
        <w:rPr>
          <w:rFonts w:hint="eastAsia" w:ascii="宋体" w:hAnsi="宋体" w:eastAsia="宋体" w:cs="宋体"/>
          <w:b w:val="0"/>
          <w:bCs/>
          <w:color w:val="auto"/>
          <w:sz w:val="28"/>
          <w:szCs w:val="28"/>
          <w:highlight w:val="none"/>
        </w:rPr>
        <w:t>易流动扩散性</w:t>
      </w:r>
      <w:bookmarkEnd w:id="1111"/>
      <w:bookmarkEnd w:id="1112"/>
    </w:p>
    <w:p w14:paraId="2F7ABEA0">
      <w:pPr>
        <w:adjustRightInd w:val="0"/>
        <w:snapToGrid w:val="0"/>
        <w:spacing w:beforeLines="0" w:afterLines="0" w:line="360" w:lineRule="auto"/>
        <w:ind w:firstLine="560" w:firstLineChars="200"/>
        <w:rPr>
          <w:rFonts w:hint="eastAsia" w:ascii="宋体" w:hAnsi="宋体" w:cs="宋体"/>
          <w:bCs/>
          <w:color w:val="auto"/>
          <w:sz w:val="28"/>
          <w:szCs w:val="28"/>
          <w:highlight w:val="none"/>
        </w:rPr>
      </w:pPr>
      <w:r>
        <w:rPr>
          <w:rFonts w:hint="eastAsia" w:ascii="宋体" w:hAnsi="宋体" w:cs="宋体"/>
          <w:bCs/>
          <w:color w:val="auto"/>
          <w:sz w:val="28"/>
          <w:szCs w:val="28"/>
          <w:highlight w:val="none"/>
        </w:rPr>
        <w:t>油漆、油漆稀释剂、钴盐、丙酮、油漆、油漆固化剂及苯乙烯等</w:t>
      </w:r>
      <w:r>
        <w:rPr>
          <w:rFonts w:hint="eastAsia" w:ascii="宋体" w:hAnsi="宋体" w:cs="宋体"/>
          <w:bCs/>
          <w:color w:val="auto"/>
          <w:sz w:val="28"/>
          <w:szCs w:val="28"/>
          <w:highlight w:val="none"/>
          <w:lang w:eastAsia="zh-CN"/>
        </w:rPr>
        <w:t>的黏度</w:t>
      </w:r>
      <w:r>
        <w:rPr>
          <w:rFonts w:hint="eastAsia" w:ascii="宋体" w:hAnsi="宋体" w:cs="宋体"/>
          <w:bCs/>
          <w:color w:val="auto"/>
          <w:sz w:val="28"/>
          <w:szCs w:val="28"/>
          <w:highlight w:val="none"/>
        </w:rPr>
        <w:t>很小，不仅本身极易流动，还因渗透、浸润和毛细现象等作用，即使容器只有极细微裂缝，易燃液体也会渗出容器壁外，扩大其表面积，并源源不断</w:t>
      </w:r>
      <w:r>
        <w:rPr>
          <w:rFonts w:hint="eastAsia" w:ascii="宋体" w:hAnsi="宋体" w:cs="宋体"/>
          <w:bCs/>
          <w:color w:val="auto"/>
          <w:sz w:val="28"/>
          <w:szCs w:val="28"/>
          <w:highlight w:val="none"/>
          <w:lang w:eastAsia="zh-CN"/>
        </w:rPr>
        <w:t>地</w:t>
      </w:r>
      <w:r>
        <w:rPr>
          <w:rFonts w:hint="eastAsia" w:ascii="宋体" w:hAnsi="宋体" w:cs="宋体"/>
          <w:bCs/>
          <w:color w:val="auto"/>
          <w:sz w:val="28"/>
          <w:szCs w:val="28"/>
          <w:highlight w:val="none"/>
        </w:rPr>
        <w:t>挥发，使空气中易燃液体蒸气浓度增高，从而增加了着火爆炸的危险性。</w:t>
      </w:r>
    </w:p>
    <w:p w14:paraId="6B09F6EE">
      <w:pPr>
        <w:numPr>
          <w:ilvl w:val="0"/>
          <w:numId w:val="19"/>
        </w:numPr>
        <w:adjustRightInd w:val="0"/>
        <w:snapToGrid w:val="0"/>
        <w:spacing w:beforeLines="0" w:afterLines="0" w:line="360" w:lineRule="auto"/>
        <w:ind w:left="0" w:leftChars="0" w:firstLine="560" w:firstLineChars="0"/>
        <w:outlineLvl w:val="9"/>
        <w:rPr>
          <w:rFonts w:hint="eastAsia" w:ascii="宋体" w:hAnsi="宋体" w:eastAsia="宋体" w:cs="宋体"/>
          <w:b w:val="0"/>
          <w:bCs/>
          <w:color w:val="auto"/>
          <w:sz w:val="28"/>
          <w:szCs w:val="28"/>
          <w:highlight w:val="none"/>
        </w:rPr>
      </w:pPr>
      <w:bookmarkStart w:id="1113" w:name="_Toc60846606"/>
      <w:bookmarkStart w:id="1114" w:name="_Toc498075588"/>
      <w:r>
        <w:rPr>
          <w:rFonts w:hint="eastAsia" w:ascii="宋体" w:hAnsi="宋体" w:eastAsia="宋体" w:cs="宋体"/>
          <w:b w:val="0"/>
          <w:bCs/>
          <w:color w:val="auto"/>
          <w:sz w:val="28"/>
          <w:szCs w:val="28"/>
          <w:highlight w:val="none"/>
        </w:rPr>
        <w:t>受热膨胀性</w:t>
      </w:r>
      <w:bookmarkEnd w:id="1113"/>
      <w:bookmarkEnd w:id="1114"/>
    </w:p>
    <w:p w14:paraId="39B22F4F">
      <w:pPr>
        <w:adjustRightInd w:val="0"/>
        <w:snapToGrid w:val="0"/>
        <w:spacing w:beforeLines="0" w:afterLines="0" w:line="360" w:lineRule="auto"/>
        <w:ind w:firstLine="560" w:firstLineChars="200"/>
        <w:rPr>
          <w:rFonts w:hint="eastAsia" w:ascii="宋体" w:hAnsi="宋体" w:cs="宋体"/>
          <w:bCs/>
          <w:color w:val="auto"/>
          <w:sz w:val="28"/>
          <w:szCs w:val="28"/>
          <w:highlight w:val="none"/>
        </w:rPr>
      </w:pPr>
      <w:r>
        <w:rPr>
          <w:rFonts w:hint="eastAsia" w:ascii="宋体" w:hAnsi="宋体" w:cs="宋体"/>
          <w:bCs/>
          <w:color w:val="auto"/>
          <w:sz w:val="28"/>
          <w:szCs w:val="28"/>
          <w:highlight w:val="none"/>
        </w:rPr>
        <w:t>油漆、油漆稀释剂、钴盐、丙酮、油漆、油漆固化剂及苯乙烯等易燃液体危险化学品和其他物品一样，有受热膨胀性。储存于密闭容器中的易燃液体受热后，在本身体积膨胀的同时会使蒸气压力增加，如超过容器所能承受的压力极限，就会造成容器膨胀，以至爆裂。夏季盛装易燃液体的桶，常出现“鼓桶”现象以及玻璃容器发生爆裂，就是由于受热膨胀所致。</w:t>
      </w:r>
    </w:p>
    <w:p w14:paraId="3757E49C">
      <w:pPr>
        <w:numPr>
          <w:ilvl w:val="0"/>
          <w:numId w:val="19"/>
        </w:numPr>
        <w:adjustRightInd w:val="0"/>
        <w:snapToGrid w:val="0"/>
        <w:spacing w:beforeLines="0" w:afterLines="0" w:line="360" w:lineRule="auto"/>
        <w:ind w:left="0" w:leftChars="0" w:firstLine="560" w:firstLineChars="0"/>
        <w:outlineLvl w:val="9"/>
        <w:rPr>
          <w:rFonts w:hint="eastAsia" w:ascii="宋体" w:hAnsi="宋体" w:eastAsia="宋体" w:cs="宋体"/>
          <w:b w:val="0"/>
          <w:bCs/>
          <w:color w:val="auto"/>
          <w:sz w:val="28"/>
          <w:szCs w:val="28"/>
          <w:highlight w:val="none"/>
        </w:rPr>
      </w:pPr>
      <w:bookmarkStart w:id="1115" w:name="_Toc60846607"/>
      <w:bookmarkStart w:id="1116" w:name="_Toc498075589"/>
      <w:r>
        <w:rPr>
          <w:rFonts w:hint="eastAsia" w:ascii="宋体" w:hAnsi="宋体" w:eastAsia="宋体" w:cs="宋体"/>
          <w:b w:val="0"/>
          <w:bCs/>
          <w:color w:val="auto"/>
          <w:sz w:val="28"/>
          <w:szCs w:val="28"/>
          <w:highlight w:val="none"/>
        </w:rPr>
        <w:t>静电易积聚性</w:t>
      </w:r>
      <w:bookmarkEnd w:id="1115"/>
      <w:bookmarkEnd w:id="1116"/>
    </w:p>
    <w:p w14:paraId="4E00CCB1">
      <w:pPr>
        <w:adjustRightInd w:val="0"/>
        <w:snapToGrid w:val="0"/>
        <w:spacing w:beforeLines="0" w:afterLines="0" w:line="360" w:lineRule="auto"/>
        <w:ind w:firstLine="560" w:firstLineChars="200"/>
        <w:rPr>
          <w:rFonts w:hint="eastAsia" w:ascii="宋体" w:hAnsi="宋体" w:eastAsia="宋体" w:cs="宋体"/>
          <w:bCs/>
          <w:color w:val="auto"/>
          <w:sz w:val="28"/>
          <w:szCs w:val="28"/>
          <w:highlight w:val="none"/>
        </w:rPr>
      </w:pPr>
      <w:r>
        <w:rPr>
          <w:rFonts w:hint="eastAsia" w:ascii="宋体" w:hAnsi="宋体" w:cs="宋体"/>
          <w:bCs/>
          <w:color w:val="auto"/>
          <w:sz w:val="28"/>
          <w:szCs w:val="28"/>
          <w:highlight w:val="none"/>
        </w:rPr>
        <w:t>油漆、油漆稀释剂、钴盐、丙酮、油漆、油漆固化剂及苯乙烯等容易产生和积聚静电。流速过快，可以产生高电位静电，特别是气体中含有其他微粒物质时，其静电危险性更大，遇闪火而引起爆炸。</w:t>
      </w:r>
    </w:p>
    <w:p w14:paraId="356EF0F2">
      <w:pPr>
        <w:numPr>
          <w:ilvl w:val="0"/>
          <w:numId w:val="19"/>
        </w:numPr>
        <w:adjustRightInd w:val="0"/>
        <w:snapToGrid w:val="0"/>
        <w:spacing w:beforeLines="0" w:afterLines="0" w:line="360" w:lineRule="auto"/>
        <w:ind w:left="0" w:leftChars="0" w:firstLine="560" w:firstLineChars="0"/>
        <w:outlineLvl w:val="9"/>
        <w:rPr>
          <w:rFonts w:hint="eastAsia" w:ascii="宋体" w:hAnsi="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灼</w:t>
      </w:r>
      <w:r>
        <w:rPr>
          <w:rFonts w:hint="eastAsia" w:ascii="宋体" w:hAnsi="宋体" w:cs="宋体"/>
          <w:b w:val="0"/>
          <w:bCs/>
          <w:color w:val="auto"/>
          <w:sz w:val="28"/>
          <w:szCs w:val="28"/>
          <w:highlight w:val="none"/>
          <w:lang w:eastAsia="zh-CN"/>
        </w:rPr>
        <w:t>烫</w:t>
      </w:r>
    </w:p>
    <w:p w14:paraId="0F99091F">
      <w:pPr>
        <w:adjustRightInd w:val="0"/>
        <w:snapToGrid w:val="0"/>
        <w:spacing w:beforeLines="0" w:afterLines="0" w:line="360" w:lineRule="auto"/>
        <w:ind w:firstLine="560" w:firstLineChars="200"/>
        <w:rPr>
          <w:rFonts w:hint="eastAsia" w:ascii="宋体" w:hAnsi="宋体" w:cs="宋体"/>
          <w:bCs/>
          <w:color w:val="auto"/>
          <w:sz w:val="28"/>
          <w:szCs w:val="28"/>
          <w:highlight w:val="none"/>
        </w:rPr>
      </w:pPr>
      <w:r>
        <w:rPr>
          <w:rFonts w:hint="eastAsia" w:ascii="宋体" w:hAnsi="宋体" w:cs="宋体"/>
          <w:bCs/>
          <w:color w:val="auto"/>
          <w:sz w:val="28"/>
          <w:szCs w:val="28"/>
          <w:highlight w:val="none"/>
        </w:rPr>
        <w:t>盐酸为腐蚀品。腐蚀品的共性是它对人体、设备、建筑物、构筑物、车辆船舶的金属结构都有很大的腐蚀和破坏作用。</w:t>
      </w:r>
    </w:p>
    <w:p w14:paraId="17442DF5">
      <w:pPr>
        <w:numPr>
          <w:ilvl w:val="0"/>
          <w:numId w:val="19"/>
        </w:numPr>
        <w:adjustRightInd w:val="0"/>
        <w:snapToGrid w:val="0"/>
        <w:spacing w:beforeLines="0" w:afterLines="0" w:line="360" w:lineRule="auto"/>
        <w:ind w:left="0" w:leftChars="0" w:firstLine="560" w:firstLineChars="0"/>
        <w:outlineLvl w:val="9"/>
        <w:rPr>
          <w:rFonts w:hint="eastAsia" w:ascii="宋体" w:hAnsi="宋体" w:eastAsia="宋体" w:cs="宋体"/>
          <w:b w:val="0"/>
          <w:bCs/>
          <w:color w:val="auto"/>
          <w:sz w:val="28"/>
          <w:szCs w:val="28"/>
          <w:highlight w:val="none"/>
        </w:rPr>
      </w:pPr>
      <w:r>
        <w:rPr>
          <w:rFonts w:hint="eastAsia" w:ascii="宋体" w:hAnsi="宋体" w:cs="宋体"/>
          <w:b w:val="0"/>
          <w:bCs/>
          <w:color w:val="auto"/>
          <w:sz w:val="28"/>
          <w:szCs w:val="28"/>
          <w:highlight w:val="none"/>
          <w:lang w:eastAsia="zh-CN"/>
        </w:rPr>
        <w:t>中毒</w:t>
      </w:r>
    </w:p>
    <w:p w14:paraId="28B1462F">
      <w:pPr>
        <w:adjustRightInd w:val="0"/>
        <w:snapToGrid w:val="0"/>
        <w:spacing w:beforeLines="0" w:afterLines="0" w:line="360" w:lineRule="auto"/>
        <w:ind w:firstLine="560" w:firstLineChars="200"/>
        <w:rPr>
          <w:rFonts w:hint="eastAsia" w:ascii="宋体" w:hAnsi="宋体" w:cs="宋体"/>
          <w:color w:val="auto"/>
          <w:kern w:val="0"/>
          <w:sz w:val="28"/>
          <w:szCs w:val="28"/>
          <w:highlight w:val="none"/>
        </w:rPr>
      </w:pPr>
      <w:r>
        <w:rPr>
          <w:rFonts w:hint="eastAsia" w:ascii="宋体" w:hAnsi="宋体" w:cs="宋体"/>
          <w:bCs/>
          <w:color w:val="auto"/>
          <w:sz w:val="28"/>
          <w:szCs w:val="28"/>
          <w:highlight w:val="none"/>
        </w:rPr>
        <w:t>六亚甲基四胺</w:t>
      </w:r>
      <w:r>
        <w:rPr>
          <w:rFonts w:hint="eastAsia" w:ascii="宋体" w:hAnsi="宋体" w:cs="宋体"/>
          <w:bCs/>
          <w:color w:val="auto"/>
          <w:sz w:val="28"/>
          <w:szCs w:val="28"/>
          <w:highlight w:val="none"/>
          <w:lang w:eastAsia="zh-CN"/>
        </w:rPr>
        <w:t>、</w:t>
      </w:r>
      <w:r>
        <w:rPr>
          <w:rFonts w:hint="eastAsia" w:ascii="Times New Roman" w:hAnsi="Times New Roman" w:cs="Times New Roman"/>
          <w:bCs/>
          <w:color w:val="auto"/>
          <w:sz w:val="28"/>
          <w:szCs w:val="28"/>
          <w:highlight w:val="none"/>
        </w:rPr>
        <w:t>盐酸、过氧化二苯甲酰、过氧化甲乙酮、双氧水、</w:t>
      </w:r>
      <w:r>
        <w:rPr>
          <w:rFonts w:hint="eastAsia" w:ascii="Times New Roman" w:hAnsi="Times New Roman" w:cs="Times New Roman"/>
          <w:bCs/>
          <w:color w:val="auto"/>
          <w:sz w:val="28"/>
          <w:szCs w:val="28"/>
          <w:highlight w:val="none"/>
          <w:lang w:eastAsia="zh-CN"/>
        </w:rPr>
        <w:t>硝酸银、</w:t>
      </w:r>
      <w:r>
        <w:rPr>
          <w:rFonts w:hint="eastAsia" w:ascii="Times New Roman" w:hAnsi="Times New Roman" w:cs="Times New Roman"/>
          <w:bCs/>
          <w:color w:val="auto"/>
          <w:sz w:val="28"/>
          <w:szCs w:val="28"/>
          <w:highlight w:val="none"/>
        </w:rPr>
        <w:t>丙酮、</w:t>
      </w:r>
      <w:r>
        <w:rPr>
          <w:rFonts w:hint="eastAsia" w:ascii="Times New Roman" w:hAnsi="Times New Roman" w:cs="Times New Roman"/>
          <w:bCs/>
          <w:color w:val="auto"/>
          <w:sz w:val="28"/>
          <w:szCs w:val="28"/>
          <w:highlight w:val="none"/>
          <w:lang w:eastAsia="zh-CN"/>
        </w:rPr>
        <w:t>苯乙烯</w:t>
      </w:r>
      <w:r>
        <w:rPr>
          <w:rFonts w:hint="eastAsia" w:ascii="Times New Roman" w:hAnsi="Times New Roman" w:cs="Times New Roman"/>
          <w:bCs/>
          <w:color w:val="auto"/>
          <w:sz w:val="28"/>
          <w:szCs w:val="28"/>
          <w:highlight w:val="none"/>
        </w:rPr>
        <w:t>、钴盐、油漆、稀释剂、固化剂</w:t>
      </w:r>
      <w:r>
        <w:rPr>
          <w:rFonts w:hint="eastAsia" w:ascii="宋体" w:hAnsi="宋体" w:cs="宋体"/>
          <w:color w:val="auto"/>
          <w:kern w:val="0"/>
          <w:sz w:val="28"/>
          <w:szCs w:val="28"/>
          <w:highlight w:val="none"/>
        </w:rPr>
        <w:t>有一定的毒性，若人体长期吸入、接触可能会导致疾病。</w:t>
      </w:r>
    </w:p>
    <w:p w14:paraId="7BCCA076">
      <w:pPr>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1117" w:name="_Toc4067"/>
      <w:bookmarkStart w:id="1118" w:name="_Toc9882"/>
      <w:bookmarkStart w:id="1119" w:name="_Toc12974"/>
      <w:bookmarkStart w:id="1120" w:name="_Toc32272"/>
      <w:bookmarkStart w:id="1121" w:name="_Toc25625"/>
      <w:bookmarkStart w:id="1122" w:name="_Toc25963"/>
      <w:bookmarkStart w:id="1123" w:name="_Toc13355"/>
      <w:bookmarkStart w:id="1124" w:name="_Toc14281"/>
      <w:bookmarkStart w:id="1125" w:name="_Toc24514"/>
      <w:bookmarkStart w:id="1126" w:name="_Toc12628"/>
      <w:bookmarkStart w:id="1127" w:name="_Toc10720"/>
      <w:bookmarkStart w:id="1128" w:name="_Toc13847"/>
      <w:bookmarkStart w:id="1129" w:name="_Toc15011"/>
      <w:bookmarkStart w:id="1130" w:name="_Toc22486"/>
      <w:bookmarkStart w:id="1131" w:name="_Toc27894"/>
      <w:bookmarkStart w:id="1132" w:name="_Toc2325"/>
      <w:bookmarkStart w:id="1133" w:name="_Toc10275"/>
      <w:bookmarkStart w:id="1134" w:name="_Toc6533"/>
      <w:bookmarkStart w:id="1135" w:name="_Toc7593"/>
      <w:bookmarkStart w:id="1136" w:name="_Toc18132"/>
      <w:bookmarkStart w:id="1137" w:name="_Toc11756"/>
      <w:bookmarkStart w:id="1138" w:name="_Toc516861690"/>
      <w:bookmarkStart w:id="1139" w:name="_Toc10290"/>
      <w:bookmarkStart w:id="1140" w:name="_Toc22126"/>
      <w:bookmarkStart w:id="1141" w:name="_Toc30040"/>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US" w:eastAsia="zh-CN"/>
        </w:rPr>
        <w:t>2.2 物料</w:t>
      </w:r>
      <w:r>
        <w:rPr>
          <w:rFonts w:hint="eastAsia" w:ascii="黑体" w:hAnsi="黑体" w:eastAsia="黑体" w:cs="黑体"/>
          <w:b/>
          <w:bCs/>
          <w:color w:val="auto"/>
          <w:kern w:val="0"/>
          <w:sz w:val="28"/>
          <w:szCs w:val="28"/>
          <w:highlight w:val="none"/>
          <w:lang w:val="en-GB"/>
        </w:rPr>
        <w:t>装卸过程危险、有害因素分析</w:t>
      </w:r>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p>
    <w:p w14:paraId="409F78BB">
      <w:pPr>
        <w:numPr>
          <w:ilvl w:val="0"/>
          <w:numId w:val="20"/>
        </w:numPr>
        <w:adjustRightInd w:val="0"/>
        <w:snapToGrid w:val="0"/>
        <w:spacing w:beforeLines="0" w:afterLines="0" w:line="360" w:lineRule="auto"/>
        <w:ind w:left="0" w:firstLine="560" w:firstLineChars="200"/>
        <w:rPr>
          <w:rFonts w:ascii="宋体" w:hAnsi="宋体"/>
          <w:color w:val="auto"/>
          <w:kern w:val="0"/>
          <w:sz w:val="28"/>
          <w:szCs w:val="28"/>
          <w:highlight w:val="none"/>
        </w:rPr>
      </w:pPr>
      <w:r>
        <w:rPr>
          <w:rFonts w:hint="eastAsia" w:ascii="宋体" w:hAnsi="宋体"/>
          <w:color w:val="auto"/>
          <w:kern w:val="0"/>
          <w:sz w:val="28"/>
          <w:szCs w:val="28"/>
          <w:highlight w:val="none"/>
        </w:rPr>
        <w:t>若委托没有危险化学品运输资质的运输企业进行运输，易产生运输安全事故。</w:t>
      </w:r>
    </w:p>
    <w:p w14:paraId="3B85FB77">
      <w:pPr>
        <w:numPr>
          <w:ilvl w:val="0"/>
          <w:numId w:val="20"/>
        </w:numPr>
        <w:adjustRightInd w:val="0"/>
        <w:snapToGrid w:val="0"/>
        <w:spacing w:beforeLines="0" w:afterLines="0" w:line="360" w:lineRule="auto"/>
        <w:ind w:left="0" w:firstLine="560" w:firstLineChars="200"/>
        <w:rPr>
          <w:rFonts w:ascii="宋体" w:hAnsi="宋体"/>
          <w:color w:val="auto"/>
          <w:kern w:val="0"/>
          <w:sz w:val="28"/>
          <w:szCs w:val="28"/>
          <w:highlight w:val="none"/>
        </w:rPr>
      </w:pPr>
      <w:r>
        <w:rPr>
          <w:rFonts w:hint="eastAsia" w:ascii="宋体" w:hAnsi="宋体"/>
          <w:color w:val="auto"/>
          <w:kern w:val="0"/>
          <w:sz w:val="28"/>
          <w:szCs w:val="28"/>
          <w:highlight w:val="none"/>
        </w:rPr>
        <w:t>危险化学品运输车辆超载、超速在</w:t>
      </w:r>
      <w:r>
        <w:rPr>
          <w:rFonts w:hint="eastAsia" w:ascii="宋体" w:hAnsi="宋体" w:eastAsia="宋体" w:cs="宋体"/>
          <w:color w:val="auto"/>
          <w:sz w:val="28"/>
          <w:szCs w:val="28"/>
          <w:highlight w:val="none"/>
        </w:rPr>
        <w:t>伟星临海钮扣分公司</w:t>
      </w:r>
      <w:r>
        <w:rPr>
          <w:rFonts w:hint="eastAsia" w:ascii="宋体" w:hAnsi="宋体"/>
          <w:color w:val="auto"/>
          <w:kern w:val="0"/>
          <w:sz w:val="28"/>
          <w:szCs w:val="28"/>
          <w:highlight w:val="none"/>
        </w:rPr>
        <w:t>厂区内行驶，可能导致车辆伤害事故发生。</w:t>
      </w:r>
    </w:p>
    <w:p w14:paraId="30E7BB32">
      <w:pPr>
        <w:numPr>
          <w:ilvl w:val="0"/>
          <w:numId w:val="20"/>
        </w:numPr>
        <w:adjustRightInd w:val="0"/>
        <w:snapToGrid w:val="0"/>
        <w:spacing w:beforeLines="0" w:afterLines="0" w:line="360" w:lineRule="auto"/>
        <w:ind w:left="0" w:firstLine="560" w:firstLineChars="200"/>
        <w:rPr>
          <w:rFonts w:ascii="宋体" w:hAnsi="宋体"/>
          <w:color w:val="auto"/>
          <w:kern w:val="0"/>
          <w:sz w:val="28"/>
          <w:szCs w:val="28"/>
          <w:highlight w:val="none"/>
        </w:rPr>
      </w:pPr>
      <w:r>
        <w:rPr>
          <w:rFonts w:hint="eastAsia" w:ascii="宋体" w:hAnsi="宋体"/>
          <w:color w:val="auto"/>
          <w:kern w:val="0"/>
          <w:sz w:val="28"/>
          <w:szCs w:val="28"/>
          <w:highlight w:val="none"/>
        </w:rPr>
        <w:t>若未制定装卸作业安全操作规程或未对作业人员进行相关知识培训，作业人员不熟悉装卸作业程序及注意事项，可能因误操作而导致装卸事故的发生。</w:t>
      </w:r>
    </w:p>
    <w:p w14:paraId="74AA3CB4">
      <w:pPr>
        <w:numPr>
          <w:ilvl w:val="0"/>
          <w:numId w:val="20"/>
        </w:numPr>
        <w:adjustRightInd w:val="0"/>
        <w:snapToGrid w:val="0"/>
        <w:spacing w:beforeLines="0" w:afterLines="0" w:line="360" w:lineRule="auto"/>
        <w:ind w:left="0" w:firstLine="560" w:firstLineChars="200"/>
        <w:rPr>
          <w:rFonts w:ascii="宋体" w:hAnsi="宋体"/>
          <w:color w:val="auto"/>
          <w:kern w:val="0"/>
          <w:sz w:val="28"/>
          <w:szCs w:val="28"/>
          <w:highlight w:val="none"/>
        </w:rPr>
      </w:pPr>
      <w:r>
        <w:rPr>
          <w:rFonts w:hint="eastAsia" w:ascii="宋体" w:hAnsi="宋体"/>
          <w:color w:val="auto"/>
          <w:kern w:val="0"/>
          <w:sz w:val="28"/>
          <w:szCs w:val="28"/>
          <w:highlight w:val="none"/>
        </w:rPr>
        <w:t>装卸时需设置防车辆移动措施，如车辆轮胎设置三角木、设置装卸车辆钥匙柜等等，可能无法避免在装卸过程中的车辆移动，导致危险化学品泄漏</w:t>
      </w:r>
      <w:r>
        <w:rPr>
          <w:rFonts w:hint="eastAsia" w:ascii="宋体" w:hAnsi="宋体"/>
          <w:color w:val="auto"/>
          <w:kern w:val="0"/>
          <w:sz w:val="28"/>
          <w:szCs w:val="28"/>
          <w:highlight w:val="none"/>
          <w:lang w:eastAsia="zh-CN"/>
        </w:rPr>
        <w:t>。</w:t>
      </w:r>
    </w:p>
    <w:p w14:paraId="033FED4F">
      <w:pPr>
        <w:numPr>
          <w:ilvl w:val="0"/>
          <w:numId w:val="20"/>
        </w:numPr>
        <w:adjustRightInd w:val="0"/>
        <w:snapToGrid w:val="0"/>
        <w:spacing w:beforeLines="0" w:afterLines="0" w:line="360" w:lineRule="auto"/>
        <w:ind w:left="0" w:firstLine="560" w:firstLineChars="200"/>
        <w:rPr>
          <w:rFonts w:ascii="宋体" w:hAnsi="宋体"/>
          <w:color w:val="auto"/>
          <w:kern w:val="0"/>
          <w:sz w:val="28"/>
          <w:szCs w:val="28"/>
          <w:highlight w:val="none"/>
        </w:rPr>
      </w:pPr>
      <w:r>
        <w:rPr>
          <w:rFonts w:hint="eastAsia" w:ascii="宋体" w:hAnsi="宋体"/>
          <w:color w:val="auto"/>
          <w:kern w:val="0"/>
          <w:sz w:val="28"/>
          <w:szCs w:val="28"/>
          <w:highlight w:val="none"/>
          <w:lang w:eastAsia="zh-CN"/>
        </w:rPr>
        <w:t>高</w:t>
      </w:r>
      <w:r>
        <w:rPr>
          <w:rFonts w:hint="eastAsia" w:ascii="宋体" w:hAnsi="宋体"/>
          <w:color w:val="auto"/>
          <w:kern w:val="0"/>
          <w:sz w:val="28"/>
          <w:szCs w:val="28"/>
          <w:highlight w:val="none"/>
        </w:rPr>
        <w:t>温天气太阳暴晒、雷雨天气装卸</w:t>
      </w:r>
      <w:r>
        <w:rPr>
          <w:rFonts w:hint="eastAsia" w:ascii="宋体" w:hAnsi="宋体"/>
          <w:color w:val="auto"/>
          <w:kern w:val="0"/>
          <w:sz w:val="28"/>
          <w:szCs w:val="28"/>
          <w:highlight w:val="none"/>
          <w:lang w:eastAsia="zh-CN"/>
        </w:rPr>
        <w:t>可能导致火灾爆炸事故</w:t>
      </w:r>
      <w:r>
        <w:rPr>
          <w:rFonts w:hint="eastAsia" w:ascii="宋体" w:hAnsi="宋体"/>
          <w:color w:val="auto"/>
          <w:kern w:val="0"/>
          <w:sz w:val="28"/>
          <w:szCs w:val="28"/>
          <w:highlight w:val="none"/>
        </w:rPr>
        <w:t>。</w:t>
      </w:r>
    </w:p>
    <w:p w14:paraId="729D2DC9">
      <w:pPr>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1142" w:name="_Toc1453"/>
      <w:bookmarkStart w:id="1143" w:name="_Toc23508"/>
      <w:bookmarkStart w:id="1144" w:name="_Toc4999"/>
      <w:bookmarkStart w:id="1145" w:name="_Toc27758"/>
      <w:bookmarkStart w:id="1146" w:name="_Toc28529"/>
      <w:bookmarkStart w:id="1147" w:name="_Toc14814"/>
      <w:bookmarkStart w:id="1148" w:name="_Toc16148"/>
      <w:bookmarkStart w:id="1149" w:name="_Toc18078"/>
      <w:bookmarkStart w:id="1150" w:name="_Toc28668"/>
      <w:bookmarkStart w:id="1151" w:name="_Toc11005"/>
      <w:bookmarkStart w:id="1152" w:name="_Toc15405"/>
      <w:bookmarkStart w:id="1153" w:name="_Toc22928"/>
      <w:bookmarkStart w:id="1154" w:name="_Toc14257"/>
      <w:bookmarkStart w:id="1155" w:name="_Toc13366"/>
      <w:bookmarkStart w:id="1156" w:name="_Toc2938"/>
      <w:bookmarkStart w:id="1157" w:name="_Toc23605"/>
      <w:bookmarkStart w:id="1158" w:name="_Toc13308"/>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GB" w:eastAsia="zh-CN"/>
        </w:rPr>
        <w:t>2.3 物料</w:t>
      </w:r>
      <w:r>
        <w:rPr>
          <w:rFonts w:hint="eastAsia" w:ascii="黑体" w:hAnsi="黑体" w:eastAsia="黑体" w:cs="黑体"/>
          <w:b/>
          <w:bCs/>
          <w:color w:val="auto"/>
          <w:kern w:val="0"/>
          <w:sz w:val="28"/>
          <w:szCs w:val="28"/>
          <w:highlight w:val="none"/>
          <w:lang w:val="en-GB"/>
        </w:rPr>
        <w:t>储存过程的危险、有害因素分析</w:t>
      </w:r>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p>
    <w:p w14:paraId="4435A508">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着火源控制不严，容易引起火灾爆炸事故。着火源是指引起可燃物燃烧的一切热能源，包括明火焰、炽热体、火星、电火花、化学能等</w:t>
      </w:r>
      <w:r>
        <w:rPr>
          <w:rFonts w:hint="eastAsia" w:ascii="宋体" w:hAnsi="宋体" w:cs="Times New Roman"/>
          <w:bCs/>
          <w:color w:val="auto"/>
          <w:sz w:val="28"/>
          <w:szCs w:val="28"/>
          <w:highlight w:val="none"/>
        </w:rPr>
        <w:t>。</w:t>
      </w:r>
    </w:p>
    <w:p w14:paraId="6140027A">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性质相互抵触的物品混放，接触后发生化学反应，放热引起火灾。</w:t>
      </w:r>
    </w:p>
    <w:p w14:paraId="3DEF36F2">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危险化学品存放应当分类、分堆、分组和分垛，并留出必要的防火间距，否则，一旦发生火灾，损失惨重。</w:t>
      </w:r>
    </w:p>
    <w:p w14:paraId="6B42F332">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危险化学品仓库的建筑条件差，建筑设施不适应所储存物品的要求也往往导致火灾事故的发生。如通风不良、阳光直射，又不采取隔热、降温措施，使物品受热造成库房内温度过高等。</w:t>
      </w:r>
    </w:p>
    <w:p w14:paraId="66F1E15E">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危险化学品包装容器的损坏，或者包装不符合安全要求都可能发生物料泄漏，从而引起事故。</w:t>
      </w:r>
    </w:p>
    <w:p w14:paraId="332C686B">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部分危险化学品对温度要求比较严，在储存保管过程中往往因缺乏养护知识而导致火灾事故。</w:t>
      </w:r>
    </w:p>
    <w:p w14:paraId="384F991A">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违反操作规程，如搬运危险化学品没有轻装轻卸，堆垛过高、不稳发生倒塌，易燃液体装卸违反操作规程等，往往造成</w:t>
      </w:r>
      <w:r>
        <w:rPr>
          <w:rFonts w:hint="eastAsia" w:ascii="宋体" w:hAnsi="宋体" w:cs="Times New Roman"/>
          <w:bCs/>
          <w:color w:val="auto"/>
          <w:sz w:val="28"/>
          <w:szCs w:val="28"/>
          <w:highlight w:val="none"/>
          <w:lang w:eastAsia="zh-CN"/>
        </w:rPr>
        <w:t>坍塌</w:t>
      </w:r>
      <w:r>
        <w:rPr>
          <w:rFonts w:ascii="宋体" w:hAnsi="宋体" w:cs="Times New Roman"/>
          <w:bCs/>
          <w:color w:val="auto"/>
          <w:sz w:val="28"/>
          <w:szCs w:val="28"/>
          <w:highlight w:val="none"/>
        </w:rPr>
        <w:t>事故。</w:t>
      </w:r>
    </w:p>
    <w:p w14:paraId="4D454A23">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设备和照明电器不防爆，电气线路安装不当，或年久失修、绝缘老化、破损，有可能因电气产生火花而发生燃烧、爆炸事故。照明灯具烤着可燃物，也有可能引起火灾、爆炸事故。</w:t>
      </w:r>
    </w:p>
    <w:p w14:paraId="38D2BC81">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着火时因不熟悉危险化学品的性能和灭火方法，使用不当的灭火剂使火灾扩大，常常是使小火造成大火的一个原因。</w:t>
      </w:r>
    </w:p>
    <w:p w14:paraId="100B31F5">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由于危险化学品仓库防雷、防静电设施缺少或有缺陷，因雷击放电或产生静电火花而发生火灾爆炸事故。</w:t>
      </w:r>
    </w:p>
    <w:p w14:paraId="5D0BEBB5">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缺乏对储存</w:t>
      </w:r>
      <w:r>
        <w:rPr>
          <w:rFonts w:hint="eastAsia" w:ascii="宋体" w:hAnsi="宋体" w:cs="Times New Roman"/>
          <w:bCs/>
          <w:color w:val="auto"/>
          <w:sz w:val="28"/>
          <w:szCs w:val="28"/>
          <w:highlight w:val="none"/>
          <w:lang w:eastAsia="zh-CN"/>
        </w:rPr>
        <w:t>的</w:t>
      </w:r>
      <w:r>
        <w:rPr>
          <w:rFonts w:ascii="宋体" w:hAnsi="宋体" w:cs="Times New Roman"/>
          <w:bCs/>
          <w:color w:val="auto"/>
          <w:sz w:val="28"/>
          <w:szCs w:val="28"/>
          <w:highlight w:val="none"/>
        </w:rPr>
        <w:t>危险化学品的理化性质和危险性了解，易导致事故。</w:t>
      </w:r>
    </w:p>
    <w:p w14:paraId="308293E8">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若忽视对职工安全培训教育，对所储存的危化品的理化性质，对危险化学品相关</w:t>
      </w:r>
      <w:r>
        <w:rPr>
          <w:rFonts w:hint="eastAsia" w:ascii="宋体" w:hAnsi="宋体" w:cs="Times New Roman"/>
          <w:bCs/>
          <w:color w:val="auto"/>
          <w:sz w:val="28"/>
          <w:szCs w:val="28"/>
          <w:highlight w:val="none"/>
          <w:lang w:eastAsia="zh-CN"/>
        </w:rPr>
        <w:t>法律法规</w:t>
      </w:r>
      <w:r>
        <w:rPr>
          <w:rFonts w:ascii="宋体" w:hAnsi="宋体" w:cs="Times New Roman"/>
          <w:bCs/>
          <w:color w:val="auto"/>
          <w:sz w:val="28"/>
          <w:szCs w:val="28"/>
          <w:highlight w:val="none"/>
        </w:rPr>
        <w:t>、标准和规范缺乏足够的了解，易造成违章操作，而发生事故；</w:t>
      </w:r>
    </w:p>
    <w:p w14:paraId="69E7E686">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制度不严、措施不力、操作不当，禁忌物料混放等都有可能引起各类事故。</w:t>
      </w:r>
    </w:p>
    <w:p w14:paraId="079E9F9A">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消防通道不畅通或没有明确标志，灭火器材失效，也会延误灾情，造成危险、危害的扩大。</w:t>
      </w:r>
    </w:p>
    <w:p w14:paraId="252D9502">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危险化学品仓库配置的消防设施不符合要求，一旦出事，未能有效扑救而引起的危险、危害。</w:t>
      </w:r>
      <w:r>
        <w:rPr>
          <w:rFonts w:hint="eastAsia" w:ascii="宋体" w:hAnsi="宋体" w:cs="Times New Roman"/>
          <w:bCs/>
          <w:color w:val="auto"/>
          <w:sz w:val="28"/>
          <w:szCs w:val="28"/>
          <w:highlight w:val="none"/>
        </w:rPr>
        <w:t>危险化学品仓库与明火距离过近，超范围经营可能引起的危险、危害。</w:t>
      </w:r>
    </w:p>
    <w:p w14:paraId="07D6F35F">
      <w:pPr>
        <w:numPr>
          <w:ilvl w:val="0"/>
          <w:numId w:val="21"/>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作业人员没有经岗位培训上岗，不熟悉危险化学品特性及事故的处理程序和方法，违章作业可能引起的危险、危害。安全操作规程和管理制度不健全或没有严格执行可能引起的危险、危害。</w:t>
      </w:r>
    </w:p>
    <w:p w14:paraId="387F842D">
      <w:pPr>
        <w:numPr>
          <w:ilvl w:val="0"/>
          <w:numId w:val="21"/>
        </w:numPr>
        <w:adjustRightInd w:val="0"/>
        <w:snapToGrid w:val="0"/>
        <w:spacing w:beforeLines="0" w:afterLines="0" w:line="360" w:lineRule="auto"/>
        <w:ind w:left="0" w:firstLine="560" w:firstLineChars="200"/>
        <w:rPr>
          <w:rFonts w:hint="default" w:ascii="宋体" w:hAnsi="宋体" w:cs="Times New Roman"/>
          <w:bCs/>
          <w:color w:val="auto"/>
          <w:kern w:val="2"/>
          <w:sz w:val="28"/>
          <w:szCs w:val="28"/>
          <w:highlight w:val="none"/>
        </w:rPr>
      </w:pPr>
      <w:r>
        <w:rPr>
          <w:rFonts w:hint="eastAsia" w:ascii="宋体" w:hAnsi="宋体" w:cs="Times New Roman"/>
          <w:bCs/>
          <w:color w:val="auto"/>
          <w:sz w:val="28"/>
          <w:szCs w:val="28"/>
          <w:highlight w:val="none"/>
        </w:rPr>
        <w:t>危化品仓库内储存有三种过氧化物，过氧化氢、过氧化苯甲酰和过氧化甲乙酮。危化品仓库若未保持阴凉和通风，或接触火种、热源和阳光直射，或过氧化物，过氧化氢、过氧化苯甲酰和过氧化甲乙酮容器不密封，</w:t>
      </w:r>
      <w:r>
        <w:rPr>
          <w:rFonts w:hint="eastAsia" w:ascii="宋体" w:hAnsi="宋体" w:cs="Times New Roman"/>
          <w:bCs/>
          <w:color w:val="auto"/>
          <w:sz w:val="28"/>
          <w:szCs w:val="28"/>
          <w:highlight w:val="none"/>
          <w:lang w:eastAsia="zh-CN"/>
        </w:rPr>
        <w:t>或</w:t>
      </w:r>
      <w:r>
        <w:rPr>
          <w:rFonts w:hint="eastAsia" w:ascii="宋体" w:hAnsi="宋体" w:cs="Times New Roman"/>
          <w:bCs/>
          <w:color w:val="auto"/>
          <w:sz w:val="28"/>
          <w:szCs w:val="28"/>
          <w:highlight w:val="none"/>
        </w:rPr>
        <w:t>与碱性酸</w:t>
      </w:r>
      <w:r>
        <w:rPr>
          <w:rFonts w:hint="eastAsia" w:ascii="宋体" w:hAnsi="宋体" w:cs="Times New Roman"/>
          <w:bCs/>
          <w:color w:val="auto"/>
          <w:sz w:val="28"/>
          <w:szCs w:val="28"/>
          <w:highlight w:val="none"/>
          <w:lang w:eastAsia="zh-CN"/>
        </w:rPr>
        <w:t>性物</w:t>
      </w:r>
      <w:r>
        <w:rPr>
          <w:rFonts w:hint="eastAsia" w:ascii="宋体" w:hAnsi="宋体" w:cs="Times New Roman"/>
          <w:bCs/>
          <w:color w:val="auto"/>
          <w:sz w:val="28"/>
          <w:szCs w:val="28"/>
          <w:highlight w:val="none"/>
        </w:rPr>
        <w:t>质、促进剂等还原性物质共存，</w:t>
      </w:r>
      <w:r>
        <w:rPr>
          <w:rFonts w:hint="eastAsia" w:ascii="宋体" w:hAnsi="宋体" w:cs="Times New Roman"/>
          <w:bCs/>
          <w:color w:val="auto"/>
          <w:sz w:val="28"/>
          <w:szCs w:val="28"/>
          <w:highlight w:val="none"/>
          <w:lang w:eastAsia="zh-CN"/>
        </w:rPr>
        <w:t>或</w:t>
      </w:r>
      <w:r>
        <w:rPr>
          <w:rFonts w:hint="eastAsia" w:ascii="宋体" w:hAnsi="宋体" w:cs="Times New Roman"/>
          <w:bCs/>
          <w:color w:val="auto"/>
          <w:sz w:val="28"/>
          <w:szCs w:val="28"/>
          <w:highlight w:val="none"/>
        </w:rPr>
        <w:t>搬运时使用易产生火花的机械设备和</w:t>
      </w:r>
      <w:r>
        <w:rPr>
          <w:rFonts w:hint="eastAsia" w:ascii="宋体" w:hAnsi="宋体" w:cs="Times New Roman"/>
          <w:bCs/>
          <w:color w:val="auto"/>
          <w:sz w:val="28"/>
          <w:szCs w:val="28"/>
          <w:highlight w:val="none"/>
          <w:lang w:eastAsia="zh-CN"/>
        </w:rPr>
        <w:t>工具</w:t>
      </w:r>
      <w:r>
        <w:rPr>
          <w:rFonts w:hint="eastAsia" w:ascii="宋体" w:hAnsi="宋体" w:cs="Times New Roman"/>
          <w:bCs/>
          <w:color w:val="auto"/>
          <w:sz w:val="28"/>
          <w:szCs w:val="28"/>
          <w:highlight w:val="none"/>
        </w:rPr>
        <w:t>，</w:t>
      </w:r>
      <w:r>
        <w:rPr>
          <w:rFonts w:hint="eastAsia" w:ascii="宋体" w:hAnsi="宋体" w:cs="Times New Roman"/>
          <w:bCs/>
          <w:color w:val="auto"/>
          <w:sz w:val="28"/>
          <w:szCs w:val="28"/>
          <w:highlight w:val="none"/>
          <w:lang w:eastAsia="zh-CN"/>
        </w:rPr>
        <w:t>或</w:t>
      </w:r>
      <w:r>
        <w:rPr>
          <w:rFonts w:hint="eastAsia" w:ascii="宋体" w:hAnsi="宋体" w:cs="Times New Roman"/>
          <w:bCs/>
          <w:color w:val="auto"/>
          <w:sz w:val="28"/>
          <w:szCs w:val="28"/>
          <w:highlight w:val="none"/>
        </w:rPr>
        <w:t>过度撞击、震荡等，都有可能导致过氧化物，过氧化氢、过氧化苯甲酰和过氧化甲乙酮燃烧爆炸。</w:t>
      </w:r>
    </w:p>
    <w:p w14:paraId="69F30277">
      <w:pPr>
        <w:numPr>
          <w:ilvl w:val="0"/>
          <w:numId w:val="21"/>
        </w:numPr>
        <w:adjustRightInd w:val="0"/>
        <w:snapToGrid w:val="0"/>
        <w:spacing w:beforeLines="0" w:afterLines="0" w:line="360" w:lineRule="auto"/>
        <w:ind w:left="0" w:firstLine="560" w:firstLineChars="200"/>
        <w:outlineLvl w:val="9"/>
        <w:rPr>
          <w:rFonts w:hint="eastAsia" w:ascii="宋体" w:hAnsi="宋体" w:eastAsia="宋体" w:cs="Times New Roman"/>
          <w:b w:val="0"/>
          <w:bCs/>
          <w:color w:val="auto"/>
          <w:sz w:val="28"/>
          <w:szCs w:val="28"/>
          <w:highlight w:val="none"/>
        </w:rPr>
      </w:pPr>
      <w:bookmarkStart w:id="1159" w:name="_Toc60846611"/>
      <w:bookmarkStart w:id="1160" w:name="_Toc498075594"/>
      <w:r>
        <w:rPr>
          <w:rFonts w:hint="default" w:ascii="宋体" w:hAnsi="宋体" w:eastAsia="宋体" w:cs="Times New Roman"/>
          <w:b w:val="0"/>
          <w:bCs/>
          <w:color w:val="auto"/>
          <w:sz w:val="28"/>
          <w:szCs w:val="28"/>
          <w:highlight w:val="none"/>
        </w:rPr>
        <w:t>禁配物分析</w:t>
      </w:r>
      <w:bookmarkEnd w:id="1159"/>
      <w:bookmarkEnd w:id="1160"/>
    </w:p>
    <w:p w14:paraId="20C11568">
      <w:pPr>
        <w:adjustRightInd w:val="0"/>
        <w:snapToGrid w:val="0"/>
        <w:spacing w:beforeLines="0" w:afterLines="0" w:line="360" w:lineRule="auto"/>
        <w:ind w:firstLine="560" w:firstLineChars="200"/>
        <w:rPr>
          <w:rFonts w:ascii="宋体" w:hAnsi="宋体" w:cs="Times New Roman"/>
          <w:bCs/>
          <w:color w:val="auto"/>
          <w:sz w:val="28"/>
          <w:szCs w:val="28"/>
          <w:highlight w:val="none"/>
        </w:rPr>
      </w:pPr>
      <w:r>
        <w:rPr>
          <w:rFonts w:hint="eastAsia" w:ascii="宋体" w:hAnsi="宋体" w:cs="Times New Roman"/>
          <w:bCs/>
          <w:color w:val="auto"/>
          <w:sz w:val="28"/>
          <w:szCs w:val="28"/>
          <w:highlight w:val="none"/>
        </w:rPr>
        <w:t>在储存危险化学品过程中，由于危险化学品混合接触，往往造成意外的火灾、爆炸事故。因此，对于危险化学品混合的危险性，应引起足够的重视，对禁忌物不得混放在一起。</w:t>
      </w:r>
    </w:p>
    <w:p w14:paraId="6950249F">
      <w:pPr>
        <w:adjustRightInd w:val="0"/>
        <w:snapToGrid w:val="0"/>
        <w:spacing w:beforeLines="0" w:afterLines="0" w:line="360" w:lineRule="auto"/>
        <w:ind w:firstLine="560" w:firstLineChars="200"/>
        <w:rPr>
          <w:rFonts w:ascii="宋体" w:hAnsi="宋体" w:cs="Times New Roman"/>
          <w:bCs/>
          <w:color w:val="auto"/>
          <w:sz w:val="28"/>
          <w:szCs w:val="28"/>
          <w:highlight w:val="none"/>
        </w:rPr>
      </w:pPr>
      <w:r>
        <w:rPr>
          <w:rFonts w:hint="eastAsia" w:ascii="宋体" w:hAnsi="宋体" w:cs="Times New Roman"/>
          <w:bCs/>
          <w:color w:val="auto"/>
          <w:sz w:val="28"/>
          <w:szCs w:val="28"/>
          <w:highlight w:val="none"/>
        </w:rPr>
        <w:t>储存的危险化学品不少本身不仅具有易燃烧、易爆炸的危险，而且两种以上的危险化学品混合或互相接触，在一定的条件下，会发生化学反应，产生高热，反应激烈，引起着火或爆炸。</w:t>
      </w:r>
    </w:p>
    <w:p w14:paraId="11384F42">
      <w:pPr>
        <w:numPr>
          <w:ilvl w:val="0"/>
          <w:numId w:val="22"/>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两种或两种以上危险化学品混合接触的危险性</w:t>
      </w:r>
    </w:p>
    <w:p w14:paraId="76A447D0">
      <w:pPr>
        <w:numPr>
          <w:ilvl w:val="0"/>
          <w:numId w:val="23"/>
        </w:numPr>
        <w:adjustRightInd w:val="0"/>
        <w:snapToGrid w:val="0"/>
        <w:spacing w:beforeLines="0" w:afterLines="0" w:line="360" w:lineRule="auto"/>
        <w:ind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两种或两种以上危险化学品混合接触后，在室温条件下，立即或经过一个短时间发生急剧化学反应、放热，引起着火或爆炸。</w:t>
      </w:r>
    </w:p>
    <w:p w14:paraId="2F5F4F57">
      <w:pPr>
        <w:numPr>
          <w:ilvl w:val="0"/>
          <w:numId w:val="23"/>
        </w:numPr>
        <w:adjustRightInd w:val="0"/>
        <w:snapToGrid w:val="0"/>
        <w:spacing w:beforeLines="0" w:afterLines="0" w:line="360" w:lineRule="auto"/>
        <w:ind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两种或两种以上危险化学品混合接触后，形成爆炸性混合物或比原来物质敏感性强的混合物。</w:t>
      </w:r>
    </w:p>
    <w:p w14:paraId="09B7B6B6">
      <w:pPr>
        <w:numPr>
          <w:ilvl w:val="0"/>
          <w:numId w:val="23"/>
        </w:numPr>
        <w:adjustRightInd w:val="0"/>
        <w:snapToGrid w:val="0"/>
        <w:spacing w:beforeLines="0" w:afterLines="0" w:line="360" w:lineRule="auto"/>
        <w:ind w:firstLine="560" w:firstLineChars="200"/>
        <w:rPr>
          <w:rFonts w:ascii="宋体" w:hAnsi="宋体" w:cs="Times New Roman"/>
          <w:bCs/>
          <w:color w:val="auto"/>
          <w:sz w:val="28"/>
          <w:szCs w:val="28"/>
          <w:highlight w:val="none"/>
        </w:rPr>
      </w:pPr>
      <w:r>
        <w:rPr>
          <w:rFonts w:hint="eastAsia" w:ascii="宋体" w:hAnsi="宋体" w:cs="Times New Roman"/>
          <w:bCs/>
          <w:color w:val="auto"/>
          <w:sz w:val="28"/>
          <w:szCs w:val="28"/>
          <w:highlight w:val="none"/>
        </w:rPr>
        <w:t>两种或两种以上危险化学品混合接触后，在加热、加压的情况下，发生急剧反应，造成着火或爆炸。</w:t>
      </w:r>
    </w:p>
    <w:p w14:paraId="2D5D46CA">
      <w:pPr>
        <w:numPr>
          <w:ilvl w:val="0"/>
          <w:numId w:val="22"/>
        </w:numPr>
        <w:adjustRightInd w:val="0"/>
        <w:snapToGrid w:val="0"/>
        <w:spacing w:beforeLines="0" w:afterLines="0" w:line="360" w:lineRule="auto"/>
        <w:ind w:left="0"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混合接触有危险性的三种危险化学品</w:t>
      </w:r>
    </w:p>
    <w:p w14:paraId="1DFE774B">
      <w:pPr>
        <w:numPr>
          <w:ilvl w:val="0"/>
          <w:numId w:val="24"/>
        </w:numPr>
        <w:adjustRightInd w:val="0"/>
        <w:snapToGrid w:val="0"/>
        <w:spacing w:beforeLines="0" w:afterLines="0" w:line="360" w:lineRule="auto"/>
        <w:ind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把具有强氧化性的物质和具有还原性的物质进行混合。</w:t>
      </w:r>
    </w:p>
    <w:p w14:paraId="5C3E5FD5">
      <w:pPr>
        <w:numPr>
          <w:ilvl w:val="0"/>
          <w:numId w:val="24"/>
        </w:numPr>
        <w:adjustRightInd w:val="0"/>
        <w:snapToGrid w:val="0"/>
        <w:spacing w:beforeLines="0" w:afterLines="0" w:line="360" w:lineRule="auto"/>
        <w:ind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氧化性盐类和强酸混合接触，会生成游离的酸或酸酐，呈现极强的氧化性，与有机物接触时，能发生爆炸或燃烧。</w:t>
      </w:r>
    </w:p>
    <w:p w14:paraId="73884530">
      <w:pPr>
        <w:numPr>
          <w:ilvl w:val="0"/>
          <w:numId w:val="24"/>
        </w:numPr>
        <w:adjustRightInd w:val="0"/>
        <w:snapToGrid w:val="0"/>
        <w:spacing w:beforeLines="0" w:afterLines="0" w:line="360" w:lineRule="auto"/>
        <w:ind w:firstLine="560" w:firstLineChars="200"/>
        <w:rPr>
          <w:rFonts w:ascii="宋体" w:hAnsi="宋体" w:cs="Times New Roman"/>
          <w:bCs/>
          <w:color w:val="auto"/>
          <w:sz w:val="28"/>
          <w:szCs w:val="28"/>
          <w:highlight w:val="none"/>
        </w:rPr>
      </w:pPr>
      <w:r>
        <w:rPr>
          <w:rFonts w:ascii="宋体" w:hAnsi="宋体" w:cs="Times New Roman"/>
          <w:bCs/>
          <w:color w:val="auto"/>
          <w:sz w:val="28"/>
          <w:szCs w:val="28"/>
          <w:highlight w:val="none"/>
        </w:rPr>
        <w:t>两种或两种以上危险化学品混合接触后，生成不稳定的物质。</w:t>
      </w:r>
    </w:p>
    <w:p w14:paraId="16E1BD23">
      <w:pPr>
        <w:adjustRightInd w:val="0"/>
        <w:snapToGrid w:val="0"/>
        <w:spacing w:beforeLines="0" w:afterLines="0" w:line="360" w:lineRule="auto"/>
        <w:ind w:firstLine="560" w:firstLineChars="200"/>
        <w:jc w:val="both"/>
        <w:rPr>
          <w:rFonts w:hint="eastAsia" w:ascii="宋体" w:hAnsi="宋体" w:cs="Times New Roman"/>
          <w:bCs/>
          <w:color w:val="auto"/>
          <w:sz w:val="28"/>
          <w:szCs w:val="28"/>
          <w:highlight w:val="none"/>
        </w:rPr>
      </w:pPr>
      <w:r>
        <w:rPr>
          <w:rFonts w:hint="eastAsia" w:ascii="宋体" w:hAnsi="宋体" w:cs="Times New Roman"/>
          <w:bCs/>
          <w:color w:val="auto"/>
          <w:sz w:val="28"/>
          <w:szCs w:val="28"/>
          <w:highlight w:val="none"/>
          <w:lang w:eastAsia="zh-CN"/>
        </w:rPr>
        <w:t>根据</w:t>
      </w:r>
      <w:r>
        <w:rPr>
          <w:rFonts w:hint="eastAsia" w:ascii="宋体" w:hAnsi="宋体" w:cs="Times New Roman"/>
          <w:bCs/>
          <w:color w:val="auto"/>
          <w:sz w:val="28"/>
          <w:szCs w:val="28"/>
          <w:highlight w:val="none"/>
        </w:rPr>
        <w:t>《危险化学品仓库储存通则》GB15603-2022</w:t>
      </w:r>
      <w:r>
        <w:rPr>
          <w:rFonts w:hint="eastAsia" w:ascii="宋体" w:hAnsi="宋体" w:cs="Times New Roman"/>
          <w:bCs/>
          <w:color w:val="auto"/>
          <w:sz w:val="28"/>
          <w:szCs w:val="28"/>
          <w:highlight w:val="none"/>
          <w:lang w:eastAsia="zh-CN"/>
        </w:rPr>
        <w:t>对危化品仓库</w:t>
      </w:r>
      <w:r>
        <w:rPr>
          <w:rFonts w:hint="eastAsia" w:ascii="宋体" w:hAnsi="宋体" w:cs="Times New Roman"/>
          <w:bCs/>
          <w:color w:val="auto"/>
          <w:sz w:val="28"/>
          <w:szCs w:val="28"/>
          <w:highlight w:val="none"/>
        </w:rPr>
        <w:t>储存</w:t>
      </w:r>
      <w:r>
        <w:rPr>
          <w:rFonts w:hint="eastAsia" w:ascii="宋体" w:hAnsi="宋体" w:cs="Times New Roman"/>
          <w:bCs/>
          <w:color w:val="auto"/>
          <w:sz w:val="28"/>
          <w:szCs w:val="28"/>
          <w:highlight w:val="none"/>
          <w:lang w:eastAsia="zh-CN"/>
        </w:rPr>
        <w:t>的</w:t>
      </w:r>
      <w:r>
        <w:rPr>
          <w:rFonts w:hint="eastAsia" w:ascii="宋体" w:hAnsi="宋体" w:cs="Times New Roman"/>
          <w:bCs/>
          <w:color w:val="auto"/>
          <w:sz w:val="28"/>
          <w:szCs w:val="28"/>
          <w:highlight w:val="none"/>
        </w:rPr>
        <w:t>危化品进行禁配物分析，分析结果见下表。</w:t>
      </w:r>
    </w:p>
    <w:p w14:paraId="07A42255">
      <w:pPr>
        <w:adjustRightInd w:val="0"/>
        <w:snapToGrid w:val="0"/>
        <w:spacing w:beforeLines="0" w:afterLines="0" w:line="360" w:lineRule="auto"/>
        <w:ind w:firstLine="562" w:firstLineChars="200"/>
        <w:jc w:val="left"/>
        <w:rPr>
          <w:rFonts w:ascii="黑体" w:hAnsi="黑体" w:eastAsia="黑体" w:cs="Times New Roman"/>
          <w:b/>
          <w:bCs/>
          <w:color w:val="auto"/>
          <w:sz w:val="28"/>
          <w:szCs w:val="28"/>
          <w:highlight w:val="none"/>
        </w:rPr>
        <w:sectPr>
          <w:footerReference r:id="rId12" w:type="default"/>
          <w:pgSz w:w="11906" w:h="16838" w:orient="landscape"/>
          <w:pgMar w:top="1418" w:right="1134" w:bottom="1134" w:left="1588" w:header="794" w:footer="794" w:gutter="0"/>
          <w:pgBorders>
            <w:top w:val="none" w:sz="0" w:space="0"/>
            <w:left w:val="none" w:sz="0" w:space="0"/>
            <w:bottom w:val="none" w:sz="0" w:space="0"/>
            <w:right w:val="none" w:sz="0" w:space="0"/>
          </w:pgBorders>
          <w:cols w:space="425" w:num="1"/>
          <w:docGrid w:linePitch="312" w:charSpace="0"/>
        </w:sectPr>
      </w:pPr>
    </w:p>
    <w:p w14:paraId="65FFEF51">
      <w:pPr>
        <w:adjustRightInd w:val="0"/>
        <w:snapToGrid w:val="0"/>
        <w:spacing w:line="360" w:lineRule="auto"/>
        <w:ind w:firstLine="0"/>
        <w:jc w:val="center"/>
        <w:rPr>
          <w:rFonts w:hint="eastAsia" w:ascii="黑体" w:hAnsi="黑体" w:eastAsia="黑体" w:cs="Times New Roman"/>
          <w:b/>
          <w:bCs/>
          <w:color w:val="auto"/>
          <w:sz w:val="24"/>
          <w:szCs w:val="24"/>
          <w:highlight w:val="none"/>
          <w:lang w:val="en-US" w:eastAsia="zh-CN"/>
        </w:rPr>
      </w:pPr>
      <w:r>
        <w:rPr>
          <w:rFonts w:ascii="黑体" w:hAnsi="黑体" w:eastAsia="黑体" w:cs="Times New Roman"/>
          <w:b/>
          <w:bCs/>
          <w:color w:val="auto"/>
          <w:sz w:val="24"/>
          <w:szCs w:val="24"/>
          <w:highlight w:val="none"/>
        </w:rPr>
        <w:t>表3.</w:t>
      </w:r>
      <w:r>
        <w:rPr>
          <w:rFonts w:hint="eastAsia" w:ascii="黑体" w:hAnsi="黑体" w:eastAsia="黑体" w:cs="Times New Roman"/>
          <w:b/>
          <w:bCs/>
          <w:color w:val="auto"/>
          <w:sz w:val="24"/>
          <w:szCs w:val="24"/>
          <w:highlight w:val="none"/>
          <w:lang w:val="en-US" w:eastAsia="zh-CN"/>
        </w:rPr>
        <w:t>2</w:t>
      </w:r>
      <w:r>
        <w:rPr>
          <w:rFonts w:ascii="黑体" w:hAnsi="黑体" w:eastAsia="黑体" w:cs="Times New Roman"/>
          <w:b/>
          <w:bCs/>
          <w:color w:val="auto"/>
          <w:sz w:val="24"/>
          <w:szCs w:val="24"/>
          <w:highlight w:val="none"/>
        </w:rPr>
        <w:t>-</w:t>
      </w:r>
      <w:r>
        <w:rPr>
          <w:rFonts w:hint="eastAsia" w:ascii="黑体" w:hAnsi="黑体" w:eastAsia="黑体" w:cs="Times New Roman"/>
          <w:b/>
          <w:bCs/>
          <w:color w:val="auto"/>
          <w:sz w:val="24"/>
          <w:szCs w:val="24"/>
          <w:highlight w:val="none"/>
          <w:lang w:val="en-US" w:eastAsia="zh-CN"/>
        </w:rPr>
        <w:t xml:space="preserve">3 </w:t>
      </w:r>
      <w:r>
        <w:rPr>
          <w:rFonts w:hint="eastAsia" w:ascii="黑体" w:hAnsi="黑体" w:eastAsia="黑体" w:cs="Times New Roman"/>
          <w:b/>
          <w:bCs/>
          <w:color w:val="auto"/>
          <w:sz w:val="24"/>
          <w:szCs w:val="24"/>
          <w:highlight w:val="none"/>
        </w:rPr>
        <w:t>储存物料的禁忌分析</w:t>
      </w:r>
      <w:r>
        <w:rPr>
          <w:rFonts w:hint="eastAsia" w:ascii="黑体" w:hAnsi="黑体" w:eastAsia="黑体" w:cs="Times New Roman"/>
          <w:b/>
          <w:bCs/>
          <w:color w:val="auto"/>
          <w:sz w:val="24"/>
          <w:szCs w:val="24"/>
          <w:highlight w:val="none"/>
          <w:lang w:eastAsia="zh-CN"/>
        </w:rPr>
        <w:t>一览表</w:t>
      </w:r>
    </w:p>
    <w:tbl>
      <w:tblPr>
        <w:tblStyle w:val="61"/>
        <w:tblW w:w="0" w:type="auto"/>
        <w:jc w:val="center"/>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autofit"/>
        <w:tblCellMar>
          <w:top w:w="0" w:type="dxa"/>
          <w:left w:w="108" w:type="dxa"/>
          <w:bottom w:w="0" w:type="dxa"/>
          <w:right w:w="108" w:type="dxa"/>
        </w:tblCellMar>
      </w:tblPr>
      <w:tblGrid>
        <w:gridCol w:w="494"/>
        <w:gridCol w:w="901"/>
        <w:gridCol w:w="3386"/>
        <w:gridCol w:w="809"/>
        <w:gridCol w:w="809"/>
        <w:gridCol w:w="809"/>
        <w:gridCol w:w="809"/>
        <w:gridCol w:w="809"/>
        <w:gridCol w:w="809"/>
        <w:gridCol w:w="809"/>
        <w:gridCol w:w="809"/>
        <w:gridCol w:w="809"/>
        <w:gridCol w:w="809"/>
        <w:gridCol w:w="813"/>
        <w:gridCol w:w="813"/>
      </w:tblGrid>
      <w:tr w14:paraId="158D06C4">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94" w:type="dxa"/>
            <w:tcBorders>
              <w:tl2br w:val="nil"/>
              <w:tr2bl w:val="nil"/>
            </w:tcBorders>
            <w:vAlign w:val="center"/>
          </w:tcPr>
          <w:p w14:paraId="5C8C7F09">
            <w:pPr>
              <w:jc w:val="center"/>
              <w:rPr>
                <w:rFonts w:hint="eastAsia" w:ascii="宋体" w:hAnsi="宋体" w:cs="宋体"/>
                <w:b/>
                <w:bCs/>
                <w:color w:val="auto"/>
                <w:szCs w:val="21"/>
                <w:highlight w:val="none"/>
              </w:rPr>
            </w:pPr>
            <w:bookmarkStart w:id="1161" w:name="_Toc498075595"/>
            <w:r>
              <w:rPr>
                <w:rFonts w:hint="eastAsia" w:ascii="宋体" w:hAnsi="宋体" w:cs="宋体"/>
                <w:b/>
                <w:bCs/>
                <w:color w:val="auto"/>
                <w:szCs w:val="21"/>
                <w:highlight w:val="none"/>
              </w:rPr>
              <w:t>序号</w:t>
            </w:r>
          </w:p>
        </w:tc>
        <w:tc>
          <w:tcPr>
            <w:tcW w:w="901" w:type="dxa"/>
            <w:tcBorders>
              <w:tl2br w:val="nil"/>
              <w:tr2bl w:val="nil"/>
            </w:tcBorders>
            <w:vAlign w:val="center"/>
          </w:tcPr>
          <w:p w14:paraId="39DE4A34">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危化品名称</w:t>
            </w:r>
          </w:p>
        </w:tc>
        <w:tc>
          <w:tcPr>
            <w:tcW w:w="3386" w:type="dxa"/>
            <w:tcBorders>
              <w:tl2br w:val="nil"/>
              <w:tr2bl w:val="nil"/>
            </w:tcBorders>
            <w:vAlign w:val="center"/>
          </w:tcPr>
          <w:p w14:paraId="74A9886D">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危险性类别</w:t>
            </w:r>
          </w:p>
        </w:tc>
        <w:tc>
          <w:tcPr>
            <w:tcW w:w="809" w:type="dxa"/>
            <w:tcBorders>
              <w:tl2br w:val="nil"/>
              <w:tr2bl w:val="nil"/>
            </w:tcBorders>
            <w:vAlign w:val="center"/>
          </w:tcPr>
          <w:p w14:paraId="70A52B11">
            <w:pPr>
              <w:overflowPunct/>
              <w:adjustRightInd/>
              <w:snapToGrid/>
              <w:jc w:val="center"/>
              <w:rPr>
                <w:rFonts w:hint="eastAsia" w:ascii="宋体" w:hAnsi="宋体" w:cs="宋体"/>
                <w:b/>
                <w:bCs/>
                <w:color w:val="auto"/>
                <w:szCs w:val="21"/>
                <w:highlight w:val="none"/>
              </w:rPr>
            </w:pPr>
            <w:r>
              <w:rPr>
                <w:rFonts w:hint="eastAsia" w:ascii="宋体" w:hAnsi="宋体" w:cs="宋体"/>
                <w:b/>
                <w:bCs/>
                <w:color w:val="auto"/>
                <w:szCs w:val="21"/>
                <w:highlight w:val="none"/>
              </w:rPr>
              <w:t>盐酸</w:t>
            </w:r>
          </w:p>
        </w:tc>
        <w:tc>
          <w:tcPr>
            <w:tcW w:w="809" w:type="dxa"/>
            <w:tcBorders>
              <w:tl2br w:val="nil"/>
              <w:tr2bl w:val="nil"/>
            </w:tcBorders>
            <w:vAlign w:val="center"/>
          </w:tcPr>
          <w:p w14:paraId="319B278C">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过氧化二苯甲酰</w:t>
            </w:r>
          </w:p>
        </w:tc>
        <w:tc>
          <w:tcPr>
            <w:tcW w:w="809" w:type="dxa"/>
            <w:tcBorders>
              <w:tl2br w:val="nil"/>
              <w:tr2bl w:val="nil"/>
            </w:tcBorders>
            <w:vAlign w:val="center"/>
          </w:tcPr>
          <w:p w14:paraId="57BE9133">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过氧化甲乙酮</w:t>
            </w:r>
          </w:p>
        </w:tc>
        <w:tc>
          <w:tcPr>
            <w:tcW w:w="809" w:type="dxa"/>
            <w:tcBorders>
              <w:tl2br w:val="nil"/>
              <w:tr2bl w:val="nil"/>
            </w:tcBorders>
            <w:vAlign w:val="center"/>
          </w:tcPr>
          <w:p w14:paraId="4A0EE99A">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双氧水</w:t>
            </w:r>
          </w:p>
        </w:tc>
        <w:tc>
          <w:tcPr>
            <w:tcW w:w="809" w:type="dxa"/>
            <w:tcBorders>
              <w:tl2br w:val="nil"/>
              <w:tr2bl w:val="nil"/>
            </w:tcBorders>
            <w:vAlign w:val="center"/>
          </w:tcPr>
          <w:p w14:paraId="2A63D242">
            <w:pPr>
              <w:jc w:val="center"/>
              <w:rPr>
                <w:rFonts w:hint="eastAsia" w:ascii="宋体" w:hAnsi="宋体" w:cs="宋体"/>
                <w:b/>
                <w:bCs/>
                <w:color w:val="auto"/>
                <w:szCs w:val="21"/>
                <w:highlight w:val="none"/>
                <w:lang w:eastAsia="zh-CN"/>
              </w:rPr>
            </w:pPr>
            <w:r>
              <w:rPr>
                <w:rFonts w:hint="eastAsia" w:ascii="宋体" w:hAnsi="宋体" w:cs="宋体"/>
                <w:b/>
                <w:bCs/>
                <w:color w:val="auto"/>
                <w:szCs w:val="21"/>
                <w:highlight w:val="none"/>
                <w:lang w:eastAsia="zh-CN"/>
              </w:rPr>
              <w:t>硝酸银</w:t>
            </w:r>
          </w:p>
        </w:tc>
        <w:tc>
          <w:tcPr>
            <w:tcW w:w="809" w:type="dxa"/>
            <w:tcBorders>
              <w:tl2br w:val="nil"/>
              <w:tr2bl w:val="nil"/>
            </w:tcBorders>
            <w:vAlign w:val="center"/>
          </w:tcPr>
          <w:p w14:paraId="53D4FC44">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丙酮</w:t>
            </w:r>
          </w:p>
        </w:tc>
        <w:tc>
          <w:tcPr>
            <w:tcW w:w="809" w:type="dxa"/>
            <w:tcBorders>
              <w:tl2br w:val="nil"/>
              <w:tr2bl w:val="nil"/>
            </w:tcBorders>
            <w:vAlign w:val="center"/>
          </w:tcPr>
          <w:p w14:paraId="4AA50D86">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苯乙烯</w:t>
            </w:r>
          </w:p>
        </w:tc>
        <w:tc>
          <w:tcPr>
            <w:tcW w:w="809" w:type="dxa"/>
            <w:tcBorders>
              <w:tl2br w:val="nil"/>
              <w:tr2bl w:val="nil"/>
            </w:tcBorders>
            <w:vAlign w:val="center"/>
          </w:tcPr>
          <w:p w14:paraId="7203F980">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钴盐</w:t>
            </w:r>
          </w:p>
        </w:tc>
        <w:tc>
          <w:tcPr>
            <w:tcW w:w="809" w:type="dxa"/>
            <w:tcBorders>
              <w:tl2br w:val="nil"/>
              <w:tr2bl w:val="nil"/>
            </w:tcBorders>
            <w:vAlign w:val="center"/>
          </w:tcPr>
          <w:p w14:paraId="5D5FF3F3">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油漆</w:t>
            </w:r>
          </w:p>
        </w:tc>
        <w:tc>
          <w:tcPr>
            <w:tcW w:w="809" w:type="dxa"/>
            <w:tcBorders>
              <w:tl2br w:val="nil"/>
              <w:tr2bl w:val="nil"/>
            </w:tcBorders>
            <w:vAlign w:val="center"/>
          </w:tcPr>
          <w:p w14:paraId="4A44D148">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油漆固化剂</w:t>
            </w:r>
          </w:p>
        </w:tc>
        <w:tc>
          <w:tcPr>
            <w:tcW w:w="813" w:type="dxa"/>
            <w:tcBorders>
              <w:tl2br w:val="nil"/>
              <w:tr2bl w:val="nil"/>
            </w:tcBorders>
            <w:vAlign w:val="center"/>
          </w:tcPr>
          <w:p w14:paraId="6CDF58FA">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油漆稀释剂</w:t>
            </w:r>
          </w:p>
        </w:tc>
        <w:tc>
          <w:tcPr>
            <w:tcW w:w="813" w:type="dxa"/>
            <w:tcBorders>
              <w:tl2br w:val="nil"/>
              <w:tr2bl w:val="nil"/>
            </w:tcBorders>
            <w:vAlign w:val="center"/>
          </w:tcPr>
          <w:p w14:paraId="6A76AC76">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六亚甲基四胺</w:t>
            </w:r>
          </w:p>
        </w:tc>
      </w:tr>
      <w:tr w14:paraId="10774313">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48D436D0">
            <w:pPr>
              <w:numPr>
                <w:ilvl w:val="0"/>
                <w:numId w:val="25"/>
              </w:numPr>
              <w:ind w:left="425" w:hanging="425"/>
              <w:jc w:val="center"/>
              <w:rPr>
                <w:rFonts w:hint="eastAsia" w:ascii="宋体" w:hAnsi="宋体" w:cs="宋体"/>
                <w:color w:val="auto"/>
                <w:szCs w:val="21"/>
                <w:highlight w:val="none"/>
              </w:rPr>
            </w:pPr>
            <w:bookmarkStart w:id="1162" w:name="_Toc11850"/>
            <w:bookmarkEnd w:id="1162"/>
            <w:bookmarkStart w:id="1163" w:name="_Toc29996"/>
            <w:bookmarkEnd w:id="1163"/>
            <w:bookmarkStart w:id="1164" w:name="_Toc22733"/>
            <w:bookmarkEnd w:id="1164"/>
            <w:bookmarkStart w:id="1165" w:name="_Toc18505"/>
            <w:bookmarkEnd w:id="1165"/>
            <w:bookmarkStart w:id="1166" w:name="_Toc25364"/>
            <w:bookmarkEnd w:id="1166"/>
            <w:bookmarkStart w:id="1167" w:name="_Toc26906"/>
            <w:bookmarkEnd w:id="1167"/>
            <w:bookmarkStart w:id="1168" w:name="_Toc20953"/>
            <w:bookmarkEnd w:id="1168"/>
            <w:bookmarkStart w:id="1169" w:name="_Toc22792"/>
            <w:bookmarkEnd w:id="1169"/>
          </w:p>
        </w:tc>
        <w:tc>
          <w:tcPr>
            <w:tcW w:w="901" w:type="dxa"/>
            <w:tcBorders>
              <w:tl2br w:val="nil"/>
              <w:tr2bl w:val="nil"/>
            </w:tcBorders>
            <w:vAlign w:val="center"/>
          </w:tcPr>
          <w:p w14:paraId="32B426F8">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盐酸</w:t>
            </w:r>
          </w:p>
        </w:tc>
        <w:tc>
          <w:tcPr>
            <w:tcW w:w="3386" w:type="dxa"/>
            <w:tcBorders>
              <w:tl2br w:val="nil"/>
              <w:tr2bl w:val="nil"/>
            </w:tcBorders>
            <w:vAlign w:val="center"/>
          </w:tcPr>
          <w:p w14:paraId="45DE517F">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皮肤腐蚀/刺激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类别1B</w:t>
            </w:r>
          </w:p>
          <w:p w14:paraId="4652246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严重眼损伤/眼刺激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p w14:paraId="690E1DCB">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特异性靶器官毒性</w:t>
            </w:r>
            <w:r>
              <w:rPr>
                <w:rFonts w:hint="eastAsia" w:ascii="宋体" w:hAnsi="宋体" w:cs="宋体"/>
                <w:color w:val="auto"/>
                <w:szCs w:val="21"/>
                <w:highlight w:val="none"/>
                <w:lang w:eastAsia="zh-CN"/>
              </w:rPr>
              <w:t>－</w:t>
            </w:r>
            <w:r>
              <w:rPr>
                <w:rFonts w:hint="eastAsia" w:ascii="宋体" w:hAnsi="宋体" w:cs="宋体"/>
                <w:color w:val="auto"/>
                <w:szCs w:val="21"/>
                <w:highlight w:val="none"/>
              </w:rPr>
              <w:t>一次接触</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类别3（呼吸道刺激）</w:t>
            </w:r>
          </w:p>
          <w:p w14:paraId="182DD646">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危害水生环境</w:t>
            </w:r>
            <w:r>
              <w:rPr>
                <w:rFonts w:hint="eastAsia" w:ascii="宋体" w:hAnsi="宋体" w:cs="宋体"/>
                <w:color w:val="auto"/>
                <w:szCs w:val="21"/>
                <w:highlight w:val="none"/>
                <w:lang w:eastAsia="zh-CN"/>
              </w:rPr>
              <w:t>－</w:t>
            </w:r>
            <w:r>
              <w:rPr>
                <w:rFonts w:hint="eastAsia" w:ascii="宋体" w:hAnsi="宋体" w:cs="宋体"/>
                <w:color w:val="auto"/>
                <w:szCs w:val="21"/>
                <w:highlight w:val="none"/>
              </w:rPr>
              <w:t>急性危害</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tc>
        <w:tc>
          <w:tcPr>
            <w:tcW w:w="809" w:type="dxa"/>
            <w:tcBorders>
              <w:tl2br w:val="nil"/>
              <w:tr2bl w:val="nil"/>
            </w:tcBorders>
            <w:vAlign w:val="center"/>
          </w:tcPr>
          <w:p w14:paraId="03328147">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EDB18F7">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71F822A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E3EF30D">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9CD734C">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2C8858BF">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A390744">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EE6282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25060E7">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78B43E4">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2933497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1D63E9D7">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246A7F3C">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0F44162D">
            <w:pPr>
              <w:numPr>
                <w:ilvl w:val="0"/>
                <w:numId w:val="25"/>
              </w:numPr>
              <w:ind w:left="425" w:hanging="425"/>
              <w:jc w:val="center"/>
              <w:rPr>
                <w:rFonts w:hint="eastAsia" w:ascii="宋体" w:hAnsi="宋体" w:cs="宋体"/>
                <w:color w:val="auto"/>
                <w:szCs w:val="21"/>
                <w:highlight w:val="none"/>
              </w:rPr>
            </w:pPr>
            <w:bookmarkStart w:id="1170" w:name="_Toc13238"/>
            <w:bookmarkEnd w:id="1170"/>
            <w:bookmarkStart w:id="1171" w:name="_Toc24713"/>
            <w:bookmarkEnd w:id="1171"/>
            <w:bookmarkStart w:id="1172" w:name="_Toc32653"/>
            <w:bookmarkEnd w:id="1172"/>
            <w:bookmarkStart w:id="1173" w:name="_Toc24030"/>
            <w:bookmarkEnd w:id="1173"/>
            <w:bookmarkStart w:id="1174" w:name="_Toc22884"/>
            <w:bookmarkEnd w:id="1174"/>
            <w:bookmarkStart w:id="1175" w:name="_Toc10625"/>
            <w:bookmarkEnd w:id="1175"/>
            <w:bookmarkStart w:id="1176" w:name="_Toc14469"/>
            <w:bookmarkEnd w:id="1176"/>
            <w:bookmarkStart w:id="1177" w:name="_Toc3558"/>
            <w:bookmarkEnd w:id="1177"/>
          </w:p>
        </w:tc>
        <w:tc>
          <w:tcPr>
            <w:tcW w:w="901" w:type="dxa"/>
            <w:tcBorders>
              <w:tl2br w:val="nil"/>
              <w:tr2bl w:val="nil"/>
            </w:tcBorders>
            <w:vAlign w:val="center"/>
          </w:tcPr>
          <w:p w14:paraId="20F468D1">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过氧化二苯甲酰</w:t>
            </w:r>
          </w:p>
        </w:tc>
        <w:tc>
          <w:tcPr>
            <w:tcW w:w="3386" w:type="dxa"/>
            <w:tcBorders>
              <w:tl2br w:val="nil"/>
              <w:tr2bl w:val="nil"/>
            </w:tcBorders>
            <w:vAlign w:val="center"/>
          </w:tcPr>
          <w:p w14:paraId="231B23A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有机过氧化物</w:t>
            </w:r>
            <w:r>
              <w:rPr>
                <w:rFonts w:hint="eastAsia" w:ascii="宋体" w:hAnsi="宋体" w:cs="宋体"/>
                <w:color w:val="auto"/>
                <w:szCs w:val="21"/>
                <w:highlight w:val="none"/>
                <w:lang w:eastAsia="zh-CN"/>
              </w:rPr>
              <w:t>，</w:t>
            </w:r>
            <w:r>
              <w:rPr>
                <w:rFonts w:hint="eastAsia" w:ascii="宋体" w:hAnsi="宋体" w:cs="宋体"/>
                <w:color w:val="auto"/>
                <w:szCs w:val="21"/>
                <w:highlight w:val="none"/>
              </w:rPr>
              <w:t>B型</w:t>
            </w:r>
          </w:p>
          <w:p w14:paraId="45200DD1">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严重眼损伤/眼刺激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7589EBF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皮肤致敏物</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p w14:paraId="08B11A70">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危害水生环境</w:t>
            </w:r>
            <w:r>
              <w:rPr>
                <w:rFonts w:hint="eastAsia" w:ascii="宋体" w:hAnsi="宋体" w:cs="宋体"/>
                <w:color w:val="auto"/>
                <w:szCs w:val="21"/>
                <w:highlight w:val="none"/>
                <w:lang w:eastAsia="zh-CN"/>
              </w:rPr>
              <w:t>－</w:t>
            </w:r>
            <w:r>
              <w:rPr>
                <w:rFonts w:hint="eastAsia" w:ascii="宋体" w:hAnsi="宋体" w:cs="宋体"/>
                <w:color w:val="auto"/>
                <w:szCs w:val="21"/>
                <w:highlight w:val="none"/>
              </w:rPr>
              <w:t>急性危害</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tc>
        <w:tc>
          <w:tcPr>
            <w:tcW w:w="809" w:type="dxa"/>
            <w:tcBorders>
              <w:tl2br w:val="nil"/>
              <w:tr2bl w:val="nil"/>
            </w:tcBorders>
            <w:vAlign w:val="center"/>
          </w:tcPr>
          <w:p w14:paraId="0C189D4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7342E3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687CB6B">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FA02FB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88C85DE">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15159D5">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6099895">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88617E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865917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86599D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65998F61">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3AC9C5F6">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5A103D95">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3A3A276C">
            <w:pPr>
              <w:numPr>
                <w:ilvl w:val="0"/>
                <w:numId w:val="25"/>
              </w:numPr>
              <w:ind w:left="425" w:hanging="425"/>
              <w:jc w:val="center"/>
              <w:rPr>
                <w:rFonts w:hint="eastAsia" w:ascii="宋体" w:hAnsi="宋体" w:cs="宋体"/>
                <w:color w:val="auto"/>
                <w:szCs w:val="21"/>
                <w:highlight w:val="none"/>
              </w:rPr>
            </w:pPr>
            <w:bookmarkStart w:id="1178" w:name="_Toc28256"/>
            <w:bookmarkEnd w:id="1178"/>
            <w:bookmarkStart w:id="1179" w:name="_Toc28432"/>
            <w:bookmarkEnd w:id="1179"/>
            <w:bookmarkStart w:id="1180" w:name="_Toc14706"/>
            <w:bookmarkEnd w:id="1180"/>
            <w:bookmarkStart w:id="1181" w:name="_Toc13179"/>
            <w:bookmarkEnd w:id="1181"/>
            <w:bookmarkStart w:id="1182" w:name="_Toc32365"/>
            <w:bookmarkEnd w:id="1182"/>
            <w:bookmarkStart w:id="1183" w:name="_Toc1936"/>
            <w:bookmarkEnd w:id="1183"/>
            <w:bookmarkStart w:id="1184" w:name="_Toc5023"/>
            <w:bookmarkEnd w:id="1184"/>
            <w:bookmarkStart w:id="1185" w:name="_Toc13391"/>
            <w:bookmarkEnd w:id="1185"/>
          </w:p>
        </w:tc>
        <w:tc>
          <w:tcPr>
            <w:tcW w:w="901" w:type="dxa"/>
            <w:tcBorders>
              <w:tl2br w:val="nil"/>
              <w:tr2bl w:val="nil"/>
            </w:tcBorders>
            <w:vAlign w:val="center"/>
          </w:tcPr>
          <w:p w14:paraId="0E48EA75">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过氧化甲乙酮</w:t>
            </w:r>
          </w:p>
        </w:tc>
        <w:tc>
          <w:tcPr>
            <w:tcW w:w="3386" w:type="dxa"/>
            <w:tcBorders>
              <w:tl2br w:val="nil"/>
              <w:tr2bl w:val="nil"/>
            </w:tcBorders>
            <w:vAlign w:val="center"/>
          </w:tcPr>
          <w:p w14:paraId="595CD2BB">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有机过氧化物</w:t>
            </w:r>
            <w:r>
              <w:rPr>
                <w:rFonts w:hint="eastAsia" w:ascii="宋体" w:hAnsi="宋体" w:cs="宋体"/>
                <w:color w:val="auto"/>
                <w:szCs w:val="21"/>
                <w:highlight w:val="none"/>
                <w:lang w:eastAsia="zh-CN"/>
              </w:rPr>
              <w:t>，</w:t>
            </w:r>
            <w:r>
              <w:rPr>
                <w:rFonts w:hint="eastAsia" w:ascii="宋体" w:hAnsi="宋体" w:cs="宋体"/>
                <w:color w:val="auto"/>
                <w:szCs w:val="21"/>
                <w:highlight w:val="none"/>
              </w:rPr>
              <w:t>B型</w:t>
            </w:r>
          </w:p>
          <w:p w14:paraId="779AFD45">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皮肤腐蚀/刺激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p w14:paraId="51B11B8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严重眼损伤/眼刺激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p w14:paraId="78CD345D">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危害水生环境</w:t>
            </w:r>
            <w:r>
              <w:rPr>
                <w:rFonts w:hint="eastAsia" w:ascii="宋体" w:hAnsi="宋体" w:cs="宋体"/>
                <w:color w:val="auto"/>
                <w:szCs w:val="21"/>
                <w:highlight w:val="none"/>
                <w:lang w:eastAsia="zh-CN"/>
              </w:rPr>
              <w:t>－</w:t>
            </w:r>
            <w:r>
              <w:rPr>
                <w:rFonts w:hint="eastAsia" w:ascii="宋体" w:hAnsi="宋体" w:cs="宋体"/>
                <w:color w:val="auto"/>
                <w:szCs w:val="21"/>
                <w:highlight w:val="none"/>
              </w:rPr>
              <w:t>急性危害</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tc>
        <w:tc>
          <w:tcPr>
            <w:tcW w:w="809" w:type="dxa"/>
            <w:tcBorders>
              <w:tl2br w:val="nil"/>
              <w:tr2bl w:val="nil"/>
            </w:tcBorders>
            <w:vAlign w:val="center"/>
          </w:tcPr>
          <w:p w14:paraId="6C96E9C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32C01EF">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7E9709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719EF08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1F933BC">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464EE27A">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2E3DF788">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22183A21">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69C1D78">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23D8A89D">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08726D2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4457ECE3">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5C9CF573">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3413C407">
            <w:pPr>
              <w:numPr>
                <w:ilvl w:val="0"/>
                <w:numId w:val="25"/>
              </w:numPr>
              <w:ind w:left="425" w:hanging="425"/>
              <w:jc w:val="center"/>
              <w:rPr>
                <w:rFonts w:hint="eastAsia" w:ascii="宋体" w:hAnsi="宋体" w:cs="宋体"/>
                <w:color w:val="auto"/>
                <w:szCs w:val="21"/>
                <w:highlight w:val="none"/>
              </w:rPr>
            </w:pPr>
            <w:bookmarkStart w:id="1186" w:name="_Toc2865"/>
            <w:bookmarkEnd w:id="1186"/>
            <w:bookmarkStart w:id="1187" w:name="_Toc9959"/>
            <w:bookmarkEnd w:id="1187"/>
            <w:bookmarkStart w:id="1188" w:name="_Toc23579"/>
            <w:bookmarkEnd w:id="1188"/>
            <w:bookmarkStart w:id="1189" w:name="_Toc6329"/>
            <w:bookmarkEnd w:id="1189"/>
            <w:bookmarkStart w:id="1190" w:name="_Toc27674"/>
            <w:bookmarkEnd w:id="1190"/>
            <w:bookmarkStart w:id="1191" w:name="_Toc28392"/>
            <w:bookmarkEnd w:id="1191"/>
            <w:bookmarkStart w:id="1192" w:name="_Toc25002"/>
            <w:bookmarkEnd w:id="1192"/>
            <w:bookmarkStart w:id="1193" w:name="_Toc12988"/>
            <w:bookmarkEnd w:id="1193"/>
          </w:p>
        </w:tc>
        <w:tc>
          <w:tcPr>
            <w:tcW w:w="901" w:type="dxa"/>
            <w:tcBorders>
              <w:tl2br w:val="nil"/>
              <w:tr2bl w:val="nil"/>
            </w:tcBorders>
            <w:vAlign w:val="center"/>
          </w:tcPr>
          <w:p w14:paraId="5A47E8AA">
            <w:pPr>
              <w:jc w:val="center"/>
              <w:rPr>
                <w:rFonts w:hint="eastAsia" w:ascii="宋体" w:hAnsi="宋体" w:cs="宋体"/>
                <w:color w:val="auto"/>
                <w:szCs w:val="21"/>
                <w:highlight w:val="none"/>
              </w:rPr>
            </w:pPr>
            <w:r>
              <w:rPr>
                <w:rFonts w:hint="eastAsia" w:ascii="宋体" w:hAnsi="宋体" w:cs="宋体"/>
                <w:color w:val="auto"/>
                <w:szCs w:val="21"/>
                <w:highlight w:val="none"/>
              </w:rPr>
              <w:t>双氧水</w:t>
            </w:r>
          </w:p>
        </w:tc>
        <w:tc>
          <w:tcPr>
            <w:tcW w:w="3386" w:type="dxa"/>
            <w:tcBorders>
              <w:tl2br w:val="nil"/>
              <w:tr2bl w:val="nil"/>
            </w:tcBorders>
            <w:vAlign w:val="center"/>
          </w:tcPr>
          <w:p w14:paraId="30CE1D55">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20%≤含量＜60%</w:t>
            </w:r>
          </w:p>
          <w:p w14:paraId="74201917">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氧化性液体，类别2</w:t>
            </w:r>
          </w:p>
          <w:p w14:paraId="54CE3367">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皮肤腐蚀/刺激，类别1A</w:t>
            </w:r>
          </w:p>
          <w:p w14:paraId="561F4E32">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严重眼损伤/眼刺激，类别1</w:t>
            </w:r>
          </w:p>
          <w:p w14:paraId="585D909D">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特异性靶器官毒性</w:t>
            </w:r>
            <w:r>
              <w:rPr>
                <w:rFonts w:hint="eastAsia" w:ascii="宋体" w:hAnsi="宋体" w:cs="宋体"/>
                <w:color w:val="auto"/>
                <w:szCs w:val="21"/>
                <w:highlight w:val="none"/>
                <w:lang w:eastAsia="zh-CN"/>
              </w:rPr>
              <w:t>－</w:t>
            </w:r>
            <w:r>
              <w:rPr>
                <w:rFonts w:hint="eastAsia" w:ascii="宋体" w:hAnsi="宋体" w:cs="宋体"/>
                <w:color w:val="auto"/>
                <w:szCs w:val="21"/>
                <w:highlight w:val="none"/>
              </w:rPr>
              <w:t>一次接触，类别3（呼吸道刺激）</w:t>
            </w:r>
          </w:p>
        </w:tc>
        <w:tc>
          <w:tcPr>
            <w:tcW w:w="809" w:type="dxa"/>
            <w:tcBorders>
              <w:tl2br w:val="nil"/>
              <w:tr2bl w:val="nil"/>
            </w:tcBorders>
            <w:vAlign w:val="center"/>
          </w:tcPr>
          <w:p w14:paraId="5EB3951B">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7E30D8E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413B74D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4445833B">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67E3953">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69FE48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DDE2B51">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436692F">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7C7CCEC1">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5EAA174">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268BC8D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34CD3B4A">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72E4E132">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468BF8D9">
            <w:pPr>
              <w:numPr>
                <w:ilvl w:val="0"/>
                <w:numId w:val="25"/>
              </w:numPr>
              <w:ind w:left="425" w:hanging="425"/>
              <w:jc w:val="center"/>
              <w:rPr>
                <w:rFonts w:hint="eastAsia" w:ascii="宋体" w:hAnsi="宋体" w:cs="宋体"/>
                <w:color w:val="auto"/>
                <w:szCs w:val="21"/>
                <w:highlight w:val="none"/>
              </w:rPr>
            </w:pPr>
            <w:bookmarkStart w:id="1194" w:name="_Toc32334"/>
            <w:bookmarkEnd w:id="1194"/>
            <w:bookmarkStart w:id="1195" w:name="_Toc7017"/>
            <w:bookmarkEnd w:id="1195"/>
            <w:bookmarkStart w:id="1196" w:name="_Toc10923"/>
            <w:bookmarkEnd w:id="1196"/>
            <w:bookmarkStart w:id="1197" w:name="_Toc19248"/>
            <w:bookmarkEnd w:id="1197"/>
            <w:bookmarkStart w:id="1198" w:name="_Toc14639"/>
            <w:bookmarkEnd w:id="1198"/>
            <w:bookmarkStart w:id="1199" w:name="_Toc30404"/>
            <w:bookmarkEnd w:id="1199"/>
            <w:bookmarkStart w:id="1200" w:name="_Toc5060"/>
            <w:bookmarkEnd w:id="1200"/>
            <w:bookmarkStart w:id="1201" w:name="_Toc3645"/>
            <w:bookmarkEnd w:id="1201"/>
          </w:p>
        </w:tc>
        <w:tc>
          <w:tcPr>
            <w:tcW w:w="901" w:type="dxa"/>
            <w:tcBorders>
              <w:tl2br w:val="nil"/>
              <w:tr2bl w:val="nil"/>
            </w:tcBorders>
            <w:vAlign w:val="center"/>
          </w:tcPr>
          <w:p w14:paraId="4BEAEC1F">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硝酸银</w:t>
            </w:r>
          </w:p>
        </w:tc>
        <w:tc>
          <w:tcPr>
            <w:tcW w:w="3386" w:type="dxa"/>
            <w:tcBorders>
              <w:tl2br w:val="nil"/>
              <w:tr2bl w:val="nil"/>
            </w:tcBorders>
            <w:vAlign w:val="center"/>
          </w:tcPr>
          <w:p w14:paraId="4B04815B">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氧化性固体</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204389C1">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皮肤腐蚀/刺激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类别1B</w:t>
            </w:r>
          </w:p>
          <w:p w14:paraId="44EA51CA">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严重眼损伤/眼刺激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p w14:paraId="4B3B4604">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危害水生环境</w:t>
            </w:r>
            <w:r>
              <w:rPr>
                <w:rFonts w:hint="eastAsia" w:ascii="宋体" w:hAnsi="宋体" w:cs="宋体"/>
                <w:color w:val="auto"/>
                <w:szCs w:val="21"/>
                <w:highlight w:val="none"/>
                <w:lang w:eastAsia="zh-CN"/>
              </w:rPr>
              <w:t>－</w:t>
            </w:r>
            <w:r>
              <w:rPr>
                <w:rFonts w:hint="eastAsia" w:ascii="宋体" w:hAnsi="宋体" w:cs="宋体"/>
                <w:color w:val="auto"/>
                <w:szCs w:val="21"/>
                <w:highlight w:val="none"/>
              </w:rPr>
              <w:t>急性危害</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p w14:paraId="2DB555D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危害水生环境</w:t>
            </w:r>
            <w:r>
              <w:rPr>
                <w:rFonts w:hint="eastAsia" w:ascii="宋体" w:hAnsi="宋体" w:cs="宋体"/>
                <w:color w:val="auto"/>
                <w:szCs w:val="21"/>
                <w:highlight w:val="none"/>
                <w:lang w:eastAsia="zh-CN"/>
              </w:rPr>
              <w:t>－</w:t>
            </w:r>
            <w:r>
              <w:rPr>
                <w:rFonts w:hint="eastAsia" w:ascii="宋体" w:hAnsi="宋体" w:cs="宋体"/>
                <w:color w:val="auto"/>
                <w:szCs w:val="21"/>
                <w:highlight w:val="none"/>
              </w:rPr>
              <w:t>长期危害</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tc>
        <w:tc>
          <w:tcPr>
            <w:tcW w:w="809" w:type="dxa"/>
            <w:tcBorders>
              <w:tl2br w:val="nil"/>
              <w:tr2bl w:val="nil"/>
            </w:tcBorders>
            <w:vAlign w:val="center"/>
          </w:tcPr>
          <w:p w14:paraId="1238A311">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7E0411C">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9269BA5">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45BDBB15">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B311926">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246244C9">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5444CF2">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DE0358D">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2A1E082E">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6284386">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22E67756">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30E82A9F">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3C4E0EE9">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09F323AF">
            <w:pPr>
              <w:numPr>
                <w:ilvl w:val="0"/>
                <w:numId w:val="25"/>
              </w:numPr>
              <w:ind w:left="425" w:hanging="425"/>
              <w:jc w:val="center"/>
              <w:rPr>
                <w:rFonts w:hint="eastAsia" w:ascii="宋体" w:hAnsi="宋体" w:cs="宋体"/>
                <w:color w:val="auto"/>
                <w:szCs w:val="21"/>
                <w:highlight w:val="none"/>
              </w:rPr>
            </w:pPr>
            <w:bookmarkStart w:id="1202" w:name="_Toc6701"/>
            <w:bookmarkEnd w:id="1202"/>
            <w:bookmarkStart w:id="1203" w:name="_Toc28494"/>
            <w:bookmarkEnd w:id="1203"/>
            <w:bookmarkStart w:id="1204" w:name="_Toc1007"/>
            <w:bookmarkEnd w:id="1204"/>
            <w:bookmarkStart w:id="1205" w:name="_Toc936"/>
            <w:bookmarkEnd w:id="1205"/>
            <w:bookmarkStart w:id="1206" w:name="_Toc31719"/>
            <w:bookmarkEnd w:id="1206"/>
            <w:bookmarkStart w:id="1207" w:name="_Toc7811"/>
            <w:bookmarkEnd w:id="1207"/>
            <w:bookmarkStart w:id="1208" w:name="_Toc30812"/>
            <w:bookmarkEnd w:id="1208"/>
            <w:bookmarkStart w:id="1209" w:name="_Toc30296"/>
            <w:bookmarkEnd w:id="1209"/>
          </w:p>
        </w:tc>
        <w:tc>
          <w:tcPr>
            <w:tcW w:w="901" w:type="dxa"/>
            <w:tcBorders>
              <w:tl2br w:val="nil"/>
              <w:tr2bl w:val="nil"/>
            </w:tcBorders>
            <w:vAlign w:val="center"/>
          </w:tcPr>
          <w:p w14:paraId="1E066D25">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丙酮</w:t>
            </w:r>
          </w:p>
        </w:tc>
        <w:tc>
          <w:tcPr>
            <w:tcW w:w="3386" w:type="dxa"/>
            <w:tcBorders>
              <w:tl2br w:val="nil"/>
              <w:tr2bl w:val="nil"/>
            </w:tcBorders>
            <w:vAlign w:val="center"/>
          </w:tcPr>
          <w:p w14:paraId="74EB6B81">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易燃液体</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12C50118">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严重眼损伤/眼刺激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45E5F06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特异性靶器官毒性</w:t>
            </w:r>
            <w:r>
              <w:rPr>
                <w:rFonts w:hint="eastAsia" w:ascii="宋体" w:hAnsi="宋体" w:cs="宋体"/>
                <w:color w:val="auto"/>
                <w:szCs w:val="21"/>
                <w:highlight w:val="none"/>
                <w:lang w:eastAsia="zh-CN"/>
              </w:rPr>
              <w:t>－</w:t>
            </w:r>
            <w:r>
              <w:rPr>
                <w:rFonts w:hint="eastAsia" w:ascii="宋体" w:hAnsi="宋体" w:cs="宋体"/>
                <w:color w:val="auto"/>
                <w:szCs w:val="21"/>
                <w:highlight w:val="none"/>
              </w:rPr>
              <w:t>一次接触</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类别3（麻醉效应）</w:t>
            </w:r>
          </w:p>
        </w:tc>
        <w:tc>
          <w:tcPr>
            <w:tcW w:w="809" w:type="dxa"/>
            <w:tcBorders>
              <w:tl2br w:val="nil"/>
              <w:tr2bl w:val="nil"/>
            </w:tcBorders>
            <w:vAlign w:val="center"/>
          </w:tcPr>
          <w:p w14:paraId="739CFB2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4D0416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AEA39BA">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F14A203">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F6ACAC2">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7A26C1A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D0B0413">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4EA5506F">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6AE1BF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7606DBF1">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4D3C65AD">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2D1F510E">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4E11CED3">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05B162CF">
            <w:pPr>
              <w:numPr>
                <w:ilvl w:val="0"/>
                <w:numId w:val="25"/>
              </w:numPr>
              <w:ind w:left="425" w:hanging="425"/>
              <w:jc w:val="center"/>
              <w:rPr>
                <w:rFonts w:hint="eastAsia" w:ascii="宋体" w:hAnsi="宋体" w:cs="宋体"/>
                <w:color w:val="auto"/>
                <w:szCs w:val="21"/>
                <w:highlight w:val="none"/>
              </w:rPr>
            </w:pPr>
            <w:bookmarkStart w:id="1210" w:name="_Toc32121"/>
            <w:bookmarkEnd w:id="1210"/>
            <w:bookmarkStart w:id="1211" w:name="_Toc32676"/>
            <w:bookmarkEnd w:id="1211"/>
            <w:bookmarkStart w:id="1212" w:name="_Toc10928"/>
            <w:bookmarkEnd w:id="1212"/>
            <w:bookmarkStart w:id="1213" w:name="_Toc5445"/>
            <w:bookmarkEnd w:id="1213"/>
            <w:bookmarkStart w:id="1214" w:name="_Toc3784"/>
            <w:bookmarkEnd w:id="1214"/>
            <w:bookmarkStart w:id="1215" w:name="_Toc18847"/>
            <w:bookmarkEnd w:id="1215"/>
            <w:bookmarkStart w:id="1216" w:name="_Toc30204"/>
            <w:bookmarkEnd w:id="1216"/>
            <w:bookmarkStart w:id="1217" w:name="_Toc22340"/>
            <w:bookmarkEnd w:id="1217"/>
          </w:p>
        </w:tc>
        <w:tc>
          <w:tcPr>
            <w:tcW w:w="901" w:type="dxa"/>
            <w:tcBorders>
              <w:tl2br w:val="nil"/>
              <w:tr2bl w:val="nil"/>
            </w:tcBorders>
            <w:vAlign w:val="center"/>
          </w:tcPr>
          <w:p w14:paraId="3AF443AC">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苯乙烯</w:t>
            </w:r>
          </w:p>
        </w:tc>
        <w:tc>
          <w:tcPr>
            <w:tcW w:w="3386" w:type="dxa"/>
            <w:tcBorders>
              <w:tl2br w:val="nil"/>
              <w:tr2bl w:val="nil"/>
            </w:tcBorders>
            <w:vAlign w:val="center"/>
          </w:tcPr>
          <w:p w14:paraId="264CC5A6">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易燃液体</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类别3</w:t>
            </w:r>
          </w:p>
          <w:p w14:paraId="13E3F28A">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皮肤腐蚀/刺激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31C855A8">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严重眼损伤/眼刺激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39400F63">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致癌性</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52A2F8A3">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生殖毒性</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79231030">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特异性靶器官毒性</w:t>
            </w:r>
            <w:r>
              <w:rPr>
                <w:rFonts w:hint="eastAsia" w:ascii="宋体" w:hAnsi="宋体" w:cs="宋体"/>
                <w:color w:val="auto"/>
                <w:szCs w:val="21"/>
                <w:highlight w:val="none"/>
                <w:lang w:eastAsia="zh-CN"/>
              </w:rPr>
              <w:t>－</w:t>
            </w:r>
            <w:r>
              <w:rPr>
                <w:rFonts w:hint="eastAsia" w:ascii="宋体" w:hAnsi="宋体" w:cs="宋体"/>
                <w:color w:val="auto"/>
                <w:szCs w:val="21"/>
                <w:highlight w:val="none"/>
              </w:rPr>
              <w:t>反复接触</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p w14:paraId="08091DA7">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危害水生环境</w:t>
            </w:r>
            <w:r>
              <w:rPr>
                <w:rFonts w:hint="eastAsia" w:ascii="宋体" w:hAnsi="宋体" w:cs="宋体"/>
                <w:color w:val="auto"/>
                <w:szCs w:val="21"/>
                <w:highlight w:val="none"/>
                <w:lang w:eastAsia="zh-CN"/>
              </w:rPr>
              <w:t>－</w:t>
            </w:r>
            <w:r>
              <w:rPr>
                <w:rFonts w:hint="eastAsia" w:ascii="宋体" w:hAnsi="宋体" w:cs="宋体"/>
                <w:color w:val="auto"/>
                <w:szCs w:val="21"/>
                <w:highlight w:val="none"/>
              </w:rPr>
              <w:t>急性危害</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tc>
        <w:tc>
          <w:tcPr>
            <w:tcW w:w="809" w:type="dxa"/>
            <w:tcBorders>
              <w:tl2br w:val="nil"/>
              <w:tr2bl w:val="nil"/>
            </w:tcBorders>
            <w:vAlign w:val="center"/>
          </w:tcPr>
          <w:p w14:paraId="3037154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92881E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F449ED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714B4A1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871482D">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F10A7AD">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7511A36">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12F9C1F">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3922DA1">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E3DDE90">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4AE94D2D">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13CEE437">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07922618">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63B2F961">
            <w:pPr>
              <w:numPr>
                <w:ilvl w:val="0"/>
                <w:numId w:val="25"/>
              </w:numPr>
              <w:ind w:left="425" w:hanging="425"/>
              <w:jc w:val="center"/>
              <w:rPr>
                <w:rFonts w:hint="eastAsia" w:ascii="宋体" w:hAnsi="宋体" w:cs="宋体"/>
                <w:color w:val="auto"/>
                <w:szCs w:val="21"/>
                <w:highlight w:val="none"/>
              </w:rPr>
            </w:pPr>
            <w:bookmarkStart w:id="1218" w:name="_Toc31289"/>
            <w:bookmarkEnd w:id="1218"/>
            <w:bookmarkStart w:id="1219" w:name="_Toc10141"/>
            <w:bookmarkEnd w:id="1219"/>
            <w:bookmarkStart w:id="1220" w:name="_Toc19007"/>
            <w:bookmarkEnd w:id="1220"/>
            <w:bookmarkStart w:id="1221" w:name="_Toc8754"/>
            <w:bookmarkEnd w:id="1221"/>
            <w:bookmarkStart w:id="1222" w:name="_Toc5685"/>
            <w:bookmarkEnd w:id="1222"/>
            <w:bookmarkStart w:id="1223" w:name="_Toc21010"/>
            <w:bookmarkEnd w:id="1223"/>
            <w:bookmarkStart w:id="1224" w:name="_Toc27722"/>
            <w:bookmarkEnd w:id="1224"/>
            <w:bookmarkStart w:id="1225" w:name="_Toc2813"/>
            <w:bookmarkEnd w:id="1225"/>
          </w:p>
        </w:tc>
        <w:tc>
          <w:tcPr>
            <w:tcW w:w="901" w:type="dxa"/>
            <w:tcBorders>
              <w:tl2br w:val="nil"/>
              <w:tr2bl w:val="nil"/>
            </w:tcBorders>
            <w:vAlign w:val="center"/>
          </w:tcPr>
          <w:p w14:paraId="5128DF02">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钴盐</w:t>
            </w:r>
          </w:p>
        </w:tc>
        <w:tc>
          <w:tcPr>
            <w:tcW w:w="3386" w:type="dxa"/>
            <w:tcBorders>
              <w:tl2br w:val="nil"/>
              <w:tr2bl w:val="nil"/>
            </w:tcBorders>
            <w:vAlign w:val="center"/>
          </w:tcPr>
          <w:p w14:paraId="3ED644F1">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易燃液体</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类别3</w:t>
            </w:r>
          </w:p>
          <w:p w14:paraId="639E3A20">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皮肤腐蚀/刺激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26481A22">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严重眼损伤/眼刺激</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p w14:paraId="0E402F4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特异性靶器官毒性</w:t>
            </w:r>
            <w:r>
              <w:rPr>
                <w:rFonts w:hint="eastAsia" w:ascii="宋体" w:hAnsi="宋体" w:cs="宋体"/>
                <w:color w:val="auto"/>
                <w:szCs w:val="21"/>
                <w:highlight w:val="none"/>
                <w:lang w:eastAsia="zh-CN"/>
              </w:rPr>
              <w:t>－</w:t>
            </w:r>
            <w:r>
              <w:rPr>
                <w:rFonts w:hint="eastAsia" w:ascii="宋体" w:hAnsi="宋体" w:cs="宋体"/>
                <w:color w:val="auto"/>
                <w:szCs w:val="21"/>
                <w:highlight w:val="none"/>
              </w:rPr>
              <w:t>一次接触</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类别3（呼吸道刺激、麻醉效应）</w:t>
            </w:r>
          </w:p>
        </w:tc>
        <w:tc>
          <w:tcPr>
            <w:tcW w:w="809" w:type="dxa"/>
            <w:tcBorders>
              <w:tl2br w:val="nil"/>
              <w:tr2bl w:val="nil"/>
            </w:tcBorders>
            <w:vAlign w:val="center"/>
          </w:tcPr>
          <w:p w14:paraId="54203C3A">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D6F8856">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B3282DF">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01C3CE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49C23BB">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9B3CF5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6CE3873">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9F7E3A4">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B9B138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4908377">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247E222B">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6213BF6D">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41D72435">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3521249D">
            <w:pPr>
              <w:numPr>
                <w:ilvl w:val="0"/>
                <w:numId w:val="25"/>
              </w:numPr>
              <w:ind w:left="425" w:hanging="425"/>
              <w:jc w:val="center"/>
              <w:rPr>
                <w:rFonts w:hint="eastAsia" w:ascii="宋体" w:hAnsi="宋体" w:cs="宋体"/>
                <w:color w:val="auto"/>
                <w:szCs w:val="21"/>
                <w:highlight w:val="none"/>
              </w:rPr>
            </w:pPr>
            <w:bookmarkStart w:id="1226" w:name="_Toc695"/>
            <w:bookmarkEnd w:id="1226"/>
            <w:bookmarkStart w:id="1227" w:name="_Toc17056"/>
            <w:bookmarkEnd w:id="1227"/>
            <w:bookmarkStart w:id="1228" w:name="_Toc31189"/>
            <w:bookmarkEnd w:id="1228"/>
            <w:bookmarkStart w:id="1229" w:name="_Toc19788"/>
            <w:bookmarkEnd w:id="1229"/>
            <w:bookmarkStart w:id="1230" w:name="_Toc4168"/>
            <w:bookmarkEnd w:id="1230"/>
            <w:bookmarkStart w:id="1231" w:name="_Toc31032"/>
            <w:bookmarkEnd w:id="1231"/>
            <w:bookmarkStart w:id="1232" w:name="_Toc21307"/>
            <w:bookmarkEnd w:id="1232"/>
            <w:bookmarkStart w:id="1233" w:name="_Toc97"/>
            <w:bookmarkEnd w:id="1233"/>
          </w:p>
        </w:tc>
        <w:tc>
          <w:tcPr>
            <w:tcW w:w="901" w:type="dxa"/>
            <w:tcBorders>
              <w:tl2br w:val="nil"/>
              <w:tr2bl w:val="nil"/>
            </w:tcBorders>
            <w:vAlign w:val="center"/>
          </w:tcPr>
          <w:p w14:paraId="28A32AE3">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油漆</w:t>
            </w:r>
          </w:p>
        </w:tc>
        <w:tc>
          <w:tcPr>
            <w:tcW w:w="3386" w:type="dxa"/>
            <w:tcBorders>
              <w:tl2br w:val="nil"/>
              <w:tr2bl w:val="nil"/>
            </w:tcBorders>
            <w:vAlign w:val="center"/>
          </w:tcPr>
          <w:p w14:paraId="4ED958B4">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易燃液体</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类别3</w:t>
            </w:r>
          </w:p>
        </w:tc>
        <w:tc>
          <w:tcPr>
            <w:tcW w:w="809" w:type="dxa"/>
            <w:tcBorders>
              <w:tl2br w:val="nil"/>
              <w:tr2bl w:val="nil"/>
            </w:tcBorders>
            <w:vAlign w:val="center"/>
          </w:tcPr>
          <w:p w14:paraId="7A7F5416">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32C2AC4">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4DE8428">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7D968264">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F322637">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43E0B4B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5E78125">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2F4560AF">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F521FFE">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1027DE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4A0226C6">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380ED57F">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1FC8152A">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02CD792B">
            <w:pPr>
              <w:numPr>
                <w:ilvl w:val="0"/>
                <w:numId w:val="25"/>
              </w:numPr>
              <w:ind w:left="425" w:hanging="425"/>
              <w:jc w:val="center"/>
              <w:rPr>
                <w:rFonts w:hint="eastAsia" w:ascii="宋体" w:hAnsi="宋体" w:cs="宋体"/>
                <w:color w:val="auto"/>
                <w:szCs w:val="21"/>
                <w:highlight w:val="none"/>
              </w:rPr>
            </w:pPr>
            <w:bookmarkStart w:id="1234" w:name="_Toc12397"/>
            <w:bookmarkEnd w:id="1234"/>
            <w:bookmarkStart w:id="1235" w:name="_Toc28655"/>
            <w:bookmarkEnd w:id="1235"/>
            <w:bookmarkStart w:id="1236" w:name="_Toc8769"/>
            <w:bookmarkEnd w:id="1236"/>
            <w:bookmarkStart w:id="1237" w:name="_Toc27303"/>
            <w:bookmarkEnd w:id="1237"/>
            <w:bookmarkStart w:id="1238" w:name="_Toc15298"/>
            <w:bookmarkEnd w:id="1238"/>
            <w:bookmarkStart w:id="1239" w:name="_Toc1829"/>
            <w:bookmarkEnd w:id="1239"/>
            <w:bookmarkStart w:id="1240" w:name="_Toc18347"/>
            <w:bookmarkEnd w:id="1240"/>
            <w:bookmarkStart w:id="1241" w:name="_Toc1423"/>
            <w:bookmarkEnd w:id="1241"/>
          </w:p>
        </w:tc>
        <w:tc>
          <w:tcPr>
            <w:tcW w:w="901" w:type="dxa"/>
            <w:tcBorders>
              <w:tl2br w:val="nil"/>
              <w:tr2bl w:val="nil"/>
            </w:tcBorders>
            <w:vAlign w:val="center"/>
          </w:tcPr>
          <w:p w14:paraId="0046149B">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油漆固化剂</w:t>
            </w:r>
          </w:p>
        </w:tc>
        <w:tc>
          <w:tcPr>
            <w:tcW w:w="3386" w:type="dxa"/>
            <w:tcBorders>
              <w:tl2br w:val="nil"/>
              <w:tr2bl w:val="nil"/>
            </w:tcBorders>
            <w:vAlign w:val="center"/>
          </w:tcPr>
          <w:p w14:paraId="1E27F757">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易燃液体</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类别3</w:t>
            </w:r>
          </w:p>
        </w:tc>
        <w:tc>
          <w:tcPr>
            <w:tcW w:w="809" w:type="dxa"/>
            <w:tcBorders>
              <w:tl2br w:val="nil"/>
              <w:tr2bl w:val="nil"/>
            </w:tcBorders>
            <w:vAlign w:val="center"/>
          </w:tcPr>
          <w:p w14:paraId="07C8CDF1">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F2E1875">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7E4DB5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EE73637">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78B57159">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288CB873">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9802AD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EADE98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B8D4098">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A902C8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73E18E32">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61BC6D9B">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001578BC">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40711913">
            <w:pPr>
              <w:numPr>
                <w:ilvl w:val="0"/>
                <w:numId w:val="25"/>
              </w:numPr>
              <w:ind w:left="425" w:hanging="425"/>
              <w:jc w:val="center"/>
              <w:rPr>
                <w:rFonts w:hint="eastAsia" w:ascii="宋体" w:hAnsi="宋体" w:cs="宋体"/>
                <w:color w:val="auto"/>
                <w:szCs w:val="21"/>
                <w:highlight w:val="none"/>
              </w:rPr>
            </w:pPr>
            <w:bookmarkStart w:id="1242" w:name="_Toc21983"/>
            <w:bookmarkEnd w:id="1242"/>
            <w:bookmarkStart w:id="1243" w:name="_Toc4532"/>
            <w:bookmarkEnd w:id="1243"/>
            <w:bookmarkStart w:id="1244" w:name="_Toc151"/>
            <w:bookmarkEnd w:id="1244"/>
            <w:bookmarkStart w:id="1245" w:name="_Toc16616"/>
            <w:bookmarkEnd w:id="1245"/>
            <w:bookmarkStart w:id="1246" w:name="_Toc20894"/>
            <w:bookmarkEnd w:id="1246"/>
            <w:bookmarkStart w:id="1247" w:name="_Toc5787"/>
            <w:bookmarkEnd w:id="1247"/>
            <w:bookmarkStart w:id="1248" w:name="_Toc26868"/>
            <w:bookmarkEnd w:id="1248"/>
            <w:bookmarkStart w:id="1249" w:name="_Toc6103"/>
            <w:bookmarkEnd w:id="1249"/>
          </w:p>
        </w:tc>
        <w:tc>
          <w:tcPr>
            <w:tcW w:w="901" w:type="dxa"/>
            <w:tcBorders>
              <w:tl2br w:val="nil"/>
              <w:tr2bl w:val="nil"/>
            </w:tcBorders>
            <w:vAlign w:val="center"/>
          </w:tcPr>
          <w:p w14:paraId="4FB834B3">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油漆稀释剂</w:t>
            </w:r>
          </w:p>
        </w:tc>
        <w:tc>
          <w:tcPr>
            <w:tcW w:w="3386" w:type="dxa"/>
            <w:tcBorders>
              <w:tl2br w:val="nil"/>
              <w:tr2bl w:val="nil"/>
            </w:tcBorders>
            <w:vAlign w:val="center"/>
          </w:tcPr>
          <w:p w14:paraId="0AF3674A">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易燃液体</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类别3</w:t>
            </w:r>
          </w:p>
        </w:tc>
        <w:tc>
          <w:tcPr>
            <w:tcW w:w="809" w:type="dxa"/>
            <w:tcBorders>
              <w:tl2br w:val="nil"/>
              <w:tr2bl w:val="nil"/>
            </w:tcBorders>
            <w:vAlign w:val="center"/>
          </w:tcPr>
          <w:p w14:paraId="347A0FEC">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2ED1A600">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47B14010">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57DC1C6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5C1D858">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9B4C0DD">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497A464">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EF69AE7">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4C02155">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E979279">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07E9A31D">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w:t>
            </w:r>
          </w:p>
        </w:tc>
        <w:tc>
          <w:tcPr>
            <w:tcW w:w="813" w:type="dxa"/>
            <w:tcBorders>
              <w:tl2br w:val="nil"/>
              <w:tr2bl w:val="nil"/>
            </w:tcBorders>
            <w:vAlign w:val="center"/>
          </w:tcPr>
          <w:p w14:paraId="65052BC4">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1B7555C4">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94" w:type="dxa"/>
            <w:tcBorders>
              <w:tl2br w:val="nil"/>
              <w:tr2bl w:val="nil"/>
            </w:tcBorders>
            <w:vAlign w:val="center"/>
          </w:tcPr>
          <w:p w14:paraId="76D58F3D">
            <w:pPr>
              <w:numPr>
                <w:ilvl w:val="0"/>
                <w:numId w:val="25"/>
              </w:numPr>
              <w:ind w:left="425" w:hanging="425"/>
              <w:jc w:val="center"/>
              <w:rPr>
                <w:rFonts w:hint="eastAsia" w:ascii="宋体" w:hAnsi="宋体" w:cs="宋体"/>
                <w:color w:val="auto"/>
                <w:szCs w:val="21"/>
                <w:highlight w:val="none"/>
              </w:rPr>
            </w:pPr>
            <w:bookmarkStart w:id="1250" w:name="_Toc23729"/>
            <w:bookmarkEnd w:id="1250"/>
          </w:p>
        </w:tc>
        <w:tc>
          <w:tcPr>
            <w:tcW w:w="901" w:type="dxa"/>
            <w:tcBorders>
              <w:tl2br w:val="nil"/>
              <w:tr2bl w:val="nil"/>
            </w:tcBorders>
            <w:vAlign w:val="center"/>
          </w:tcPr>
          <w:p w14:paraId="1EC80D37">
            <w:pPr>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六亚甲基四胺</w:t>
            </w:r>
          </w:p>
        </w:tc>
        <w:tc>
          <w:tcPr>
            <w:tcW w:w="3386" w:type="dxa"/>
            <w:tcBorders>
              <w:tl2br w:val="nil"/>
              <w:tr2bl w:val="nil"/>
            </w:tcBorders>
            <w:vAlign w:val="center"/>
          </w:tcPr>
          <w:p w14:paraId="32062DA4">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易燃固体</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p w14:paraId="5F641F04">
            <w:pPr>
              <w:widowControl/>
              <w:adjustRightInd/>
              <w:snapToGrid/>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皮肤致敏物</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类别1</w:t>
            </w:r>
          </w:p>
          <w:p w14:paraId="5DEFBC2B">
            <w:pPr>
              <w:adjustRightInd/>
              <w:snapToGrid/>
              <w:jc w:val="center"/>
              <w:rPr>
                <w:rFonts w:hint="eastAsia" w:ascii="宋体" w:hAnsi="宋体" w:cs="宋体"/>
                <w:color w:val="auto"/>
                <w:szCs w:val="21"/>
                <w:highlight w:val="none"/>
              </w:rPr>
            </w:pPr>
            <w:r>
              <w:rPr>
                <w:rFonts w:hint="eastAsia" w:ascii="宋体" w:hAnsi="宋体" w:cs="宋体"/>
                <w:color w:val="auto"/>
                <w:szCs w:val="21"/>
                <w:highlight w:val="none"/>
              </w:rPr>
              <w:t>危害水生环境</w:t>
            </w:r>
            <w:r>
              <w:rPr>
                <w:rFonts w:hint="eastAsia" w:ascii="宋体" w:hAnsi="宋体" w:cs="宋体"/>
                <w:color w:val="auto"/>
                <w:szCs w:val="21"/>
                <w:highlight w:val="none"/>
                <w:lang w:eastAsia="zh-CN"/>
              </w:rPr>
              <w:t>－</w:t>
            </w:r>
            <w:r>
              <w:rPr>
                <w:rFonts w:hint="eastAsia" w:ascii="宋体" w:hAnsi="宋体" w:cs="宋体"/>
                <w:color w:val="auto"/>
                <w:szCs w:val="21"/>
                <w:highlight w:val="none"/>
              </w:rPr>
              <w:t>急性危害</w:t>
            </w:r>
            <w:r>
              <w:rPr>
                <w:rFonts w:hint="eastAsia" w:ascii="宋体" w:hAnsi="宋体" w:cs="宋体"/>
                <w:color w:val="auto"/>
                <w:szCs w:val="21"/>
                <w:highlight w:val="none"/>
                <w:lang w:eastAsia="zh-CN"/>
              </w:rPr>
              <w:t>，</w:t>
            </w:r>
            <w:r>
              <w:rPr>
                <w:rFonts w:hint="eastAsia" w:ascii="宋体" w:hAnsi="宋体" w:cs="宋体"/>
                <w:color w:val="auto"/>
                <w:szCs w:val="21"/>
                <w:highlight w:val="none"/>
              </w:rPr>
              <w:t>类别2</w:t>
            </w:r>
          </w:p>
        </w:tc>
        <w:tc>
          <w:tcPr>
            <w:tcW w:w="809" w:type="dxa"/>
            <w:tcBorders>
              <w:tl2br w:val="nil"/>
              <w:tr2bl w:val="nil"/>
            </w:tcBorders>
            <w:vAlign w:val="center"/>
          </w:tcPr>
          <w:p w14:paraId="056AF46D">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66E4249C">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36C82D60">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105D9383">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302BCB7">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809" w:type="dxa"/>
            <w:tcBorders>
              <w:tl2br w:val="nil"/>
              <w:tr2bl w:val="nil"/>
            </w:tcBorders>
            <w:vAlign w:val="center"/>
          </w:tcPr>
          <w:p w14:paraId="0458EE26">
            <w:pPr>
              <w:widowControl/>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消</w:t>
            </w:r>
          </w:p>
        </w:tc>
        <w:tc>
          <w:tcPr>
            <w:tcW w:w="809" w:type="dxa"/>
            <w:tcBorders>
              <w:tl2br w:val="nil"/>
              <w:tr2bl w:val="nil"/>
            </w:tcBorders>
            <w:vAlign w:val="center"/>
          </w:tcPr>
          <w:p w14:paraId="05464A2B">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消</w:t>
            </w:r>
          </w:p>
        </w:tc>
        <w:tc>
          <w:tcPr>
            <w:tcW w:w="809" w:type="dxa"/>
            <w:tcBorders>
              <w:tl2br w:val="nil"/>
              <w:tr2bl w:val="nil"/>
            </w:tcBorders>
            <w:vAlign w:val="center"/>
          </w:tcPr>
          <w:p w14:paraId="19B186D2">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消</w:t>
            </w:r>
          </w:p>
        </w:tc>
        <w:tc>
          <w:tcPr>
            <w:tcW w:w="809" w:type="dxa"/>
            <w:tcBorders>
              <w:tl2br w:val="nil"/>
              <w:tr2bl w:val="nil"/>
            </w:tcBorders>
            <w:vAlign w:val="center"/>
          </w:tcPr>
          <w:p w14:paraId="6416B7D2">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消</w:t>
            </w:r>
          </w:p>
        </w:tc>
        <w:tc>
          <w:tcPr>
            <w:tcW w:w="809" w:type="dxa"/>
            <w:tcBorders>
              <w:tl2br w:val="nil"/>
              <w:tr2bl w:val="nil"/>
            </w:tcBorders>
            <w:vAlign w:val="center"/>
          </w:tcPr>
          <w:p w14:paraId="555DBA8A">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消</w:t>
            </w:r>
          </w:p>
        </w:tc>
        <w:tc>
          <w:tcPr>
            <w:tcW w:w="813" w:type="dxa"/>
            <w:tcBorders>
              <w:tl2br w:val="nil"/>
              <w:tr2bl w:val="nil"/>
            </w:tcBorders>
            <w:vAlign w:val="center"/>
          </w:tcPr>
          <w:p w14:paraId="316A5686">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消</w:t>
            </w:r>
          </w:p>
        </w:tc>
        <w:tc>
          <w:tcPr>
            <w:tcW w:w="813" w:type="dxa"/>
            <w:tcBorders>
              <w:tl2br w:val="nil"/>
              <w:tr2bl w:val="nil"/>
            </w:tcBorders>
            <w:vAlign w:val="center"/>
          </w:tcPr>
          <w:p w14:paraId="13A8AD09">
            <w:pPr>
              <w:adjustRightInd/>
              <w:snapToGrid/>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w:t>
            </w:r>
          </w:p>
        </w:tc>
      </w:tr>
    </w:tbl>
    <w:p w14:paraId="078DBA4F">
      <w:pPr>
        <w:keepNext w:val="0"/>
        <w:keepLines w:val="0"/>
        <w:widowControl/>
        <w:suppressLineNumbers w:val="0"/>
        <w:adjustRightInd w:val="0"/>
        <w:snapToGrid w:val="0"/>
        <w:jc w:val="left"/>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注1：“○”表示原则上可以混存。“○”框中，具体化学品能否混存，参考其安全技术说明书，混存物品，堆垛与堆垛之间应留有1m以上的距离，并要求包装容器完整，不使两种物品发生接触。</w:t>
      </w:r>
    </w:p>
    <w:p w14:paraId="7202E5BF">
      <w:pPr>
        <w:keepNext w:val="0"/>
        <w:keepLines w:val="0"/>
        <w:widowControl/>
        <w:suppressLineNumbers w:val="0"/>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注2：“×”表示互为禁忌物品。“×”框中，除</w:t>
      </w:r>
      <w:r>
        <w:rPr>
          <w:rFonts w:hint="eastAsia" w:ascii="宋体" w:hAnsi="宋体" w:cs="宋体"/>
          <w:color w:val="auto"/>
          <w:kern w:val="0"/>
          <w:szCs w:val="21"/>
          <w:highlight w:val="none"/>
          <w:lang w:bidi="ar"/>
        </w:rPr>
        <w:t>GB15603-2022</w:t>
      </w:r>
      <w:r>
        <w:rPr>
          <w:rFonts w:hint="eastAsia" w:ascii="宋体" w:hAnsi="宋体" w:cs="宋体"/>
          <w:color w:val="auto"/>
          <w:kern w:val="0"/>
          <w:szCs w:val="21"/>
          <w:highlight w:val="none"/>
          <w:lang w:eastAsia="zh-CN" w:bidi="ar"/>
        </w:rPr>
        <w:t>第</w:t>
      </w:r>
      <w:r>
        <w:rPr>
          <w:rFonts w:hint="eastAsia" w:ascii="宋体" w:hAnsi="宋体" w:eastAsia="宋体" w:cs="宋体"/>
          <w:color w:val="auto"/>
          <w:kern w:val="0"/>
          <w:sz w:val="21"/>
          <w:szCs w:val="21"/>
          <w:highlight w:val="none"/>
          <w:lang w:val="en-US" w:eastAsia="zh-CN" w:bidi="ar"/>
        </w:rPr>
        <w:t>5.9</w:t>
      </w:r>
      <w:r>
        <w:rPr>
          <w:rFonts w:hint="eastAsia" w:ascii="宋体" w:hAnsi="宋体" w:cs="宋体"/>
          <w:color w:val="auto"/>
          <w:kern w:val="0"/>
          <w:sz w:val="21"/>
          <w:szCs w:val="21"/>
          <w:highlight w:val="none"/>
          <w:lang w:val="en-US" w:eastAsia="zh-CN" w:bidi="ar"/>
        </w:rPr>
        <w:t>条</w:t>
      </w:r>
      <w:r>
        <w:rPr>
          <w:rFonts w:hint="eastAsia" w:ascii="宋体" w:hAnsi="宋体" w:eastAsia="宋体" w:cs="宋体"/>
          <w:color w:val="auto"/>
          <w:kern w:val="0"/>
          <w:sz w:val="21"/>
          <w:szCs w:val="21"/>
          <w:highlight w:val="none"/>
          <w:lang w:val="en-US" w:eastAsia="zh-CN" w:bidi="ar"/>
        </w:rPr>
        <w:t>规定外，应隔开储存。</w:t>
      </w:r>
    </w:p>
    <w:bookmarkEnd w:id="1161"/>
    <w:p w14:paraId="5FD52CDA">
      <w:pPr>
        <w:keepNext w:val="0"/>
        <w:keepLines w:val="0"/>
        <w:widowControl/>
        <w:suppressLineNumbers w:val="0"/>
        <w:adjustRightInd w:val="0"/>
        <w:snapToGrid w:val="0"/>
        <w:jc w:val="left"/>
        <w:rPr>
          <w:rFonts w:hint="eastAsia" w:ascii="宋体" w:hAnsi="宋体" w:eastAsia="宋体" w:cs="宋体"/>
          <w:color w:val="auto"/>
          <w:sz w:val="21"/>
          <w:szCs w:val="21"/>
          <w:highlight w:val="none"/>
        </w:rPr>
      </w:pPr>
      <w:bookmarkStart w:id="1251" w:name="_Toc60846613"/>
      <w:bookmarkStart w:id="1252" w:name="_Toc498075598"/>
      <w:r>
        <w:rPr>
          <w:rFonts w:hint="eastAsia" w:ascii="宋体" w:hAnsi="宋体" w:eastAsia="宋体" w:cs="宋体"/>
          <w:color w:val="auto"/>
          <w:kern w:val="0"/>
          <w:sz w:val="21"/>
          <w:szCs w:val="21"/>
          <w:highlight w:val="none"/>
          <w:lang w:val="en-US" w:eastAsia="zh-CN" w:bidi="ar"/>
        </w:rPr>
        <w:t>注</w:t>
      </w:r>
      <w:r>
        <w:rPr>
          <w:rFonts w:hint="eastAsia" w:ascii="宋体" w:hAnsi="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val="en-US" w:eastAsia="zh-CN" w:bidi="ar"/>
        </w:rPr>
        <w:t>：当危险化学品具有两种以上危险性时，按照最严格的禁配要求进行配存。</w:t>
      </w:r>
    </w:p>
    <w:p w14:paraId="05F8715D">
      <w:pPr>
        <w:keepNext w:val="0"/>
        <w:keepLines w:val="0"/>
        <w:widowControl/>
        <w:suppressLineNumbers w:val="0"/>
        <w:adjustRightInd w:val="0"/>
        <w:snapToGrid w:val="0"/>
        <w:jc w:val="left"/>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注</w:t>
      </w:r>
      <w:r>
        <w:rPr>
          <w:rFonts w:hint="eastAsia" w:ascii="宋体" w:hAnsi="宋体" w:cs="宋体"/>
          <w:color w:val="auto"/>
          <w:kern w:val="0"/>
          <w:sz w:val="21"/>
          <w:szCs w:val="21"/>
          <w:highlight w:val="none"/>
          <w:lang w:val="en-US" w:eastAsia="zh-CN" w:bidi="ar"/>
        </w:rPr>
        <w:t>4</w:t>
      </w:r>
      <w:r>
        <w:rPr>
          <w:rFonts w:hint="eastAsia" w:ascii="宋体" w:hAnsi="宋体" w:eastAsia="宋体" w:cs="宋体"/>
          <w:color w:val="auto"/>
          <w:kern w:val="0"/>
          <w:sz w:val="21"/>
          <w:szCs w:val="21"/>
          <w:highlight w:val="none"/>
          <w:lang w:val="en-US" w:eastAsia="zh-CN" w:bidi="ar"/>
        </w:rPr>
        <w:t>：表中未涉及的健康危害和环境危害类别，具体配存要求参见其化学品安全技术说明书。</w:t>
      </w:r>
    </w:p>
    <w:p w14:paraId="73DA781F">
      <w:pPr>
        <w:keepNext w:val="0"/>
        <w:keepLines w:val="0"/>
        <w:widowControl/>
        <w:suppressLineNumbers w:val="0"/>
        <w:adjustRightInd w:val="0"/>
        <w:snapToGrid w:val="0"/>
        <w:jc w:val="left"/>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注</w:t>
      </w:r>
      <w:r>
        <w:rPr>
          <w:rFonts w:hint="eastAsia" w:ascii="宋体" w:hAnsi="宋体" w:cs="宋体"/>
          <w:color w:val="auto"/>
          <w:kern w:val="0"/>
          <w:szCs w:val="21"/>
          <w:highlight w:val="none"/>
          <w:lang w:eastAsia="zh-CN" w:bidi="ar"/>
        </w:rPr>
        <w:t>5</w:t>
      </w:r>
      <w:r>
        <w:rPr>
          <w:rFonts w:hint="eastAsia" w:ascii="宋体" w:hAnsi="宋体" w:cs="宋体"/>
          <w:color w:val="auto"/>
          <w:kern w:val="0"/>
          <w:szCs w:val="21"/>
          <w:highlight w:val="none"/>
          <w:lang w:bidi="ar"/>
        </w:rPr>
        <w:t>：</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消”框中，禁忌物应隔开储存。</w:t>
      </w:r>
    </w:p>
    <w:p w14:paraId="04EE7236">
      <w:pPr>
        <w:keepNext w:val="0"/>
        <w:keepLines w:val="0"/>
        <w:widowControl/>
        <w:suppressLineNumbers w:val="0"/>
        <w:adjustRightInd w:val="0"/>
        <w:snapToGrid w:val="0"/>
        <w:spacing w:after="313" w:afterLines="100"/>
        <w:jc w:val="left"/>
        <w:rPr>
          <w:rFonts w:hint="eastAsia" w:ascii="宋体" w:hAnsi="宋体" w:eastAsia="宋体" w:cs="宋体"/>
          <w:color w:val="auto"/>
          <w:kern w:val="0"/>
          <w:sz w:val="21"/>
          <w:szCs w:val="21"/>
          <w:highlight w:val="none"/>
          <w:lang w:val="en-US" w:eastAsia="zh-CN" w:bidi="ar"/>
        </w:rPr>
      </w:pPr>
      <w:r>
        <w:rPr>
          <w:rFonts w:hint="eastAsia" w:ascii="宋体" w:hAnsi="宋体" w:cs="宋体"/>
          <w:color w:val="auto"/>
          <w:kern w:val="0"/>
          <w:szCs w:val="21"/>
          <w:highlight w:val="none"/>
          <w:lang w:val="en-US" w:eastAsia="zh-CN" w:bidi="ar"/>
        </w:rPr>
        <w:t>注6:</w:t>
      </w:r>
      <w:r>
        <w:rPr>
          <w:rFonts w:hint="eastAsia" w:ascii="宋体" w:hAnsi="宋体" w:cs="宋体"/>
          <w:color w:val="auto"/>
          <w:kern w:val="0"/>
          <w:szCs w:val="21"/>
          <w:highlight w:val="none"/>
          <w:lang w:bidi="ar"/>
        </w:rPr>
        <w:t>“/”表示</w:t>
      </w:r>
      <w:r>
        <w:rPr>
          <w:rFonts w:hint="eastAsia" w:ascii="宋体" w:hAnsi="宋体" w:cs="宋体"/>
          <w:color w:val="auto"/>
          <w:kern w:val="0"/>
          <w:szCs w:val="21"/>
          <w:highlight w:val="none"/>
          <w:lang w:eastAsia="zh-CN" w:bidi="ar"/>
        </w:rPr>
        <w:t>同物质或重复数据</w:t>
      </w:r>
      <w:r>
        <w:rPr>
          <w:rFonts w:hint="eastAsia" w:ascii="宋体" w:hAnsi="宋体" w:cs="宋体"/>
          <w:color w:val="auto"/>
          <w:kern w:val="0"/>
          <w:szCs w:val="21"/>
          <w:highlight w:val="none"/>
          <w:lang w:bidi="ar"/>
        </w:rPr>
        <w:t>。</w:t>
      </w:r>
    </w:p>
    <w:p w14:paraId="7BA1D905">
      <w:pPr>
        <w:widowControl w:val="0"/>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1253" w:name="_Toc18977"/>
      <w:bookmarkStart w:id="1254" w:name="_Toc1844"/>
      <w:bookmarkStart w:id="1255" w:name="_Toc16729"/>
      <w:bookmarkStart w:id="1256" w:name="_Toc24103"/>
      <w:bookmarkStart w:id="1257" w:name="_Toc9316"/>
      <w:bookmarkStart w:id="1258" w:name="_Toc16409"/>
      <w:bookmarkStart w:id="1259" w:name="_Toc29724"/>
      <w:bookmarkStart w:id="1260" w:name="_Toc27377"/>
      <w:bookmarkStart w:id="1261" w:name="_Toc22827"/>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GB" w:eastAsia="zh-CN"/>
        </w:rPr>
        <w:t>2.4</w:t>
      </w:r>
      <w:r>
        <w:rPr>
          <w:rFonts w:hint="eastAsia" w:ascii="黑体" w:hAnsi="黑体" w:eastAsia="黑体" w:cs="黑体"/>
          <w:b/>
          <w:bCs/>
          <w:color w:val="auto"/>
          <w:kern w:val="0"/>
          <w:sz w:val="28"/>
          <w:szCs w:val="28"/>
          <w:highlight w:val="none"/>
          <w:lang w:val="en-GB"/>
        </w:rPr>
        <w:t xml:space="preserve"> 建</w:t>
      </w:r>
      <w:r>
        <w:rPr>
          <w:rFonts w:hint="eastAsia" w:ascii="黑体" w:hAnsi="黑体" w:eastAsia="黑体" w:cs="黑体"/>
          <w:b/>
          <w:bCs/>
          <w:color w:val="auto"/>
          <w:kern w:val="0"/>
          <w:sz w:val="28"/>
          <w:szCs w:val="28"/>
          <w:highlight w:val="none"/>
          <w:lang w:val="en-GB" w:eastAsia="zh-CN"/>
        </w:rPr>
        <w:t>（</w:t>
      </w:r>
      <w:r>
        <w:rPr>
          <w:rFonts w:hint="eastAsia" w:ascii="黑体" w:hAnsi="黑体" w:eastAsia="黑体" w:cs="黑体"/>
          <w:b/>
          <w:bCs/>
          <w:color w:val="auto"/>
          <w:kern w:val="0"/>
          <w:sz w:val="28"/>
          <w:szCs w:val="28"/>
          <w:highlight w:val="none"/>
          <w:lang w:val="en-GB"/>
        </w:rPr>
        <w:t>构</w:t>
      </w:r>
      <w:r>
        <w:rPr>
          <w:rFonts w:hint="eastAsia" w:ascii="黑体" w:hAnsi="黑体" w:eastAsia="黑体" w:cs="黑体"/>
          <w:b/>
          <w:bCs/>
          <w:color w:val="auto"/>
          <w:kern w:val="0"/>
          <w:sz w:val="28"/>
          <w:szCs w:val="28"/>
          <w:highlight w:val="none"/>
          <w:lang w:val="en-GB" w:eastAsia="zh-CN"/>
        </w:rPr>
        <w:t>）</w:t>
      </w:r>
      <w:r>
        <w:rPr>
          <w:rFonts w:hint="eastAsia" w:ascii="黑体" w:hAnsi="黑体" w:eastAsia="黑体" w:cs="黑体"/>
          <w:b/>
          <w:bCs/>
          <w:color w:val="auto"/>
          <w:kern w:val="0"/>
          <w:sz w:val="28"/>
          <w:szCs w:val="28"/>
          <w:highlight w:val="none"/>
          <w:lang w:val="en-GB"/>
        </w:rPr>
        <w:t>筑物危险、有害因素分析</w:t>
      </w:r>
      <w:bookmarkEnd w:id="1253"/>
      <w:bookmarkEnd w:id="1254"/>
      <w:bookmarkEnd w:id="1255"/>
      <w:bookmarkEnd w:id="1256"/>
      <w:bookmarkEnd w:id="1257"/>
      <w:bookmarkEnd w:id="1258"/>
      <w:bookmarkEnd w:id="1259"/>
      <w:bookmarkEnd w:id="1260"/>
      <w:bookmarkEnd w:id="1261"/>
    </w:p>
    <w:p w14:paraId="782AD778">
      <w:pPr>
        <w:adjustRightInd w:val="0"/>
        <w:snapToGrid w:val="0"/>
        <w:spacing w:beforeLines="0" w:afterLines="0"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危化品仓库储存的物料为易燃物质、氧化性物质、腐蚀性物质，其火灾危险性多为甲、乙类，因此其储存仓库建筑物应采用钢筋混凝土框架结构或实心砖墙，其耐火等级不低于二级，且应设置防雷防静电接地设施。否则，一旦发生火灾或遭遇雷击的事故，会迅速穿顶，会造成屋架倒塌、人员伤亡等危险、危害。</w:t>
      </w:r>
    </w:p>
    <w:p w14:paraId="01E133F6">
      <w:pPr>
        <w:adjustRightInd w:val="0"/>
        <w:snapToGrid w:val="0"/>
        <w:spacing w:beforeLines="0" w:afterLines="0"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（2）危化品仓库的建筑物若泄压面积不够，安全出口</w:t>
      </w:r>
      <w:r>
        <w:rPr>
          <w:rFonts w:hint="eastAsia" w:ascii="宋体" w:hAnsi="宋体" w:cs="宋体"/>
          <w:bCs/>
          <w:color w:val="auto"/>
          <w:sz w:val="28"/>
          <w:szCs w:val="28"/>
          <w:highlight w:val="none"/>
          <w:lang w:eastAsia="zh-CN"/>
        </w:rPr>
        <w:t>堵塞</w:t>
      </w:r>
      <w:r>
        <w:rPr>
          <w:rFonts w:hint="eastAsia" w:ascii="宋体" w:hAnsi="宋体" w:eastAsia="宋体" w:cs="宋体"/>
          <w:bCs/>
          <w:color w:val="auto"/>
          <w:sz w:val="28"/>
          <w:szCs w:val="28"/>
          <w:highlight w:val="none"/>
        </w:rPr>
        <w:t>，一旦事故发生得不到及时施救，有可能会造成事故的损失增大。</w:t>
      </w:r>
    </w:p>
    <w:p w14:paraId="038BD822">
      <w:pPr>
        <w:adjustRightInd w:val="0"/>
        <w:snapToGrid w:val="0"/>
        <w:spacing w:beforeLines="0" w:afterLines="0"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（3）危化品仓库的建筑结构除要考虑自然通风和强制通风的要求外，厂区建筑物的间距若没有考虑到消防施救和人员疏散的要求，也有可能造成火情或事故的扩大。</w:t>
      </w:r>
    </w:p>
    <w:p w14:paraId="4A69F2A4">
      <w:pPr>
        <w:keepNext w:val="0"/>
        <w:keepLines w:val="0"/>
        <w:widowControl/>
        <w:suppressLineNumbers w:val="0"/>
        <w:adjustRightInd w:val="0"/>
        <w:snapToGrid w:val="0"/>
        <w:jc w:val="left"/>
        <w:rPr>
          <w:rFonts w:hint="eastAsia" w:ascii="宋体" w:hAnsi="宋体" w:eastAsia="宋体" w:cs="宋体"/>
          <w:color w:val="auto"/>
          <w:kern w:val="0"/>
          <w:sz w:val="21"/>
          <w:szCs w:val="21"/>
          <w:highlight w:val="none"/>
          <w:lang w:val="en-US" w:eastAsia="zh-CN" w:bidi="ar"/>
        </w:rPr>
        <w:sectPr>
          <w:footerReference r:id="rId13" w:type="default"/>
          <w:pgSz w:w="16838" w:h="11906" w:orient="landscape"/>
          <w:pgMar w:top="1588" w:right="1418" w:bottom="1134" w:left="1134" w:header="794" w:footer="794" w:gutter="0"/>
          <w:pgBorders>
            <w:top w:val="none" w:sz="0" w:space="0"/>
            <w:left w:val="none" w:sz="0" w:space="0"/>
            <w:bottom w:val="none" w:sz="0" w:space="0"/>
            <w:right w:val="none" w:sz="0" w:space="0"/>
          </w:pgBorders>
          <w:cols w:space="425" w:num="1"/>
          <w:docGrid w:type="lines" w:linePitch="312" w:charSpace="0"/>
        </w:sectPr>
      </w:pPr>
    </w:p>
    <w:bookmarkEnd w:id="1251"/>
    <w:bookmarkEnd w:id="1252"/>
    <w:p w14:paraId="5D3E6897">
      <w:pPr>
        <w:adjustRightInd w:val="0"/>
        <w:snapToGrid w:val="0"/>
        <w:spacing w:beforeLines="0" w:afterLines="0"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（4）危化品仓库如未采用不发火地坪，一旦物料包装破损，易燃液体、腐蚀性液体流散后，有可能引发火灾、爆炸、腐蚀的危险。</w:t>
      </w:r>
    </w:p>
    <w:p w14:paraId="3BCF3C00">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（5）危化品仓库的建筑物若基础设计、施工存在缺陷，易造成基础不均匀沉降，有可能造成建筑物倒塌事故的发生。</w:t>
      </w:r>
    </w:p>
    <w:p w14:paraId="095FA5D5">
      <w:pPr>
        <w:keepNext w:val="0"/>
        <w:keepLines w:val="0"/>
        <w:pageBreakBefore w:val="0"/>
        <w:widowControl w:val="0"/>
        <w:kinsoku/>
        <w:wordWrap/>
        <w:overflowPunct/>
        <w:topLinePunct w:val="0"/>
        <w:autoSpaceDE/>
        <w:autoSpaceDN/>
        <w:bidi w:val="0"/>
        <w:adjustRightInd w:val="0"/>
        <w:snapToGrid w:val="0"/>
        <w:spacing w:beforeLines="0" w:afterLines="0" w:line="360" w:lineRule="auto"/>
        <w:jc w:val="left"/>
        <w:textAlignment w:val="auto"/>
        <w:outlineLvl w:val="2"/>
        <w:rPr>
          <w:rFonts w:hint="eastAsia" w:ascii="黑体" w:hAnsi="黑体" w:eastAsia="黑体" w:cs="黑体"/>
          <w:b/>
          <w:bCs/>
          <w:color w:val="auto"/>
          <w:kern w:val="0"/>
          <w:sz w:val="28"/>
          <w:szCs w:val="28"/>
          <w:highlight w:val="none"/>
          <w:lang w:val="en-GB"/>
        </w:rPr>
      </w:pPr>
      <w:bookmarkStart w:id="1262" w:name="_Toc21775"/>
      <w:bookmarkStart w:id="1263" w:name="_Toc8768"/>
      <w:bookmarkStart w:id="1264" w:name="_Toc14445"/>
      <w:bookmarkStart w:id="1265" w:name="_Toc27639"/>
      <w:bookmarkStart w:id="1266" w:name="_Toc60846614"/>
      <w:bookmarkStart w:id="1267" w:name="_Toc12204"/>
      <w:bookmarkStart w:id="1268" w:name="_Toc4188"/>
      <w:bookmarkStart w:id="1269" w:name="_Toc25940"/>
      <w:bookmarkStart w:id="1270" w:name="_Toc9272"/>
      <w:bookmarkStart w:id="1271" w:name="_Toc8116"/>
      <w:bookmarkStart w:id="1272" w:name="_Toc6401"/>
      <w:bookmarkStart w:id="1273" w:name="_Toc11959"/>
      <w:bookmarkStart w:id="1274" w:name="_Toc28193"/>
      <w:bookmarkStart w:id="1275" w:name="_Toc20930"/>
      <w:bookmarkStart w:id="1276" w:name="_Toc31373"/>
      <w:bookmarkStart w:id="1277" w:name="_Toc8966"/>
      <w:bookmarkStart w:id="1278" w:name="_Toc4068"/>
      <w:bookmarkStart w:id="1279" w:name="_Toc26615"/>
      <w:bookmarkStart w:id="1280" w:name="_Toc498075599"/>
      <w:r>
        <w:rPr>
          <w:rFonts w:hint="eastAsia" w:ascii="黑体" w:hAnsi="黑体" w:eastAsia="黑体" w:cs="黑体"/>
          <w:b/>
          <w:bCs/>
          <w:color w:val="auto"/>
          <w:kern w:val="0"/>
          <w:sz w:val="28"/>
          <w:szCs w:val="28"/>
          <w:highlight w:val="none"/>
          <w:lang w:val="en-GB"/>
        </w:rPr>
        <w:t>3.</w:t>
      </w:r>
      <w:bookmarkStart w:id="1281" w:name="_Toc198521502"/>
      <w:bookmarkStart w:id="1282" w:name="_Toc449456900"/>
      <w:bookmarkStart w:id="1283" w:name="_Toc42843746"/>
      <w:bookmarkStart w:id="1284" w:name="_Toc190762575"/>
      <w:bookmarkStart w:id="1285" w:name="_Toc198457574"/>
      <w:bookmarkStart w:id="1286" w:name="_Toc449456809"/>
      <w:bookmarkStart w:id="1287" w:name="_Toc234394508"/>
      <w:r>
        <w:rPr>
          <w:rFonts w:hint="eastAsia" w:ascii="黑体" w:hAnsi="黑体" w:eastAsia="黑体" w:cs="黑体"/>
          <w:b/>
          <w:bCs/>
          <w:color w:val="auto"/>
          <w:kern w:val="0"/>
          <w:sz w:val="28"/>
          <w:szCs w:val="28"/>
          <w:highlight w:val="none"/>
          <w:lang w:val="en-US" w:eastAsia="zh-CN"/>
        </w:rPr>
        <w:t xml:space="preserve">2.5 </w:t>
      </w:r>
      <w:r>
        <w:rPr>
          <w:rFonts w:hint="eastAsia" w:ascii="黑体" w:hAnsi="黑体" w:eastAsia="黑体" w:cs="黑体"/>
          <w:b/>
          <w:bCs/>
          <w:color w:val="auto"/>
          <w:kern w:val="0"/>
          <w:sz w:val="28"/>
          <w:szCs w:val="28"/>
          <w:highlight w:val="none"/>
          <w:lang w:val="en-GB"/>
        </w:rPr>
        <w:t>设备设施的危险、有害因素</w:t>
      </w:r>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1"/>
      <w:bookmarkEnd w:id="1282"/>
      <w:bookmarkEnd w:id="1283"/>
      <w:bookmarkEnd w:id="1284"/>
      <w:bookmarkEnd w:id="1285"/>
      <w:bookmarkEnd w:id="1286"/>
      <w:bookmarkEnd w:id="1287"/>
    </w:p>
    <w:p w14:paraId="2445FD1B">
      <w:pPr>
        <w:keepNext w:val="0"/>
        <w:keepLines w:val="0"/>
        <w:pageBreakBefore w:val="0"/>
        <w:widowControl w:val="0"/>
        <w:numPr>
          <w:ilvl w:val="0"/>
          <w:numId w:val="26"/>
        </w:numPr>
        <w:kinsoku/>
        <w:wordWrap/>
        <w:overflowPunct/>
        <w:topLinePunct w:val="0"/>
        <w:autoSpaceDE/>
        <w:autoSpaceDN/>
        <w:bidi w:val="0"/>
        <w:adjustRightInd w:val="0"/>
        <w:snapToGrid w:val="0"/>
        <w:spacing w:beforeLines="0" w:after="0" w:afterLines="0" w:line="360" w:lineRule="auto"/>
        <w:ind w:left="0" w:firstLine="560" w:firstLineChars="200"/>
        <w:textAlignment w:val="auto"/>
        <w:outlineLvl w:val="9"/>
        <w:rPr>
          <w:rFonts w:hint="eastAsia" w:ascii="宋体" w:hAnsi="宋体" w:eastAsia="宋体" w:cs="宋体"/>
          <w:b w:val="0"/>
          <w:bCs w:val="0"/>
          <w:color w:val="auto"/>
          <w:sz w:val="28"/>
          <w:szCs w:val="28"/>
          <w:highlight w:val="none"/>
        </w:rPr>
      </w:pPr>
      <w:bookmarkStart w:id="1288" w:name="_Toc42843747"/>
      <w:bookmarkStart w:id="1289" w:name="_Toc60846615"/>
      <w:r>
        <w:rPr>
          <w:rFonts w:hint="eastAsia" w:ascii="宋体" w:hAnsi="宋体" w:eastAsia="宋体" w:cs="宋体"/>
          <w:b w:val="0"/>
          <w:bCs w:val="0"/>
          <w:color w:val="auto"/>
          <w:sz w:val="28"/>
          <w:szCs w:val="28"/>
          <w:highlight w:val="none"/>
        </w:rPr>
        <w:t>特种设备危险有害、因素分析</w:t>
      </w:r>
      <w:bookmarkEnd w:id="1288"/>
      <w:bookmarkEnd w:id="1289"/>
    </w:p>
    <w:p w14:paraId="5C66C2D2">
      <w:pPr>
        <w:adjustRightInd w:val="0"/>
        <w:snapToGrid w:val="0"/>
        <w:spacing w:beforeLines="0" w:after="0" w:afterLines="0" w:line="360" w:lineRule="auto"/>
        <w:ind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叉车未按特种设备的要求进行制造、安装、检验和维修，存在故障或缺陷；操作人员无证操作或不按安全技术规程操作，可能造成车辆伤害等意外事故。厂内机动车辆未按规定行驶、停放，容易发生车辆伤害事故。</w:t>
      </w:r>
    </w:p>
    <w:p w14:paraId="188E2518">
      <w:pPr>
        <w:numPr>
          <w:ilvl w:val="0"/>
          <w:numId w:val="26"/>
        </w:numPr>
        <w:adjustRightInd w:val="0"/>
        <w:snapToGrid w:val="0"/>
        <w:spacing w:beforeLines="0" w:after="0" w:afterLines="0" w:line="360" w:lineRule="auto"/>
        <w:ind w:left="0" w:firstLine="560" w:firstLineChars="200"/>
        <w:outlineLvl w:val="9"/>
        <w:rPr>
          <w:rFonts w:hint="eastAsia" w:ascii="宋体" w:hAnsi="宋体" w:eastAsia="宋体" w:cs="宋体"/>
          <w:b w:val="0"/>
          <w:bCs w:val="0"/>
          <w:color w:val="auto"/>
          <w:sz w:val="28"/>
          <w:szCs w:val="28"/>
          <w:highlight w:val="none"/>
        </w:rPr>
      </w:pPr>
      <w:bookmarkStart w:id="1290" w:name="_Toc60846616"/>
      <w:r>
        <w:rPr>
          <w:rFonts w:hint="eastAsia" w:ascii="宋体" w:hAnsi="宋体" w:eastAsia="宋体" w:cs="宋体"/>
          <w:b w:val="0"/>
          <w:bCs w:val="0"/>
          <w:color w:val="auto"/>
          <w:sz w:val="28"/>
          <w:szCs w:val="28"/>
          <w:highlight w:val="none"/>
        </w:rPr>
        <w:t>电气设备的危险、有害因素</w:t>
      </w:r>
      <w:bookmarkEnd w:id="1290"/>
    </w:p>
    <w:p w14:paraId="5FFCE14D">
      <w:pPr>
        <w:numPr>
          <w:ilvl w:val="0"/>
          <w:numId w:val="27"/>
        </w:numPr>
        <w:adjustRightInd w:val="0"/>
        <w:snapToGrid w:val="0"/>
        <w:spacing w:beforeLines="0" w:after="0" w:afterLines="0" w:line="360" w:lineRule="auto"/>
        <w:ind w:left="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电气设备若不能满足国家指定机构的安全认证标准，可能导致触电的危险。</w:t>
      </w:r>
    </w:p>
    <w:p w14:paraId="3F2A2A9F">
      <w:pPr>
        <w:numPr>
          <w:ilvl w:val="0"/>
          <w:numId w:val="27"/>
        </w:numPr>
        <w:adjustRightInd w:val="0"/>
        <w:snapToGrid w:val="0"/>
        <w:spacing w:beforeLines="0" w:after="0" w:afterLines="0" w:line="360" w:lineRule="auto"/>
        <w:ind w:left="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电气设备防护性能遭到损害或降低易导致火灾、爆炸、触电事故。</w:t>
      </w:r>
    </w:p>
    <w:p w14:paraId="1AB2424B">
      <w:pPr>
        <w:numPr>
          <w:ilvl w:val="0"/>
          <w:numId w:val="27"/>
        </w:numPr>
        <w:adjustRightInd w:val="0"/>
        <w:snapToGrid w:val="0"/>
        <w:spacing w:beforeLines="0" w:after="0" w:afterLines="0" w:line="360" w:lineRule="auto"/>
        <w:ind w:left="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电气线路超载引起过热而导致短路或导体间的连接不良而引起发热起火，有可能导致火灾、爆炸、触电事故的发生。</w:t>
      </w:r>
    </w:p>
    <w:p w14:paraId="5C7E6335">
      <w:pPr>
        <w:numPr>
          <w:ilvl w:val="0"/>
          <w:numId w:val="27"/>
        </w:numPr>
        <w:adjustRightInd w:val="0"/>
        <w:snapToGrid w:val="0"/>
        <w:spacing w:beforeLines="0" w:after="0" w:afterLines="0" w:line="360" w:lineRule="auto"/>
        <w:ind w:left="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高温或电火花也可引燃近旁可燃物而起火，甚至引发火灾事故。</w:t>
      </w:r>
    </w:p>
    <w:p w14:paraId="4F01A67B">
      <w:pPr>
        <w:numPr>
          <w:ilvl w:val="0"/>
          <w:numId w:val="27"/>
        </w:numPr>
        <w:adjustRightInd w:val="0"/>
        <w:snapToGrid w:val="0"/>
        <w:spacing w:beforeLines="0" w:after="0" w:afterLines="0" w:line="360" w:lineRule="auto"/>
        <w:ind w:left="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防雷击等电气连接措施不力可能导致火灾、爆炸、电击事故。</w:t>
      </w:r>
    </w:p>
    <w:p w14:paraId="096A3315">
      <w:pPr>
        <w:numPr>
          <w:ilvl w:val="0"/>
          <w:numId w:val="27"/>
        </w:numPr>
        <w:adjustRightInd w:val="0"/>
        <w:snapToGrid w:val="0"/>
        <w:spacing w:beforeLines="0" w:after="0" w:afterLines="0" w:line="360" w:lineRule="auto"/>
        <w:ind w:left="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对火灾、爆炸的危险场所内可能产生静电危险的设备、管线、设施，若没有采取有效</w:t>
      </w:r>
      <w:r>
        <w:rPr>
          <w:rFonts w:hint="eastAsia" w:ascii="宋体" w:hAnsi="宋体" w:cs="宋体"/>
          <w:b w:val="0"/>
          <w:bCs w:val="0"/>
          <w:color w:val="auto"/>
          <w:sz w:val="28"/>
          <w:szCs w:val="28"/>
          <w:highlight w:val="none"/>
          <w:lang w:eastAsia="zh-CN"/>
        </w:rPr>
        <w:t>地</w:t>
      </w:r>
      <w:r>
        <w:rPr>
          <w:rFonts w:hint="eastAsia" w:ascii="宋体" w:hAnsi="宋体" w:eastAsia="宋体" w:cs="宋体"/>
          <w:b w:val="0"/>
          <w:bCs w:val="0"/>
          <w:color w:val="auto"/>
          <w:sz w:val="28"/>
          <w:szCs w:val="28"/>
          <w:highlight w:val="none"/>
        </w:rPr>
        <w:t>消除静电接地措施，有可能累积静电，发生放电产生火花，若遇到爆炸性混合物，就会引起火灾爆炸事故。另外上述场所也可能由于未设置防雷措施或接地不良，产生雷电火花导致火灾、爆炸事故。</w:t>
      </w:r>
    </w:p>
    <w:p w14:paraId="14766D38">
      <w:pPr>
        <w:numPr>
          <w:ilvl w:val="0"/>
          <w:numId w:val="26"/>
        </w:numPr>
        <w:adjustRightInd w:val="0"/>
        <w:snapToGrid w:val="0"/>
        <w:spacing w:beforeLines="0" w:after="0" w:afterLines="0" w:line="360" w:lineRule="auto"/>
        <w:ind w:left="0" w:firstLine="560" w:firstLineChars="200"/>
        <w:outlineLvl w:val="9"/>
        <w:rPr>
          <w:rFonts w:hint="eastAsia" w:ascii="宋体" w:hAnsi="宋体" w:eastAsia="宋体" w:cs="宋体"/>
          <w:b w:val="0"/>
          <w:bCs w:val="0"/>
          <w:color w:val="auto"/>
          <w:kern w:val="2"/>
          <w:sz w:val="28"/>
          <w:szCs w:val="28"/>
          <w:highlight w:val="none"/>
          <w:lang w:val="en-GB"/>
        </w:rPr>
      </w:pPr>
      <w:bookmarkStart w:id="1291" w:name="_Toc527447093"/>
      <w:bookmarkStart w:id="1292" w:name="_Toc31801"/>
      <w:bookmarkStart w:id="1293" w:name="_Toc29897"/>
      <w:bookmarkStart w:id="1294" w:name="_Toc21459"/>
      <w:bookmarkStart w:id="1295" w:name="_Toc9591"/>
      <w:bookmarkStart w:id="1296" w:name="_Toc11697"/>
      <w:bookmarkStart w:id="1297" w:name="_Toc5563"/>
      <w:r>
        <w:rPr>
          <w:rFonts w:hint="eastAsia" w:ascii="宋体" w:hAnsi="宋体" w:eastAsia="宋体" w:cs="宋体"/>
          <w:b w:val="0"/>
          <w:bCs w:val="0"/>
          <w:color w:val="auto"/>
          <w:kern w:val="2"/>
          <w:sz w:val="28"/>
          <w:szCs w:val="28"/>
          <w:highlight w:val="none"/>
          <w:lang w:val="en-GB"/>
        </w:rPr>
        <w:t>安全设施的危险、有害因素</w:t>
      </w:r>
      <w:bookmarkEnd w:id="1291"/>
      <w:r>
        <w:rPr>
          <w:rFonts w:hint="eastAsia" w:ascii="宋体" w:hAnsi="宋体" w:eastAsia="宋体" w:cs="宋体"/>
          <w:b w:val="0"/>
          <w:bCs w:val="0"/>
          <w:color w:val="auto"/>
          <w:kern w:val="2"/>
          <w:sz w:val="28"/>
          <w:szCs w:val="28"/>
          <w:highlight w:val="none"/>
          <w:lang w:val="en-GB"/>
        </w:rPr>
        <w:t>分析</w:t>
      </w:r>
      <w:bookmarkEnd w:id="1292"/>
      <w:bookmarkEnd w:id="1293"/>
      <w:bookmarkEnd w:id="1294"/>
      <w:bookmarkEnd w:id="1295"/>
      <w:bookmarkEnd w:id="1296"/>
      <w:bookmarkEnd w:id="1297"/>
    </w:p>
    <w:p w14:paraId="1C8CE878">
      <w:pPr>
        <w:numPr>
          <w:ilvl w:val="0"/>
          <w:numId w:val="28"/>
        </w:numPr>
        <w:adjustRightInd w:val="0"/>
        <w:snapToGrid w:val="0"/>
        <w:spacing w:beforeLines="0" w:after="0" w:afterLines="0" w:line="360" w:lineRule="auto"/>
        <w:ind w:left="0" w:firstLine="560" w:firstLineChars="200"/>
        <w:rPr>
          <w:rFonts w:hint="eastAsia" w:ascii="宋体" w:hAnsi="宋体" w:eastAsia="宋体" w:cs="宋体"/>
          <w:b w:val="0"/>
          <w:bCs w:val="0"/>
          <w:color w:val="auto"/>
          <w:kern w:val="0"/>
          <w:sz w:val="28"/>
          <w:szCs w:val="28"/>
          <w:highlight w:val="none"/>
        </w:rPr>
      </w:pPr>
      <w:r>
        <w:rPr>
          <w:rFonts w:hint="eastAsia" w:ascii="宋体" w:hAnsi="宋体" w:eastAsia="宋体" w:cs="宋体"/>
          <w:b w:val="0"/>
          <w:bCs w:val="0"/>
          <w:color w:val="auto"/>
          <w:kern w:val="0"/>
          <w:sz w:val="28"/>
          <w:szCs w:val="28"/>
          <w:highlight w:val="none"/>
          <w:lang w:eastAsia="zh-CN"/>
        </w:rPr>
        <w:t>可燃</w:t>
      </w:r>
      <w:r>
        <w:rPr>
          <w:rFonts w:hint="eastAsia" w:ascii="宋体" w:hAnsi="宋体" w:eastAsia="宋体" w:cs="宋体"/>
          <w:b w:val="0"/>
          <w:bCs w:val="0"/>
          <w:color w:val="auto"/>
          <w:kern w:val="0"/>
          <w:sz w:val="28"/>
          <w:szCs w:val="28"/>
          <w:highlight w:val="none"/>
        </w:rPr>
        <w:t>气体检测报警</w:t>
      </w:r>
      <w:r>
        <w:rPr>
          <w:rFonts w:hint="eastAsia" w:ascii="宋体" w:hAnsi="宋体" w:eastAsia="宋体" w:cs="宋体"/>
          <w:b w:val="0"/>
          <w:bCs w:val="0"/>
          <w:color w:val="auto"/>
          <w:kern w:val="0"/>
          <w:sz w:val="28"/>
          <w:szCs w:val="28"/>
          <w:highlight w:val="none"/>
          <w:lang w:eastAsia="zh-CN"/>
        </w:rPr>
        <w:t>装置</w:t>
      </w:r>
      <w:r>
        <w:rPr>
          <w:rFonts w:hint="eastAsia" w:ascii="宋体" w:hAnsi="宋体" w:cs="宋体"/>
          <w:b w:val="0"/>
          <w:bCs w:val="0"/>
          <w:color w:val="auto"/>
          <w:kern w:val="0"/>
          <w:sz w:val="28"/>
          <w:szCs w:val="28"/>
          <w:highlight w:val="none"/>
          <w:lang w:val="en-US" w:eastAsia="zh-CN"/>
        </w:rPr>
        <w:t>未定期校验以确保数据准确性，</w:t>
      </w:r>
      <w:r>
        <w:rPr>
          <w:rFonts w:hint="eastAsia" w:ascii="宋体" w:hAnsi="宋体" w:eastAsia="宋体" w:cs="宋体"/>
          <w:b w:val="0"/>
          <w:bCs w:val="0"/>
          <w:color w:val="auto"/>
          <w:kern w:val="0"/>
          <w:sz w:val="28"/>
          <w:szCs w:val="28"/>
          <w:highlight w:val="none"/>
          <w:lang w:eastAsia="zh-CN"/>
        </w:rPr>
        <w:t>数据漂移，</w:t>
      </w:r>
      <w:r>
        <w:rPr>
          <w:rFonts w:hint="eastAsia" w:ascii="宋体" w:hAnsi="宋体" w:eastAsia="宋体" w:cs="宋体"/>
          <w:b w:val="0"/>
          <w:bCs w:val="0"/>
          <w:color w:val="auto"/>
          <w:kern w:val="0"/>
          <w:sz w:val="28"/>
          <w:szCs w:val="28"/>
          <w:highlight w:val="none"/>
        </w:rPr>
        <w:t>难以保证探测作用的可靠性及事故防范预警作用。</w:t>
      </w:r>
    </w:p>
    <w:p w14:paraId="28506318">
      <w:pPr>
        <w:numPr>
          <w:ilvl w:val="0"/>
          <w:numId w:val="28"/>
        </w:numPr>
        <w:adjustRightInd w:val="0"/>
        <w:snapToGrid w:val="0"/>
        <w:spacing w:beforeLines="0" w:after="0" w:afterLines="0" w:line="360" w:lineRule="auto"/>
        <w:ind w:left="0" w:firstLine="560" w:firstLineChars="200"/>
        <w:rPr>
          <w:rFonts w:hint="eastAsia" w:ascii="宋体" w:hAnsi="宋体" w:eastAsia="宋体" w:cs="宋体"/>
          <w:b w:val="0"/>
          <w:bCs w:val="0"/>
          <w:color w:val="auto"/>
          <w:kern w:val="0"/>
          <w:sz w:val="28"/>
          <w:szCs w:val="28"/>
          <w:highlight w:val="none"/>
        </w:rPr>
      </w:pPr>
      <w:r>
        <w:rPr>
          <w:rFonts w:hint="eastAsia" w:ascii="宋体" w:hAnsi="宋体" w:eastAsia="宋体" w:cs="宋体"/>
          <w:b w:val="0"/>
          <w:bCs w:val="0"/>
          <w:color w:val="auto"/>
          <w:kern w:val="0"/>
          <w:sz w:val="28"/>
          <w:szCs w:val="28"/>
          <w:highlight w:val="none"/>
          <w:lang w:eastAsia="zh-CN"/>
        </w:rPr>
        <w:t>轴流排风机安装位置不合理、出现未开启或故障等不能正常运行情况，不能及时将危化品仓库内可燃液体蒸气从仓库排出，危化品仓库内可燃液体蒸气与空气混合物可能达到爆炸极限</w:t>
      </w:r>
      <w:r>
        <w:rPr>
          <w:rFonts w:hint="eastAsia" w:ascii="宋体" w:hAnsi="宋体" w:eastAsia="宋体" w:cs="宋体"/>
          <w:b w:val="0"/>
          <w:bCs w:val="0"/>
          <w:color w:val="auto"/>
          <w:kern w:val="0"/>
          <w:sz w:val="28"/>
          <w:szCs w:val="28"/>
          <w:highlight w:val="none"/>
        </w:rPr>
        <w:t>。</w:t>
      </w:r>
    </w:p>
    <w:p w14:paraId="6836D03D">
      <w:pPr>
        <w:numPr>
          <w:ilvl w:val="0"/>
          <w:numId w:val="28"/>
        </w:numPr>
        <w:adjustRightInd w:val="0"/>
        <w:snapToGrid w:val="0"/>
        <w:spacing w:beforeLines="0" w:after="0" w:afterLines="0" w:line="360" w:lineRule="auto"/>
        <w:ind w:left="0" w:firstLine="560" w:firstLineChars="200"/>
        <w:rPr>
          <w:rFonts w:hint="eastAsia" w:ascii="宋体" w:hAnsi="宋体" w:eastAsia="宋体" w:cs="宋体"/>
          <w:b w:val="0"/>
          <w:bCs w:val="0"/>
          <w:color w:val="auto"/>
          <w:kern w:val="0"/>
          <w:sz w:val="28"/>
          <w:szCs w:val="28"/>
          <w:highlight w:val="none"/>
        </w:rPr>
      </w:pPr>
      <w:r>
        <w:rPr>
          <w:rFonts w:hint="eastAsia" w:ascii="宋体" w:hAnsi="宋体" w:eastAsia="宋体" w:cs="宋体"/>
          <w:b w:val="0"/>
          <w:bCs w:val="0"/>
          <w:color w:val="auto"/>
          <w:kern w:val="0"/>
          <w:sz w:val="28"/>
          <w:szCs w:val="28"/>
          <w:highlight w:val="none"/>
          <w:lang w:eastAsia="zh-CN"/>
        </w:rPr>
        <w:t>空调出现未开启或故障等不能正常运行情况，不能保障危化品仓库内温度保持在危化品适宜温度范围内，可能引发事故。</w:t>
      </w:r>
    </w:p>
    <w:p w14:paraId="7AC08655">
      <w:pPr>
        <w:numPr>
          <w:ilvl w:val="0"/>
          <w:numId w:val="28"/>
        </w:numPr>
        <w:adjustRightInd w:val="0"/>
        <w:snapToGrid w:val="0"/>
        <w:spacing w:beforeLines="0" w:after="0" w:afterLines="0" w:line="360" w:lineRule="auto"/>
        <w:ind w:left="0" w:firstLine="560" w:firstLineChars="200"/>
        <w:rPr>
          <w:rFonts w:hint="eastAsia" w:ascii="宋体" w:hAnsi="宋体" w:eastAsia="宋体" w:cs="宋体"/>
          <w:b w:val="0"/>
          <w:bCs w:val="0"/>
          <w:color w:val="auto"/>
          <w:kern w:val="0"/>
          <w:sz w:val="28"/>
          <w:szCs w:val="28"/>
          <w:highlight w:val="none"/>
        </w:rPr>
      </w:pPr>
      <w:r>
        <w:rPr>
          <w:rFonts w:hint="eastAsia" w:ascii="宋体" w:hAnsi="宋体" w:eastAsia="宋体" w:cs="宋体"/>
          <w:b w:val="0"/>
          <w:bCs w:val="0"/>
          <w:color w:val="auto"/>
          <w:kern w:val="0"/>
          <w:sz w:val="28"/>
          <w:szCs w:val="28"/>
          <w:highlight w:val="none"/>
          <w:lang w:eastAsia="zh-CN"/>
        </w:rPr>
        <w:t>轴流排风机、空调、照明灯、电线等防爆电气的防爆性能缺失，可能引发事故。</w:t>
      </w:r>
    </w:p>
    <w:p w14:paraId="41647830">
      <w:pPr>
        <w:numPr>
          <w:ilvl w:val="0"/>
          <w:numId w:val="28"/>
        </w:numPr>
        <w:adjustRightInd w:val="0"/>
        <w:snapToGrid w:val="0"/>
        <w:spacing w:beforeLines="0" w:after="0" w:afterLines="0" w:line="360" w:lineRule="auto"/>
        <w:ind w:left="0" w:firstLine="560" w:firstLineChars="200"/>
        <w:rPr>
          <w:rFonts w:hint="eastAsia" w:ascii="宋体" w:hAnsi="宋体" w:eastAsia="宋体" w:cs="宋体"/>
          <w:b w:val="0"/>
          <w:bCs w:val="0"/>
          <w:color w:val="auto"/>
          <w:kern w:val="0"/>
          <w:sz w:val="28"/>
          <w:szCs w:val="28"/>
          <w:highlight w:val="none"/>
        </w:rPr>
      </w:pPr>
      <w:r>
        <w:rPr>
          <w:rFonts w:hint="eastAsia" w:ascii="宋体" w:hAnsi="宋体" w:eastAsia="宋体" w:cs="宋体"/>
          <w:b w:val="0"/>
          <w:bCs w:val="0"/>
          <w:color w:val="auto"/>
          <w:sz w:val="28"/>
          <w:szCs w:val="28"/>
          <w:highlight w:val="none"/>
          <w:lang w:eastAsia="zh-CN"/>
        </w:rPr>
        <w:t>人体静电消除器故障，不能保障导除进入危化品仓库内人员的人体静电</w:t>
      </w:r>
      <w:r>
        <w:rPr>
          <w:rFonts w:hint="eastAsia" w:ascii="宋体" w:hAnsi="宋体" w:eastAsia="宋体" w:cs="宋体"/>
          <w:b w:val="0"/>
          <w:bCs w:val="0"/>
          <w:color w:val="auto"/>
          <w:kern w:val="0"/>
          <w:sz w:val="28"/>
          <w:szCs w:val="28"/>
          <w:highlight w:val="none"/>
          <w:lang w:eastAsia="zh-CN"/>
        </w:rPr>
        <w:t>，可能引发事故。</w:t>
      </w:r>
    </w:p>
    <w:p w14:paraId="7258A96A">
      <w:pPr>
        <w:numPr>
          <w:ilvl w:val="0"/>
          <w:numId w:val="28"/>
        </w:numPr>
        <w:adjustRightInd w:val="0"/>
        <w:snapToGrid w:val="0"/>
        <w:spacing w:beforeLines="0" w:after="0" w:afterLines="0" w:line="360" w:lineRule="auto"/>
        <w:ind w:left="0" w:firstLine="560" w:firstLineChars="200"/>
        <w:rPr>
          <w:rFonts w:hint="eastAsia" w:ascii="宋体" w:hAnsi="宋体" w:eastAsia="宋体" w:cs="宋体"/>
          <w:b w:val="0"/>
          <w:bCs w:val="0"/>
          <w:color w:val="auto"/>
          <w:kern w:val="0"/>
          <w:sz w:val="28"/>
          <w:szCs w:val="28"/>
          <w:highlight w:val="none"/>
        </w:rPr>
      </w:pPr>
      <w:r>
        <w:rPr>
          <w:rFonts w:hint="eastAsia" w:ascii="宋体" w:hAnsi="宋体" w:eastAsia="宋体" w:cs="宋体"/>
          <w:b w:val="0"/>
          <w:bCs w:val="0"/>
          <w:color w:val="auto"/>
          <w:kern w:val="0"/>
          <w:sz w:val="28"/>
          <w:szCs w:val="28"/>
          <w:highlight w:val="none"/>
          <w:lang w:eastAsia="zh-CN"/>
        </w:rPr>
        <w:t>洗眼冲淋装置等不能使用可能导致紧急情况下人员得不到及时应急救治。</w:t>
      </w:r>
    </w:p>
    <w:p w14:paraId="37F5F7F1">
      <w:pPr>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1298" w:name="_Toc14733"/>
      <w:bookmarkStart w:id="1299" w:name="_Toc22046"/>
      <w:bookmarkStart w:id="1300" w:name="_Toc29244"/>
      <w:bookmarkStart w:id="1301" w:name="_Toc449456902"/>
      <w:bookmarkStart w:id="1302" w:name="_Toc13991"/>
      <w:bookmarkStart w:id="1303" w:name="_Toc238"/>
      <w:bookmarkStart w:id="1304" w:name="_Toc7114"/>
      <w:bookmarkStart w:id="1305" w:name="_Toc23435"/>
      <w:bookmarkStart w:id="1306" w:name="_Toc10309"/>
      <w:bookmarkStart w:id="1307" w:name="_Toc12422"/>
      <w:bookmarkStart w:id="1308" w:name="_Toc19471"/>
      <w:bookmarkStart w:id="1309" w:name="_Toc31729"/>
      <w:bookmarkStart w:id="1310" w:name="_Toc234394512"/>
      <w:bookmarkStart w:id="1311" w:name="_Toc22698"/>
      <w:bookmarkStart w:id="1312" w:name="_Toc60846617"/>
      <w:bookmarkStart w:id="1313" w:name="_Toc449456811"/>
      <w:bookmarkStart w:id="1314" w:name="_Toc42843750"/>
      <w:bookmarkStart w:id="1315" w:name="_Toc30306"/>
      <w:bookmarkStart w:id="1316" w:name="_Toc15541"/>
      <w:bookmarkStart w:id="1317" w:name="_Toc19429"/>
      <w:bookmarkStart w:id="1318" w:name="_Toc9539"/>
      <w:bookmarkStart w:id="1319" w:name="_Toc7030"/>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US" w:eastAsia="zh-CN"/>
        </w:rPr>
        <w:t xml:space="preserve">2.6 </w:t>
      </w:r>
      <w:r>
        <w:rPr>
          <w:rFonts w:hint="eastAsia" w:ascii="黑体" w:hAnsi="黑体" w:eastAsia="黑体" w:cs="黑体"/>
          <w:b/>
          <w:bCs/>
          <w:color w:val="auto"/>
          <w:kern w:val="0"/>
          <w:sz w:val="28"/>
          <w:szCs w:val="28"/>
          <w:highlight w:val="none"/>
          <w:lang w:val="en-GB"/>
        </w:rPr>
        <w:t>检维修作业的危险、有害因素</w:t>
      </w:r>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p>
    <w:p w14:paraId="7FD6F198">
      <w:pPr>
        <w:numPr>
          <w:ilvl w:val="0"/>
          <w:numId w:val="29"/>
        </w:numPr>
        <w:adjustRightInd w:val="0"/>
        <w:snapToGrid w:val="0"/>
        <w:spacing w:beforeLines="0" w:afterLines="0" w:line="360" w:lineRule="auto"/>
        <w:ind w:left="0" w:firstLine="560" w:firstLineChars="200"/>
        <w:rPr>
          <w:rFonts w:hint="eastAsia"/>
          <w:color w:val="auto"/>
          <w:sz w:val="28"/>
          <w:szCs w:val="28"/>
          <w:highlight w:val="none"/>
        </w:rPr>
      </w:pPr>
      <w:r>
        <w:rPr>
          <w:rFonts w:hint="eastAsia"/>
          <w:color w:val="auto"/>
          <w:sz w:val="28"/>
          <w:szCs w:val="28"/>
          <w:highlight w:val="none"/>
        </w:rPr>
        <w:t>如果未严格执行危险作业安全管理制度；危险作业未采取可靠的防范措施和未经领导和主管部门批准，没办理好作业单前，就擅自作业；或作业未完成监护人离开现场等有产生火灾、爆炸的危险。</w:t>
      </w:r>
    </w:p>
    <w:p w14:paraId="3627EEF5">
      <w:pPr>
        <w:numPr>
          <w:ilvl w:val="0"/>
          <w:numId w:val="29"/>
        </w:numPr>
        <w:adjustRightInd w:val="0"/>
        <w:snapToGrid w:val="0"/>
        <w:spacing w:beforeLines="0" w:afterLines="0" w:line="360" w:lineRule="auto"/>
        <w:ind w:left="0" w:firstLine="560" w:firstLineChars="200"/>
        <w:rPr>
          <w:color w:val="auto"/>
          <w:sz w:val="28"/>
          <w:szCs w:val="28"/>
          <w:highlight w:val="none"/>
        </w:rPr>
      </w:pPr>
      <w:r>
        <w:rPr>
          <w:rFonts w:hint="eastAsia"/>
          <w:color w:val="auto"/>
          <w:sz w:val="28"/>
          <w:szCs w:val="28"/>
          <w:highlight w:val="none"/>
        </w:rPr>
        <w:t>所有电气设备检修前，检修人员若未按要求办理临时停电票，通知电工停电。或未挂上“正在检修”的警示牌。电工或非工作人员失误送电而产生触电事故。</w:t>
      </w:r>
    </w:p>
    <w:p w14:paraId="0713F67F">
      <w:pPr>
        <w:numPr>
          <w:ilvl w:val="0"/>
          <w:numId w:val="29"/>
        </w:numPr>
        <w:adjustRightInd w:val="0"/>
        <w:snapToGrid w:val="0"/>
        <w:spacing w:beforeLines="0" w:afterLines="0" w:line="360" w:lineRule="auto"/>
        <w:ind w:left="0" w:firstLine="560" w:firstLineChars="200"/>
        <w:rPr>
          <w:rFonts w:hint="eastAsia"/>
          <w:color w:val="auto"/>
          <w:kern w:val="2"/>
          <w:sz w:val="28"/>
          <w:szCs w:val="28"/>
          <w:highlight w:val="none"/>
        </w:rPr>
      </w:pPr>
      <w:r>
        <w:rPr>
          <w:rFonts w:hint="eastAsia"/>
          <w:color w:val="auto"/>
          <w:kern w:val="2"/>
          <w:sz w:val="28"/>
          <w:szCs w:val="28"/>
          <w:highlight w:val="none"/>
        </w:rPr>
        <w:t>高处作业时爬梯不牢固，违章作业，作业人员有</w:t>
      </w:r>
      <w:r>
        <w:rPr>
          <w:rFonts w:hint="eastAsia"/>
          <w:color w:val="auto"/>
          <w:kern w:val="2"/>
          <w:sz w:val="28"/>
          <w:szCs w:val="28"/>
          <w:highlight w:val="none"/>
          <w:lang w:eastAsia="zh-CN"/>
        </w:rPr>
        <w:t>禁忌证</w:t>
      </w:r>
      <w:r>
        <w:rPr>
          <w:rFonts w:hint="eastAsia"/>
          <w:color w:val="auto"/>
          <w:kern w:val="2"/>
          <w:sz w:val="28"/>
          <w:szCs w:val="28"/>
          <w:highlight w:val="none"/>
        </w:rPr>
        <w:t>，未正确使用安全用具等，可导致高处坠落事故。</w:t>
      </w:r>
    </w:p>
    <w:p w14:paraId="0C0AFBE9">
      <w:pPr>
        <w:numPr>
          <w:ilvl w:val="0"/>
          <w:numId w:val="29"/>
        </w:numPr>
        <w:adjustRightInd w:val="0"/>
        <w:snapToGrid w:val="0"/>
        <w:spacing w:beforeLines="0" w:afterLines="0" w:line="360" w:lineRule="auto"/>
        <w:ind w:left="0" w:firstLine="560" w:firstLineChars="200"/>
        <w:rPr>
          <w:rFonts w:hint="eastAsia"/>
          <w:color w:val="auto"/>
          <w:kern w:val="2"/>
          <w:sz w:val="28"/>
          <w:szCs w:val="28"/>
          <w:highlight w:val="none"/>
        </w:rPr>
      </w:pPr>
      <w:r>
        <w:rPr>
          <w:rFonts w:hint="eastAsia"/>
          <w:color w:val="auto"/>
          <w:kern w:val="2"/>
          <w:sz w:val="28"/>
          <w:szCs w:val="28"/>
          <w:highlight w:val="none"/>
        </w:rPr>
        <w:t>设备、工具等如果安装、放置不稳固，从高处落下，可造成物体打击事故。</w:t>
      </w:r>
    </w:p>
    <w:p w14:paraId="09494BC1">
      <w:pPr>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1320" w:name="_Toc13792"/>
      <w:bookmarkStart w:id="1321" w:name="_Toc25706"/>
      <w:bookmarkStart w:id="1322" w:name="_Toc19036"/>
      <w:bookmarkStart w:id="1323" w:name="_Toc9941"/>
      <w:bookmarkStart w:id="1324" w:name="_Toc12289"/>
      <w:bookmarkStart w:id="1325" w:name="_Toc10494"/>
      <w:bookmarkStart w:id="1326" w:name="_Toc21200"/>
      <w:bookmarkStart w:id="1327" w:name="_Toc5572"/>
      <w:bookmarkStart w:id="1328" w:name="_Toc12548"/>
      <w:bookmarkStart w:id="1329" w:name="_Toc32454"/>
      <w:bookmarkStart w:id="1330" w:name="_Toc18337"/>
      <w:bookmarkStart w:id="1331" w:name="_Toc28631"/>
      <w:bookmarkStart w:id="1332" w:name="_Toc60846618"/>
      <w:bookmarkStart w:id="1333" w:name="_Toc24225"/>
      <w:bookmarkStart w:id="1334" w:name="_Toc18426"/>
      <w:bookmarkStart w:id="1335" w:name="_Toc25459"/>
      <w:bookmarkStart w:id="1336" w:name="_Toc28016"/>
      <w:bookmarkStart w:id="1337" w:name="_Toc4226"/>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US" w:eastAsia="zh-CN"/>
        </w:rPr>
        <w:t xml:space="preserve">2.7 </w:t>
      </w:r>
      <w:r>
        <w:rPr>
          <w:rFonts w:hint="eastAsia" w:ascii="黑体" w:hAnsi="黑体" w:eastAsia="黑体" w:cs="黑体"/>
          <w:b/>
          <w:bCs/>
          <w:color w:val="auto"/>
          <w:kern w:val="0"/>
          <w:sz w:val="28"/>
          <w:szCs w:val="28"/>
          <w:highlight w:val="none"/>
          <w:lang w:val="en-GB"/>
        </w:rPr>
        <w:t>安全管理方面的危险、有害因素</w:t>
      </w:r>
      <w:bookmarkEnd w:id="1280"/>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p>
    <w:p w14:paraId="0B240E20">
      <w:pPr>
        <w:adjustRightInd w:val="0"/>
        <w:snapToGrid w:val="0"/>
        <w:spacing w:beforeLines="0" w:afterLines="0" w:line="360" w:lineRule="auto"/>
        <w:ind w:firstLine="560" w:firstLineChars="200"/>
        <w:rPr>
          <w:rFonts w:ascii="Times New Roman" w:hAnsi="Times New Roman" w:cs="Times New Roman"/>
          <w:bCs/>
          <w:color w:val="auto"/>
          <w:sz w:val="28"/>
          <w:szCs w:val="28"/>
          <w:highlight w:val="none"/>
        </w:rPr>
      </w:pPr>
      <w:r>
        <w:rPr>
          <w:rFonts w:hint="eastAsia" w:ascii="Times New Roman" w:hAnsi="Times New Roman" w:cs="Times New Roman"/>
          <w:bCs/>
          <w:color w:val="auto"/>
          <w:sz w:val="28"/>
          <w:szCs w:val="28"/>
          <w:highlight w:val="none"/>
        </w:rPr>
        <w:t>安全管理是企业安全生产的重要保障。没有完善的安全管理组织机构和人员配置；没有健全的安全生产责任制、安全管理制度、安全操作规程及完善的安全生产条件；主要负责人、</w:t>
      </w:r>
      <w:r>
        <w:rPr>
          <w:rFonts w:hint="eastAsia" w:ascii="Times New Roman" w:hAnsi="Times New Roman" w:cs="Times New Roman"/>
          <w:bCs/>
          <w:color w:val="auto"/>
          <w:sz w:val="28"/>
          <w:szCs w:val="28"/>
          <w:highlight w:val="none"/>
          <w:lang w:eastAsia="zh-CN"/>
        </w:rPr>
        <w:t>安全生产管理人员、特种设备作业人员</w:t>
      </w:r>
      <w:r>
        <w:rPr>
          <w:rFonts w:hint="eastAsia" w:ascii="Times New Roman" w:hAnsi="Times New Roman" w:cs="Times New Roman"/>
          <w:bCs/>
          <w:color w:val="auto"/>
          <w:sz w:val="28"/>
          <w:szCs w:val="28"/>
          <w:highlight w:val="none"/>
        </w:rPr>
        <w:t>和特种作业人员未经安全管理部门培训并取得上岗证，仓库管理人员</w:t>
      </w:r>
      <w:r>
        <w:rPr>
          <w:rFonts w:hint="eastAsia" w:ascii="Times New Roman" w:hAnsi="Times New Roman" w:cs="Times New Roman"/>
          <w:bCs/>
          <w:color w:val="auto"/>
          <w:sz w:val="28"/>
          <w:szCs w:val="28"/>
          <w:highlight w:val="none"/>
          <w:lang w:eastAsia="zh-CN"/>
        </w:rPr>
        <w:t>等</w:t>
      </w:r>
      <w:r>
        <w:rPr>
          <w:rFonts w:hint="eastAsia" w:ascii="Times New Roman" w:hAnsi="Times New Roman" w:cs="Times New Roman"/>
          <w:bCs/>
          <w:color w:val="auto"/>
          <w:sz w:val="28"/>
          <w:szCs w:val="28"/>
          <w:highlight w:val="none"/>
        </w:rPr>
        <w:t>从业人员未进行培训、教育并经考核</w:t>
      </w:r>
      <w:r>
        <w:rPr>
          <w:rFonts w:hint="eastAsia" w:ascii="Times New Roman" w:hAnsi="Times New Roman" w:cs="Times New Roman"/>
          <w:bCs/>
          <w:color w:val="auto"/>
          <w:sz w:val="28"/>
          <w:szCs w:val="28"/>
          <w:highlight w:val="none"/>
          <w:lang w:eastAsia="zh-CN"/>
        </w:rPr>
        <w:t>合格</w:t>
      </w:r>
      <w:r>
        <w:rPr>
          <w:rFonts w:hint="eastAsia" w:ascii="Times New Roman" w:hAnsi="Times New Roman" w:cs="Times New Roman"/>
          <w:bCs/>
          <w:color w:val="auto"/>
          <w:sz w:val="28"/>
          <w:szCs w:val="28"/>
          <w:highlight w:val="none"/>
        </w:rPr>
        <w:t>就上岗；没有足够的安全投入和安全设施，未按国家有关标准、规范对安全生产进行监督与日常检查、记录；未</w:t>
      </w:r>
      <w:r>
        <w:rPr>
          <w:rFonts w:hint="eastAsia" w:ascii="Times New Roman" w:hAnsi="Times New Roman" w:cs="Times New Roman"/>
          <w:bCs/>
          <w:color w:val="auto"/>
          <w:sz w:val="28"/>
          <w:szCs w:val="28"/>
          <w:highlight w:val="none"/>
          <w:lang w:eastAsia="zh-CN"/>
        </w:rPr>
        <w:t>制定</w:t>
      </w:r>
      <w:r>
        <w:rPr>
          <w:rFonts w:hint="eastAsia" w:ascii="Times New Roman" w:hAnsi="Times New Roman" w:cs="Times New Roman"/>
          <w:bCs/>
          <w:color w:val="auto"/>
          <w:sz w:val="28"/>
          <w:szCs w:val="28"/>
          <w:highlight w:val="none"/>
        </w:rPr>
        <w:t>事故应急救援预案并进行演练等；均有可能导致事故的发生或发生事故后引起事故的进一步扩大和蔓延。</w:t>
      </w:r>
    </w:p>
    <w:p w14:paraId="4A641D1A">
      <w:pPr>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1338" w:name="_Toc3986"/>
      <w:bookmarkStart w:id="1339" w:name="_Toc16047"/>
      <w:bookmarkStart w:id="1340" w:name="_Toc20351"/>
      <w:bookmarkStart w:id="1341" w:name="_Toc498075600"/>
      <w:bookmarkStart w:id="1342" w:name="_Toc24403"/>
      <w:bookmarkStart w:id="1343" w:name="_Toc1303"/>
      <w:bookmarkStart w:id="1344" w:name="_Toc11008"/>
      <w:bookmarkStart w:id="1345" w:name="_Toc10242"/>
      <w:bookmarkStart w:id="1346" w:name="_Toc22185"/>
      <w:bookmarkStart w:id="1347" w:name="_Toc17470"/>
      <w:bookmarkStart w:id="1348" w:name="_Toc60846619"/>
      <w:bookmarkStart w:id="1349" w:name="_Toc15464"/>
      <w:bookmarkStart w:id="1350" w:name="_Toc8144"/>
      <w:bookmarkStart w:id="1351" w:name="_Toc157"/>
      <w:bookmarkStart w:id="1352" w:name="_Toc12257"/>
      <w:bookmarkStart w:id="1353" w:name="_Toc2035"/>
      <w:bookmarkStart w:id="1354" w:name="_Toc29769"/>
      <w:bookmarkStart w:id="1355" w:name="_Toc1865"/>
      <w:bookmarkStart w:id="1356" w:name="_Toc13616"/>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US" w:eastAsia="zh-CN"/>
        </w:rPr>
        <w:t xml:space="preserve">2.8 </w:t>
      </w:r>
      <w:r>
        <w:rPr>
          <w:rFonts w:hint="eastAsia" w:ascii="黑体" w:hAnsi="黑体" w:eastAsia="黑体" w:cs="黑体"/>
          <w:b/>
          <w:bCs/>
          <w:color w:val="auto"/>
          <w:kern w:val="0"/>
          <w:sz w:val="28"/>
          <w:szCs w:val="28"/>
          <w:highlight w:val="none"/>
          <w:lang w:val="en-GB"/>
        </w:rPr>
        <w:t>其他危险、危害因素分析</w:t>
      </w:r>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p>
    <w:p w14:paraId="45E4B479">
      <w:pPr>
        <w:numPr>
          <w:ilvl w:val="0"/>
          <w:numId w:val="30"/>
        </w:numPr>
        <w:adjustRightInd w:val="0"/>
        <w:snapToGrid w:val="0"/>
        <w:spacing w:beforeLines="0" w:afterLines="0" w:line="360" w:lineRule="auto"/>
        <w:ind w:left="0" w:firstLine="560" w:firstLineChars="200"/>
        <w:rPr>
          <w:rFonts w:hint="eastAsia" w:ascii="宋体" w:hAnsi="宋体" w:eastAsia="宋体" w:cs="宋体"/>
          <w:color w:val="auto"/>
          <w:kern w:val="0"/>
          <w:sz w:val="28"/>
          <w:szCs w:val="28"/>
          <w:highlight w:val="none"/>
        </w:rPr>
      </w:pPr>
      <w:bookmarkStart w:id="1357" w:name="_Toc498075601"/>
      <w:bookmarkStart w:id="1358" w:name="_Toc60846620"/>
      <w:r>
        <w:rPr>
          <w:rFonts w:hint="eastAsia" w:ascii="宋体" w:hAnsi="宋体" w:eastAsia="宋体" w:cs="宋体"/>
          <w:color w:val="auto"/>
          <w:kern w:val="0"/>
          <w:sz w:val="28"/>
          <w:szCs w:val="28"/>
          <w:highlight w:val="none"/>
        </w:rPr>
        <w:t>高、低温</w:t>
      </w:r>
      <w:r>
        <w:rPr>
          <w:rFonts w:hint="eastAsia" w:ascii="宋体" w:hAnsi="宋体" w:eastAsia="宋体" w:cs="宋体"/>
          <w:color w:val="auto"/>
          <w:kern w:val="0"/>
          <w:sz w:val="28"/>
          <w:szCs w:val="28"/>
          <w:highlight w:val="none"/>
          <w:lang w:eastAsia="zh-CN"/>
        </w:rPr>
        <w:t>伤害</w:t>
      </w:r>
    </w:p>
    <w:p w14:paraId="61011522">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因本地区夏季气温较高，冬季气温较低，且湿度较大，年平均相对湿度为80.9%，因此给这些岗位上作业人员带来一定的危害。高温对人体的危害主要表现为对机体热平衡系统、心血管系统、消化系统、肝脏及水盐代谢功能等产生影响。低温对人体的危害则主要表现为使人体生理功能发生适应性改变，明显影响工作能力和造成</w:t>
      </w:r>
      <w:r>
        <w:rPr>
          <w:rFonts w:hint="eastAsia" w:ascii="宋体" w:hAnsi="宋体" w:eastAsia="宋体" w:cs="宋体"/>
          <w:color w:val="auto"/>
          <w:kern w:val="0"/>
          <w:sz w:val="28"/>
          <w:szCs w:val="28"/>
          <w:highlight w:val="none"/>
          <w:lang w:eastAsia="zh-CN"/>
        </w:rPr>
        <w:t>机体</w:t>
      </w:r>
      <w:r>
        <w:rPr>
          <w:rFonts w:hint="eastAsia" w:ascii="宋体" w:hAnsi="宋体" w:eastAsia="宋体" w:cs="宋体"/>
          <w:color w:val="auto"/>
          <w:kern w:val="0"/>
          <w:sz w:val="28"/>
          <w:szCs w:val="28"/>
          <w:highlight w:val="none"/>
        </w:rPr>
        <w:t>伤害如发生冻疮和冻伤。严重时会由于人的肌体冻僵而导致工伤事故的发生。</w:t>
      </w:r>
    </w:p>
    <w:bookmarkEnd w:id="1357"/>
    <w:bookmarkEnd w:id="1358"/>
    <w:p w14:paraId="7DB339C4">
      <w:pPr>
        <w:adjustRightInd w:val="0"/>
        <w:snapToGrid w:val="0"/>
        <w:spacing w:beforeLines="0" w:afterLines="0" w:line="360" w:lineRule="auto"/>
        <w:jc w:val="left"/>
        <w:outlineLvl w:val="2"/>
        <w:rPr>
          <w:rFonts w:hint="eastAsia" w:ascii="黑体" w:hAnsi="黑体" w:eastAsia="黑体" w:cs="黑体"/>
          <w:b/>
          <w:bCs/>
          <w:color w:val="auto"/>
          <w:kern w:val="0"/>
          <w:sz w:val="28"/>
          <w:szCs w:val="28"/>
          <w:highlight w:val="none"/>
          <w:lang w:val="en-GB"/>
        </w:rPr>
      </w:pPr>
      <w:bookmarkStart w:id="1359" w:name="_Toc17295"/>
      <w:bookmarkStart w:id="1360" w:name="_Toc3829"/>
      <w:bookmarkStart w:id="1361" w:name="_Toc498075604"/>
      <w:bookmarkStart w:id="1362" w:name="_Toc17116"/>
      <w:bookmarkStart w:id="1363" w:name="_Toc15640"/>
      <w:bookmarkStart w:id="1364" w:name="_Toc12962"/>
      <w:bookmarkStart w:id="1365" w:name="_Toc411"/>
      <w:bookmarkStart w:id="1366" w:name="_Toc25569"/>
      <w:bookmarkStart w:id="1367" w:name="_Toc10908"/>
      <w:bookmarkStart w:id="1368" w:name="_Toc11723"/>
      <w:bookmarkStart w:id="1369" w:name="_Toc24683"/>
      <w:bookmarkStart w:id="1370" w:name="_Toc18498"/>
      <w:bookmarkStart w:id="1371" w:name="_Toc29239"/>
      <w:bookmarkStart w:id="1372" w:name="_Toc30052"/>
      <w:bookmarkStart w:id="1373" w:name="_Toc29346"/>
      <w:bookmarkStart w:id="1374" w:name="_Toc3502"/>
      <w:bookmarkStart w:id="1375" w:name="_Toc60846623"/>
      <w:bookmarkStart w:id="1376" w:name="_Toc11212"/>
      <w:bookmarkStart w:id="1377" w:name="_Toc25695"/>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US" w:eastAsia="zh-CN"/>
        </w:rPr>
        <w:t xml:space="preserve">2.9 </w:t>
      </w:r>
      <w:r>
        <w:rPr>
          <w:rFonts w:hint="eastAsia" w:ascii="黑体" w:hAnsi="黑体" w:eastAsia="黑体" w:cs="黑体"/>
          <w:b/>
          <w:bCs/>
          <w:color w:val="auto"/>
          <w:kern w:val="0"/>
          <w:sz w:val="28"/>
          <w:szCs w:val="28"/>
          <w:highlight w:val="none"/>
          <w:lang w:val="en-GB"/>
        </w:rPr>
        <w:t>重大危险源辨识</w:t>
      </w:r>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p>
    <w:p w14:paraId="4D4D6C3D">
      <w:pPr>
        <w:pStyle w:val="719"/>
        <w:widowControl w:val="0"/>
        <w:adjustRightInd w:val="0"/>
        <w:snapToGrid w:val="0"/>
        <w:spacing w:beforeLines="0" w:afterLines="0"/>
        <w:ind w:firstLine="560"/>
        <w:rPr>
          <w:rFonts w:hint="eastAsia" w:ascii="宋体" w:hAnsi="宋体" w:eastAsia="宋体" w:cs="宋体"/>
          <w:color w:val="auto"/>
          <w:sz w:val="28"/>
          <w:szCs w:val="28"/>
          <w:highlight w:val="none"/>
        </w:rPr>
      </w:pPr>
      <w:bookmarkStart w:id="1378" w:name="_Toc60846624"/>
      <w:bookmarkStart w:id="1379" w:name="_Toc498075605"/>
      <w:r>
        <w:rPr>
          <w:rFonts w:hint="eastAsia" w:ascii="宋体" w:hAnsi="宋体" w:eastAsia="宋体" w:cs="宋体"/>
          <w:color w:val="auto"/>
          <w:sz w:val="28"/>
          <w:szCs w:val="28"/>
          <w:highlight w:val="none"/>
        </w:rPr>
        <w:t>根据《危险化学品重大危险源辨识》GB18218-2018，对伟星临海钮扣分公司</w:t>
      </w:r>
      <w:r>
        <w:rPr>
          <w:rFonts w:hint="eastAsia" w:ascii="宋体" w:hAnsi="宋体" w:eastAsia="宋体" w:cs="宋体"/>
          <w:bCs/>
          <w:color w:val="auto"/>
          <w:sz w:val="28"/>
          <w:szCs w:val="28"/>
          <w:highlight w:val="none"/>
        </w:rPr>
        <w:t>危化品仓库</w:t>
      </w:r>
      <w:r>
        <w:rPr>
          <w:rFonts w:hint="eastAsia" w:ascii="宋体" w:hAnsi="宋体" w:eastAsia="宋体" w:cs="宋体"/>
          <w:color w:val="auto"/>
          <w:sz w:val="28"/>
          <w:szCs w:val="28"/>
          <w:highlight w:val="none"/>
        </w:rPr>
        <w:t>进行危险化学品重大危险源辨识。</w:t>
      </w:r>
    </w:p>
    <w:p w14:paraId="035CEDAC">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生产单元、储存单元内存在危险化学品的数量等于或超过规定的临界量，即被定为重大危险源。单元内存在的危险化学品的数量根据危险化学品种类的多少区分为以下两种情况：</w:t>
      </w:r>
    </w:p>
    <w:p w14:paraId="020986E6">
      <w:pPr>
        <w:numPr>
          <w:ilvl w:val="0"/>
          <w:numId w:val="31"/>
        </w:numPr>
        <w:tabs>
          <w:tab w:val="left" w:pos="993"/>
        </w:tabs>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生产单元、储存单元内存在的危险化学品为单一品种时，该危险化学品的数量即为单元内危险化学品的总量，若等于或超过相应的临界量，则定为重大危险源。</w:t>
      </w:r>
    </w:p>
    <w:p w14:paraId="2D886546">
      <w:pPr>
        <w:numPr>
          <w:ilvl w:val="0"/>
          <w:numId w:val="31"/>
        </w:numPr>
        <w:tabs>
          <w:tab w:val="left" w:pos="993"/>
        </w:tabs>
        <w:adjustRightInd w:val="0"/>
        <w:snapToGrid w:val="0"/>
        <w:spacing w:beforeLines="0" w:afterLines="0" w:line="360" w:lineRule="auto"/>
        <w:ind w:left="0"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生产单元、储存单元内存在的危险化学品为多品种时，按式（1）计算，若满足式（1），则定为重大危险源：</w:t>
      </w:r>
    </w:p>
    <w:p w14:paraId="64C4F6C9">
      <w:pPr>
        <w:tabs>
          <w:tab w:val="left" w:pos="993"/>
        </w:tabs>
        <w:adjustRightInd w:val="0"/>
        <w:snapToGrid w:val="0"/>
        <w:spacing w:beforeLines="0" w:afterLines="0" w:line="360" w:lineRule="auto"/>
        <w:ind w:left="0"/>
        <w:jc w:val="center"/>
        <w:rPr>
          <w:rFonts w:hint="eastAsia" w:ascii="宋体" w:hAnsi="宋体" w:eastAsia="宋体" w:cs="宋体"/>
          <w:bCs/>
          <w:color w:val="auto"/>
          <w:kern w:val="0"/>
          <w:sz w:val="28"/>
          <w:szCs w:val="28"/>
          <w:highlight w:val="none"/>
        </w:rPr>
      </w:pPr>
      <w:r>
        <w:rPr>
          <w:rFonts w:hint="eastAsia" w:ascii="宋体" w:hAnsi="宋体" w:eastAsia="宋体" w:cs="宋体"/>
          <w:color w:val="auto"/>
          <w:kern w:val="0"/>
          <w:sz w:val="28"/>
          <w:szCs w:val="28"/>
          <w:highlight w:val="none"/>
        </w:rPr>
        <w:t>S</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1</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1</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2</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2</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n</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n</w:t>
      </w:r>
      <w:r>
        <w:rPr>
          <w:rFonts w:hint="eastAsia" w:ascii="宋体" w:hAnsi="宋体" w:eastAsia="宋体" w:cs="宋体"/>
          <w:bCs/>
          <w:color w:val="auto"/>
          <w:kern w:val="0"/>
          <w:sz w:val="28"/>
          <w:szCs w:val="28"/>
          <w:highlight w:val="none"/>
        </w:rPr>
        <w:t>≥1……………………（1）</w:t>
      </w:r>
    </w:p>
    <w:p w14:paraId="2B5ED832">
      <w:pPr>
        <w:tabs>
          <w:tab w:val="left" w:pos="993"/>
        </w:tabs>
        <w:adjustRightInd w:val="0"/>
        <w:snapToGrid w:val="0"/>
        <w:spacing w:beforeLines="0" w:afterLines="0" w:line="360" w:lineRule="auto"/>
        <w:ind w:left="0"/>
        <w:rPr>
          <w:rFonts w:hint="eastAsia" w:ascii="宋体" w:hAnsi="宋体" w:eastAsia="宋体" w:cs="宋体"/>
          <w:color w:val="auto"/>
          <w:kern w:val="0"/>
          <w:sz w:val="28"/>
          <w:szCs w:val="28"/>
          <w:highlight w:val="none"/>
        </w:rPr>
      </w:pPr>
      <w:r>
        <w:rPr>
          <w:rFonts w:hint="eastAsia" w:ascii="宋体" w:hAnsi="宋体" w:eastAsia="宋体" w:cs="宋体"/>
          <w:bCs/>
          <w:color w:val="auto"/>
          <w:kern w:val="0"/>
          <w:sz w:val="28"/>
          <w:szCs w:val="28"/>
          <w:highlight w:val="none"/>
        </w:rPr>
        <w:t>式中</w:t>
      </w:r>
      <w:r>
        <w:rPr>
          <w:rFonts w:hint="eastAsia" w:ascii="宋体" w:hAnsi="宋体" w:eastAsia="宋体" w:cs="宋体"/>
          <w:color w:val="auto"/>
          <w:kern w:val="0"/>
          <w:sz w:val="28"/>
          <w:szCs w:val="28"/>
          <w:highlight w:val="none"/>
        </w:rPr>
        <w:t>S辨识指标</w:t>
      </w:r>
    </w:p>
    <w:p w14:paraId="48206E21">
      <w:pPr>
        <w:adjustRightInd w:val="0"/>
        <w:snapToGrid w:val="0"/>
        <w:spacing w:beforeLines="0" w:afterLines="0" w:line="360" w:lineRule="auto"/>
        <w:ind w:firstLine="560" w:firstLineChars="200"/>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1</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2</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n</w:t>
      </w:r>
      <w:r>
        <w:rPr>
          <w:rFonts w:hint="eastAsia" w:ascii="宋体" w:hAnsi="宋体" w:eastAsia="宋体" w:cs="宋体"/>
          <w:bCs/>
          <w:color w:val="auto"/>
          <w:kern w:val="0"/>
          <w:sz w:val="28"/>
          <w:szCs w:val="28"/>
          <w:highlight w:val="none"/>
        </w:rPr>
        <w:t>——每种危险化学品实际存在量，单位为吨（t</w:t>
      </w:r>
      <w:r>
        <w:rPr>
          <w:rFonts w:hint="eastAsia" w:ascii="宋体" w:hAnsi="宋体" w:eastAsia="宋体" w:cs="宋体"/>
          <w:bCs/>
          <w:color w:val="auto"/>
          <w:kern w:val="0"/>
          <w:sz w:val="28"/>
          <w:szCs w:val="28"/>
          <w:highlight w:val="none"/>
          <w:lang w:eastAsia="zh-CN"/>
        </w:rPr>
        <w:t>）</w:t>
      </w:r>
    </w:p>
    <w:p w14:paraId="5F63D79A">
      <w:pPr>
        <w:tabs>
          <w:tab w:val="left" w:pos="993"/>
        </w:tabs>
        <w:adjustRightInd w:val="0"/>
        <w:snapToGrid w:val="0"/>
        <w:spacing w:beforeLines="0" w:afterLines="0" w:line="360" w:lineRule="auto"/>
        <w:ind w:left="0"/>
        <w:rPr>
          <w:rFonts w:hint="eastAsia" w:ascii="宋体" w:hAnsi="宋体" w:eastAsia="宋体" w:cs="宋体"/>
          <w:color w:val="auto"/>
          <w:kern w:val="0"/>
          <w:sz w:val="28"/>
          <w:szCs w:val="28"/>
          <w:highlight w:val="none"/>
        </w:rPr>
      </w:pP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1</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2</w:t>
      </w:r>
      <w:r>
        <w:rPr>
          <w:rFonts w:hint="eastAsia" w:ascii="宋体" w:hAnsi="宋体" w:eastAsia="宋体" w:cs="宋体"/>
          <w:bCs/>
          <w:color w:val="auto"/>
          <w:kern w:val="0"/>
          <w:sz w:val="28"/>
          <w:szCs w:val="28"/>
          <w:highlight w:val="none"/>
        </w:rPr>
        <w:t>…Q</w:t>
      </w:r>
      <w:r>
        <w:rPr>
          <w:rFonts w:hint="eastAsia" w:ascii="宋体" w:hAnsi="宋体" w:eastAsia="宋体" w:cs="宋体"/>
          <w:bCs/>
          <w:color w:val="auto"/>
          <w:kern w:val="0"/>
          <w:sz w:val="28"/>
          <w:szCs w:val="28"/>
          <w:highlight w:val="none"/>
          <w:vertAlign w:val="subscript"/>
        </w:rPr>
        <w:t>n</w:t>
      </w:r>
      <w:r>
        <w:rPr>
          <w:rFonts w:hint="eastAsia" w:ascii="宋体" w:hAnsi="宋体" w:eastAsia="宋体" w:cs="宋体"/>
          <w:bCs/>
          <w:color w:val="auto"/>
          <w:kern w:val="0"/>
          <w:sz w:val="28"/>
          <w:szCs w:val="28"/>
          <w:highlight w:val="none"/>
        </w:rPr>
        <w:t>——与每种危险化学品相对应的临界量，单位为吨（t</w:t>
      </w:r>
      <w:r>
        <w:rPr>
          <w:rFonts w:hint="eastAsia" w:ascii="宋体" w:hAnsi="宋体" w:eastAsia="宋体" w:cs="宋体"/>
          <w:bCs/>
          <w:color w:val="auto"/>
          <w:kern w:val="0"/>
          <w:sz w:val="28"/>
          <w:szCs w:val="28"/>
          <w:highlight w:val="none"/>
          <w:lang w:eastAsia="zh-CN"/>
        </w:rPr>
        <w:t>）</w:t>
      </w:r>
    </w:p>
    <w:p w14:paraId="3EFF7ED4">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本次评价将</w:t>
      </w:r>
      <w:r>
        <w:rPr>
          <w:rFonts w:hint="eastAsia" w:ascii="宋体" w:hAnsi="宋体" w:eastAsia="宋体" w:cs="宋体"/>
          <w:bCs/>
          <w:color w:val="auto"/>
          <w:sz w:val="28"/>
          <w:szCs w:val="28"/>
          <w:highlight w:val="none"/>
        </w:rPr>
        <w:t>危化品仓库</w:t>
      </w:r>
      <w:r>
        <w:rPr>
          <w:rFonts w:hint="eastAsia" w:ascii="宋体" w:hAnsi="宋体" w:eastAsia="宋体" w:cs="宋体"/>
          <w:bCs/>
          <w:color w:val="auto"/>
          <w:sz w:val="28"/>
          <w:szCs w:val="28"/>
          <w:highlight w:val="none"/>
          <w:lang w:eastAsia="zh-CN"/>
        </w:rPr>
        <w:t>作为</w:t>
      </w:r>
      <w:r>
        <w:rPr>
          <w:rFonts w:hint="eastAsia" w:ascii="宋体" w:hAnsi="宋体" w:eastAsia="宋体" w:cs="宋体"/>
          <w:color w:val="auto"/>
          <w:kern w:val="0"/>
          <w:sz w:val="28"/>
          <w:szCs w:val="28"/>
          <w:highlight w:val="none"/>
          <w:lang w:eastAsia="zh-CN"/>
        </w:rPr>
        <w:t>一个储存</w:t>
      </w:r>
      <w:r>
        <w:rPr>
          <w:rFonts w:hint="eastAsia" w:ascii="宋体" w:hAnsi="宋体" w:eastAsia="宋体" w:cs="宋体"/>
          <w:color w:val="auto"/>
          <w:kern w:val="0"/>
          <w:sz w:val="28"/>
          <w:szCs w:val="28"/>
          <w:highlight w:val="none"/>
        </w:rPr>
        <w:t>单元进行危险化学品重大危险源辨识</w:t>
      </w:r>
      <w:r>
        <w:rPr>
          <w:rFonts w:hint="eastAsia" w:ascii="宋体" w:hAnsi="宋体" w:eastAsia="宋体" w:cs="宋体"/>
          <w:color w:val="auto"/>
          <w:kern w:val="0"/>
          <w:sz w:val="28"/>
          <w:szCs w:val="28"/>
          <w:highlight w:val="none"/>
          <w:lang w:eastAsia="zh-CN"/>
        </w:rPr>
        <w:t>，辨识情况见下表</w:t>
      </w:r>
      <w:r>
        <w:rPr>
          <w:rFonts w:hint="eastAsia" w:ascii="宋体" w:hAnsi="宋体" w:eastAsia="宋体" w:cs="宋体"/>
          <w:color w:val="auto"/>
          <w:kern w:val="0"/>
          <w:sz w:val="28"/>
          <w:szCs w:val="28"/>
          <w:highlight w:val="none"/>
        </w:rPr>
        <w:t>。</w:t>
      </w:r>
    </w:p>
    <w:bookmarkEnd w:id="1378"/>
    <w:bookmarkEnd w:id="1379"/>
    <w:p w14:paraId="6995C017">
      <w:pPr>
        <w:adjustRightInd w:val="0"/>
        <w:snapToGrid w:val="0"/>
        <w:spacing w:line="360" w:lineRule="auto"/>
        <w:ind w:firstLine="0"/>
        <w:jc w:val="center"/>
        <w:rPr>
          <w:rFonts w:ascii="黑体" w:hAnsi="黑体" w:eastAsia="黑体" w:cs="Times New Roman"/>
          <w:b/>
          <w:bCs/>
          <w:color w:val="auto"/>
          <w:sz w:val="24"/>
          <w:szCs w:val="24"/>
          <w:highlight w:val="none"/>
        </w:rPr>
      </w:pPr>
      <w:r>
        <w:rPr>
          <w:rFonts w:hint="eastAsia" w:ascii="黑体" w:hAnsi="黑体" w:eastAsia="黑体" w:cs="Times New Roman"/>
          <w:b/>
          <w:bCs/>
          <w:color w:val="auto"/>
          <w:sz w:val="24"/>
          <w:szCs w:val="24"/>
          <w:highlight w:val="none"/>
        </w:rPr>
        <w:t>表</w:t>
      </w:r>
      <w:r>
        <w:rPr>
          <w:rFonts w:ascii="黑体" w:hAnsi="黑体" w:eastAsia="黑体" w:cs="Times New Roman"/>
          <w:b/>
          <w:bCs/>
          <w:color w:val="auto"/>
          <w:sz w:val="24"/>
          <w:szCs w:val="24"/>
          <w:highlight w:val="none"/>
        </w:rPr>
        <w:t>3.</w:t>
      </w:r>
      <w:r>
        <w:rPr>
          <w:rFonts w:hint="eastAsia" w:ascii="黑体" w:hAnsi="黑体" w:eastAsia="黑体" w:cs="Times New Roman"/>
          <w:b/>
          <w:bCs/>
          <w:color w:val="auto"/>
          <w:sz w:val="24"/>
          <w:szCs w:val="24"/>
          <w:highlight w:val="none"/>
          <w:lang w:val="en-US" w:eastAsia="zh-CN"/>
        </w:rPr>
        <w:t>2-4</w:t>
      </w:r>
      <w:r>
        <w:rPr>
          <w:rFonts w:ascii="黑体" w:hAnsi="黑体" w:eastAsia="黑体" w:cs="Times New Roman"/>
          <w:b/>
          <w:bCs/>
          <w:color w:val="auto"/>
          <w:sz w:val="24"/>
          <w:szCs w:val="24"/>
          <w:highlight w:val="none"/>
        </w:rPr>
        <w:t xml:space="preserve"> </w:t>
      </w:r>
      <w:r>
        <w:rPr>
          <w:rFonts w:hint="eastAsia" w:ascii="黑体" w:hAnsi="黑体" w:eastAsia="黑体" w:cs="Times New Roman"/>
          <w:b/>
          <w:bCs/>
          <w:color w:val="auto"/>
          <w:sz w:val="24"/>
          <w:szCs w:val="24"/>
          <w:highlight w:val="none"/>
        </w:rPr>
        <w:t>重大危险源辨识结果</w:t>
      </w:r>
    </w:p>
    <w:tbl>
      <w:tblPr>
        <w:tblStyle w:val="6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6"/>
        <w:gridCol w:w="1872"/>
        <w:gridCol w:w="1325"/>
        <w:gridCol w:w="2161"/>
        <w:gridCol w:w="2348"/>
      </w:tblGrid>
      <w:tr w14:paraId="2E4C5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357810CD">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危险物质名称</w:t>
            </w:r>
          </w:p>
        </w:tc>
        <w:tc>
          <w:tcPr>
            <w:tcW w:w="997" w:type="pct"/>
            <w:noWrap/>
            <w:vAlign w:val="center"/>
          </w:tcPr>
          <w:p w14:paraId="66CC9452">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依据</w:t>
            </w:r>
          </w:p>
        </w:tc>
        <w:tc>
          <w:tcPr>
            <w:tcW w:w="705" w:type="pct"/>
            <w:noWrap/>
            <w:vAlign w:val="center"/>
          </w:tcPr>
          <w:p w14:paraId="326414CC">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临界量Q(t)</w:t>
            </w:r>
          </w:p>
        </w:tc>
        <w:tc>
          <w:tcPr>
            <w:tcW w:w="1151" w:type="pct"/>
            <w:vAlign w:val="center"/>
          </w:tcPr>
          <w:p w14:paraId="2B5EB3B8">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现场最大存在量q(t)</w:t>
            </w:r>
          </w:p>
        </w:tc>
        <w:tc>
          <w:tcPr>
            <w:tcW w:w="1248" w:type="pct"/>
            <w:noWrap/>
            <w:vAlign w:val="center"/>
          </w:tcPr>
          <w:p w14:paraId="213CD5E7">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q/Q</w:t>
            </w:r>
          </w:p>
        </w:tc>
      </w:tr>
      <w:tr w14:paraId="352CC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5402EA3A">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bookmarkStart w:id="1380" w:name="_Hlk57893790"/>
            <w:r>
              <w:rPr>
                <w:rFonts w:hint="eastAsia" w:ascii="宋体" w:hAnsi="宋体" w:eastAsia="宋体" w:cs="宋体"/>
                <w:color w:val="auto"/>
                <w:sz w:val="21"/>
                <w:szCs w:val="21"/>
                <w:highlight w:val="none"/>
              </w:rPr>
              <w:t>过氧化二苯甲酰</w:t>
            </w:r>
          </w:p>
        </w:tc>
        <w:tc>
          <w:tcPr>
            <w:tcW w:w="997" w:type="pct"/>
            <w:noWrap/>
            <w:vAlign w:val="center"/>
          </w:tcPr>
          <w:p w14:paraId="0F0D2A3E">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W7.2</w:t>
            </w:r>
          </w:p>
        </w:tc>
        <w:tc>
          <w:tcPr>
            <w:tcW w:w="705" w:type="pct"/>
            <w:noWrap/>
            <w:vAlign w:val="center"/>
          </w:tcPr>
          <w:p w14:paraId="05B26C69">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50</w:t>
            </w:r>
          </w:p>
        </w:tc>
        <w:tc>
          <w:tcPr>
            <w:tcW w:w="1151" w:type="pct"/>
            <w:noWrap/>
            <w:vAlign w:val="center"/>
          </w:tcPr>
          <w:p w14:paraId="7553A140">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0.15</w:t>
            </w:r>
          </w:p>
        </w:tc>
        <w:tc>
          <w:tcPr>
            <w:tcW w:w="1248" w:type="pct"/>
            <w:noWrap/>
            <w:vAlign w:val="center"/>
          </w:tcPr>
          <w:p w14:paraId="20C6957C">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0.003</w:t>
            </w:r>
          </w:p>
        </w:tc>
      </w:tr>
      <w:tr w14:paraId="4CBE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553C559F">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过氧化甲乙酮</w:t>
            </w:r>
          </w:p>
        </w:tc>
        <w:tc>
          <w:tcPr>
            <w:tcW w:w="997" w:type="pct"/>
            <w:noWrap/>
            <w:vAlign w:val="center"/>
          </w:tcPr>
          <w:p w14:paraId="0A5C3680">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表1（续）中物质</w:t>
            </w:r>
          </w:p>
        </w:tc>
        <w:tc>
          <w:tcPr>
            <w:tcW w:w="705" w:type="pct"/>
            <w:noWrap/>
            <w:vAlign w:val="center"/>
          </w:tcPr>
          <w:p w14:paraId="23618933">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10</w:t>
            </w:r>
          </w:p>
        </w:tc>
        <w:tc>
          <w:tcPr>
            <w:tcW w:w="1151" w:type="pct"/>
            <w:noWrap/>
            <w:vAlign w:val="center"/>
          </w:tcPr>
          <w:p w14:paraId="7B77264D">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2.2</w:t>
            </w:r>
          </w:p>
        </w:tc>
        <w:tc>
          <w:tcPr>
            <w:tcW w:w="1248" w:type="pct"/>
            <w:noWrap/>
            <w:vAlign w:val="center"/>
          </w:tcPr>
          <w:p w14:paraId="3F853563">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0.22</w:t>
            </w:r>
          </w:p>
        </w:tc>
      </w:tr>
      <w:tr w14:paraId="30BFF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64B894AF">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双氧水</w:t>
            </w:r>
          </w:p>
        </w:tc>
        <w:tc>
          <w:tcPr>
            <w:tcW w:w="997" w:type="pct"/>
            <w:noWrap/>
            <w:vAlign w:val="center"/>
          </w:tcPr>
          <w:p w14:paraId="07A950E7">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W9.2</w:t>
            </w:r>
          </w:p>
        </w:tc>
        <w:tc>
          <w:tcPr>
            <w:tcW w:w="705" w:type="pct"/>
            <w:noWrap/>
            <w:vAlign w:val="center"/>
          </w:tcPr>
          <w:p w14:paraId="30394F17">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200</w:t>
            </w:r>
          </w:p>
        </w:tc>
        <w:tc>
          <w:tcPr>
            <w:tcW w:w="1151" w:type="pct"/>
            <w:noWrap/>
            <w:vAlign w:val="center"/>
          </w:tcPr>
          <w:p w14:paraId="07C0CB35">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2</w:t>
            </w:r>
          </w:p>
        </w:tc>
        <w:tc>
          <w:tcPr>
            <w:tcW w:w="1248" w:type="pct"/>
            <w:noWrap/>
            <w:vAlign w:val="center"/>
          </w:tcPr>
          <w:p w14:paraId="3B6AA1E4">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0.01</w:t>
            </w:r>
          </w:p>
        </w:tc>
      </w:tr>
      <w:tr w14:paraId="0C4D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68723997">
            <w:pPr>
              <w:adjustRightInd w:val="0"/>
              <w:snapToGrid w:val="0"/>
              <w:spacing w:line="24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硝酸银</w:t>
            </w:r>
          </w:p>
        </w:tc>
        <w:tc>
          <w:tcPr>
            <w:tcW w:w="997" w:type="pct"/>
            <w:noWrap/>
            <w:vAlign w:val="center"/>
          </w:tcPr>
          <w:p w14:paraId="754E0CB1">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W9.2</w:t>
            </w:r>
          </w:p>
        </w:tc>
        <w:tc>
          <w:tcPr>
            <w:tcW w:w="705" w:type="pct"/>
            <w:noWrap/>
            <w:vAlign w:val="center"/>
          </w:tcPr>
          <w:p w14:paraId="792800B9">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200</w:t>
            </w:r>
          </w:p>
        </w:tc>
        <w:tc>
          <w:tcPr>
            <w:tcW w:w="1151" w:type="pct"/>
            <w:noWrap/>
            <w:vAlign w:val="center"/>
          </w:tcPr>
          <w:p w14:paraId="6A1D0CEC">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0.003</w:t>
            </w:r>
          </w:p>
        </w:tc>
        <w:tc>
          <w:tcPr>
            <w:tcW w:w="1248" w:type="pct"/>
            <w:noWrap/>
            <w:vAlign w:val="center"/>
          </w:tcPr>
          <w:p w14:paraId="1E4A3697">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0.000015</w:t>
            </w:r>
          </w:p>
        </w:tc>
      </w:tr>
      <w:tr w14:paraId="3EBC0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579BAFDA">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丙酮</w:t>
            </w:r>
          </w:p>
        </w:tc>
        <w:tc>
          <w:tcPr>
            <w:tcW w:w="997" w:type="pct"/>
            <w:noWrap/>
            <w:vAlign w:val="center"/>
          </w:tcPr>
          <w:p w14:paraId="60AA0297">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表1（续）中物质</w:t>
            </w:r>
          </w:p>
        </w:tc>
        <w:tc>
          <w:tcPr>
            <w:tcW w:w="705" w:type="pct"/>
            <w:noWrap/>
            <w:vAlign w:val="center"/>
          </w:tcPr>
          <w:p w14:paraId="78AF9CF1">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500</w:t>
            </w:r>
          </w:p>
        </w:tc>
        <w:tc>
          <w:tcPr>
            <w:tcW w:w="1151" w:type="pct"/>
            <w:noWrap/>
            <w:vAlign w:val="center"/>
          </w:tcPr>
          <w:p w14:paraId="48282930">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7.2</w:t>
            </w:r>
          </w:p>
        </w:tc>
        <w:tc>
          <w:tcPr>
            <w:tcW w:w="1248" w:type="pct"/>
            <w:noWrap/>
            <w:vAlign w:val="center"/>
          </w:tcPr>
          <w:p w14:paraId="458A857B">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0.0144</w:t>
            </w:r>
          </w:p>
        </w:tc>
      </w:tr>
      <w:tr w14:paraId="15E10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3C474554">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苯乙烯</w:t>
            </w:r>
          </w:p>
        </w:tc>
        <w:tc>
          <w:tcPr>
            <w:tcW w:w="997" w:type="pct"/>
            <w:noWrap/>
            <w:vAlign w:val="center"/>
          </w:tcPr>
          <w:p w14:paraId="08D219BA">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表1（续）中物质</w:t>
            </w:r>
          </w:p>
        </w:tc>
        <w:tc>
          <w:tcPr>
            <w:tcW w:w="705" w:type="pct"/>
            <w:noWrap/>
            <w:vAlign w:val="center"/>
          </w:tcPr>
          <w:p w14:paraId="28A0EB11">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500</w:t>
            </w:r>
          </w:p>
        </w:tc>
        <w:tc>
          <w:tcPr>
            <w:tcW w:w="1151" w:type="pct"/>
            <w:noWrap/>
            <w:vAlign w:val="center"/>
          </w:tcPr>
          <w:p w14:paraId="585C25D3">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7.74</w:t>
            </w:r>
          </w:p>
        </w:tc>
        <w:tc>
          <w:tcPr>
            <w:tcW w:w="1248" w:type="pct"/>
            <w:noWrap/>
            <w:vAlign w:val="center"/>
          </w:tcPr>
          <w:p w14:paraId="4E6A11BA">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0.01548</w:t>
            </w:r>
          </w:p>
        </w:tc>
      </w:tr>
      <w:tr w14:paraId="22A64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7D774F06">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钴盐</w:t>
            </w:r>
          </w:p>
        </w:tc>
        <w:tc>
          <w:tcPr>
            <w:tcW w:w="997" w:type="pct"/>
            <w:noWrap/>
            <w:vAlign w:val="center"/>
          </w:tcPr>
          <w:p w14:paraId="7372AB5A">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W5.4</w:t>
            </w:r>
          </w:p>
        </w:tc>
        <w:tc>
          <w:tcPr>
            <w:tcW w:w="705" w:type="pct"/>
            <w:noWrap/>
            <w:vAlign w:val="center"/>
          </w:tcPr>
          <w:p w14:paraId="68C40B62">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w:t>
            </w:r>
          </w:p>
        </w:tc>
        <w:tc>
          <w:tcPr>
            <w:tcW w:w="1151" w:type="pct"/>
            <w:noWrap/>
            <w:vAlign w:val="center"/>
          </w:tcPr>
          <w:p w14:paraId="27044BA6">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248" w:type="pct"/>
            <w:noWrap/>
            <w:vAlign w:val="center"/>
          </w:tcPr>
          <w:p w14:paraId="5ABA0B78">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0.0006</w:t>
            </w:r>
          </w:p>
        </w:tc>
      </w:tr>
      <w:tr w14:paraId="194C4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706C918B">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油漆</w:t>
            </w:r>
          </w:p>
        </w:tc>
        <w:tc>
          <w:tcPr>
            <w:tcW w:w="997" w:type="pct"/>
            <w:noWrap/>
            <w:vAlign w:val="center"/>
          </w:tcPr>
          <w:p w14:paraId="0E7BE9B9">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W5.4</w:t>
            </w:r>
          </w:p>
        </w:tc>
        <w:tc>
          <w:tcPr>
            <w:tcW w:w="705" w:type="pct"/>
            <w:noWrap/>
            <w:vAlign w:val="center"/>
          </w:tcPr>
          <w:p w14:paraId="5D509C74">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w:t>
            </w:r>
          </w:p>
        </w:tc>
        <w:tc>
          <w:tcPr>
            <w:tcW w:w="1151" w:type="pct"/>
            <w:noWrap/>
            <w:vAlign w:val="center"/>
          </w:tcPr>
          <w:p w14:paraId="40B1D1D5">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w:t>
            </w:r>
          </w:p>
        </w:tc>
        <w:tc>
          <w:tcPr>
            <w:tcW w:w="1248" w:type="pct"/>
            <w:noWrap/>
            <w:vAlign w:val="center"/>
          </w:tcPr>
          <w:p w14:paraId="56556920">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0.00224</w:t>
            </w:r>
          </w:p>
        </w:tc>
      </w:tr>
      <w:tr w14:paraId="0B0A3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5E6A7D53">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油漆固化剂</w:t>
            </w:r>
          </w:p>
        </w:tc>
        <w:tc>
          <w:tcPr>
            <w:tcW w:w="997" w:type="pct"/>
            <w:noWrap/>
            <w:vAlign w:val="center"/>
          </w:tcPr>
          <w:p w14:paraId="2600F4F5">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W5.4</w:t>
            </w:r>
          </w:p>
        </w:tc>
        <w:tc>
          <w:tcPr>
            <w:tcW w:w="705" w:type="pct"/>
            <w:noWrap/>
            <w:vAlign w:val="center"/>
          </w:tcPr>
          <w:p w14:paraId="24ED835C">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w:t>
            </w:r>
          </w:p>
        </w:tc>
        <w:tc>
          <w:tcPr>
            <w:tcW w:w="1151" w:type="pct"/>
            <w:noWrap/>
            <w:vAlign w:val="center"/>
          </w:tcPr>
          <w:p w14:paraId="33E45E95">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1248" w:type="pct"/>
            <w:noWrap/>
            <w:vAlign w:val="center"/>
          </w:tcPr>
          <w:p w14:paraId="7BE55033">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0.00036</w:t>
            </w:r>
          </w:p>
        </w:tc>
      </w:tr>
      <w:tr w14:paraId="29CE0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pct"/>
            <w:noWrap/>
            <w:vAlign w:val="center"/>
          </w:tcPr>
          <w:p w14:paraId="6D0067DA">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油漆稀释剂</w:t>
            </w:r>
          </w:p>
        </w:tc>
        <w:tc>
          <w:tcPr>
            <w:tcW w:w="997" w:type="pct"/>
            <w:noWrap/>
            <w:vAlign w:val="center"/>
          </w:tcPr>
          <w:p w14:paraId="651B40A5">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W5.4</w:t>
            </w:r>
          </w:p>
        </w:tc>
        <w:tc>
          <w:tcPr>
            <w:tcW w:w="705" w:type="pct"/>
            <w:noWrap/>
            <w:vAlign w:val="center"/>
          </w:tcPr>
          <w:p w14:paraId="57E5956E">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w:t>
            </w:r>
          </w:p>
        </w:tc>
        <w:tc>
          <w:tcPr>
            <w:tcW w:w="1151" w:type="pct"/>
            <w:noWrap/>
            <w:vAlign w:val="center"/>
          </w:tcPr>
          <w:p w14:paraId="7CF8ECBF">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248" w:type="pct"/>
            <w:noWrap/>
            <w:vAlign w:val="center"/>
          </w:tcPr>
          <w:p w14:paraId="23EEF6D1">
            <w:pPr>
              <w:keepNext w:val="0"/>
              <w:keepLines w:val="0"/>
              <w:widowControl/>
              <w:suppressLineNumbers w:val="0"/>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0.0003</w:t>
            </w:r>
          </w:p>
        </w:tc>
      </w:tr>
      <w:bookmarkEnd w:id="1380"/>
      <w:tr w14:paraId="3B20E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noWrap/>
            <w:vAlign w:val="center"/>
          </w:tcPr>
          <w:p w14:paraId="6C594696">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Σqi/Q=0.266395＜1</w:t>
            </w:r>
          </w:p>
        </w:tc>
      </w:tr>
    </w:tbl>
    <w:p w14:paraId="58E72CDA">
      <w:pPr>
        <w:pStyle w:val="690"/>
        <w:spacing w:before="157" w:beforeLines="50" w:afterLines="0"/>
        <w:rPr>
          <w:color w:val="auto"/>
          <w:highlight w:val="none"/>
        </w:rPr>
      </w:pPr>
      <w:r>
        <w:rPr>
          <w:rFonts w:hint="eastAsia"/>
          <w:color w:val="auto"/>
          <w:highlight w:val="none"/>
        </w:rPr>
        <w:t>因此，</w:t>
      </w:r>
      <w:r>
        <w:rPr>
          <w:rFonts w:hint="eastAsia" w:ascii="宋体" w:hAnsi="宋体" w:cs="Times New Roman"/>
          <w:bCs/>
          <w:color w:val="auto"/>
          <w:sz w:val="28"/>
          <w:szCs w:val="28"/>
          <w:highlight w:val="none"/>
        </w:rPr>
        <w:t>危化品仓库</w:t>
      </w:r>
      <w:r>
        <w:rPr>
          <w:rFonts w:hint="eastAsia"/>
          <w:color w:val="auto"/>
          <w:highlight w:val="none"/>
        </w:rPr>
        <w:t>不构成《危险化学品重大危险源辨识》</w:t>
      </w:r>
      <w:r>
        <w:rPr>
          <w:color w:val="auto"/>
          <w:highlight w:val="none"/>
        </w:rPr>
        <w:t>GB18218-2018</w:t>
      </w:r>
      <w:r>
        <w:rPr>
          <w:rFonts w:hint="eastAsia"/>
          <w:color w:val="auto"/>
          <w:highlight w:val="none"/>
        </w:rPr>
        <w:t>所规定的危险化学品重大危险源。</w:t>
      </w:r>
    </w:p>
    <w:p w14:paraId="53860E0B">
      <w:pPr>
        <w:keepNext w:val="0"/>
        <w:keepLines w:val="0"/>
        <w:pageBreakBefore w:val="0"/>
        <w:widowControl w:val="0"/>
        <w:kinsoku/>
        <w:wordWrap/>
        <w:overflowPunct/>
        <w:topLinePunct w:val="0"/>
        <w:autoSpaceDE/>
        <w:autoSpaceDN/>
        <w:bidi w:val="0"/>
        <w:adjustRightInd w:val="0"/>
        <w:snapToGrid w:val="0"/>
        <w:spacing w:beforeLines="0" w:afterLines="0" w:line="360" w:lineRule="auto"/>
        <w:jc w:val="left"/>
        <w:textAlignment w:val="auto"/>
        <w:outlineLvl w:val="2"/>
        <w:rPr>
          <w:rFonts w:hint="eastAsia" w:ascii="黑体" w:hAnsi="黑体" w:eastAsia="黑体" w:cs="黑体"/>
          <w:b/>
          <w:bCs/>
          <w:color w:val="auto"/>
          <w:kern w:val="0"/>
          <w:sz w:val="28"/>
          <w:szCs w:val="28"/>
          <w:highlight w:val="none"/>
          <w:lang w:val="en-GB"/>
        </w:rPr>
      </w:pPr>
      <w:bookmarkStart w:id="1381" w:name="_Toc29719"/>
      <w:bookmarkStart w:id="1382" w:name="_Toc18553"/>
      <w:bookmarkStart w:id="1383" w:name="_Toc17658"/>
      <w:bookmarkStart w:id="1384" w:name="_Toc21827"/>
      <w:bookmarkStart w:id="1385" w:name="_Toc498075608"/>
      <w:bookmarkStart w:id="1386" w:name="_Toc60846627"/>
      <w:bookmarkStart w:id="1387" w:name="_Toc32524"/>
      <w:bookmarkStart w:id="1388" w:name="_Toc4878"/>
      <w:bookmarkStart w:id="1389" w:name="_Toc11876"/>
      <w:bookmarkStart w:id="1390" w:name="_Toc23859"/>
      <w:bookmarkStart w:id="1391" w:name="_Toc4291"/>
      <w:bookmarkStart w:id="1392" w:name="_Toc14527"/>
      <w:bookmarkStart w:id="1393" w:name="_Toc32538"/>
      <w:bookmarkStart w:id="1394" w:name="_Toc21812"/>
      <w:bookmarkStart w:id="1395" w:name="_Toc10672"/>
      <w:bookmarkStart w:id="1396" w:name="_Toc5546"/>
      <w:bookmarkStart w:id="1397" w:name="_Toc25972"/>
      <w:bookmarkStart w:id="1398" w:name="_Toc19592"/>
      <w:bookmarkStart w:id="1399" w:name="_Toc17690"/>
      <w:r>
        <w:rPr>
          <w:rFonts w:hint="eastAsia" w:ascii="黑体" w:hAnsi="黑体" w:eastAsia="黑体" w:cs="黑体"/>
          <w:b/>
          <w:bCs/>
          <w:color w:val="auto"/>
          <w:kern w:val="0"/>
          <w:sz w:val="28"/>
          <w:szCs w:val="28"/>
          <w:highlight w:val="none"/>
          <w:lang w:val="en-GB"/>
        </w:rPr>
        <w:t>3.</w:t>
      </w:r>
      <w:r>
        <w:rPr>
          <w:rFonts w:hint="eastAsia" w:ascii="黑体" w:hAnsi="黑体" w:eastAsia="黑体" w:cs="黑体"/>
          <w:b/>
          <w:bCs/>
          <w:color w:val="auto"/>
          <w:kern w:val="0"/>
          <w:sz w:val="28"/>
          <w:szCs w:val="28"/>
          <w:highlight w:val="none"/>
          <w:lang w:val="en-US" w:eastAsia="zh-CN"/>
        </w:rPr>
        <w:t>2.10</w:t>
      </w:r>
      <w:r>
        <w:rPr>
          <w:rFonts w:hint="eastAsia" w:ascii="黑体" w:hAnsi="黑体" w:eastAsia="黑体" w:cs="黑体"/>
          <w:b/>
          <w:bCs/>
          <w:color w:val="auto"/>
          <w:kern w:val="0"/>
          <w:sz w:val="28"/>
          <w:szCs w:val="28"/>
          <w:highlight w:val="none"/>
          <w:lang w:val="en-GB"/>
        </w:rPr>
        <w:t xml:space="preserve"> 案例分析</w:t>
      </w:r>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p>
    <w:p w14:paraId="6EA4CCB6">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584" w:firstLineChars="200"/>
        <w:textAlignment w:val="auto"/>
        <w:rPr>
          <w:rFonts w:hint="eastAsia" w:ascii="宋体" w:hAnsi="宋体" w:eastAsia="宋体" w:cs="宋体"/>
          <w:color w:val="auto"/>
          <w:spacing w:val="6"/>
          <w:sz w:val="28"/>
          <w:szCs w:val="28"/>
          <w:highlight w:val="none"/>
          <w:shd w:val="clear" w:color="auto" w:fill="FFFFFF"/>
        </w:rPr>
      </w:pPr>
      <w:r>
        <w:rPr>
          <w:rFonts w:hint="eastAsia" w:ascii="宋体" w:hAnsi="宋体" w:eastAsia="宋体" w:cs="宋体"/>
          <w:color w:val="auto"/>
          <w:spacing w:val="6"/>
          <w:sz w:val="28"/>
          <w:szCs w:val="28"/>
          <w:highlight w:val="none"/>
          <w:shd w:val="clear" w:color="auto" w:fill="FFFFFF"/>
        </w:rPr>
        <w:t>案例1：广州慧谷工程材料有限公司“9·16”爆燃事故</w:t>
      </w:r>
    </w:p>
    <w:p w14:paraId="5099A1E6">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584" w:firstLineChars="200"/>
        <w:textAlignment w:val="auto"/>
        <w:rPr>
          <w:rFonts w:hint="eastAsia" w:ascii="宋体" w:hAnsi="宋体" w:eastAsia="宋体" w:cs="宋体"/>
          <w:color w:val="auto"/>
          <w:spacing w:val="6"/>
          <w:sz w:val="28"/>
          <w:szCs w:val="28"/>
          <w:highlight w:val="none"/>
          <w:shd w:val="clear" w:color="auto" w:fill="FFFFFF"/>
        </w:rPr>
      </w:pPr>
      <w:r>
        <w:rPr>
          <w:rFonts w:hint="eastAsia" w:ascii="宋体" w:hAnsi="宋体" w:eastAsia="宋体" w:cs="宋体"/>
          <w:color w:val="auto"/>
          <w:spacing w:val="6"/>
          <w:sz w:val="28"/>
          <w:szCs w:val="28"/>
          <w:highlight w:val="none"/>
          <w:shd w:val="clear" w:color="auto" w:fill="FFFFFF"/>
        </w:rPr>
        <w:t>2019年9月16日21时30分许，位于广州市增城区中新镇的广州慧谷工程材料有限公司（以下简称“慧谷公司”）C1仓库（丙类仓库）首层的其中1个防火分区（约40平方米）发生爆燃事故，造成2人死亡。慧谷公司主要生产水性涂料和手机膜，也生产环氧绝缘漆、丙烯酸烘漆、聚酯树脂绝缘漆等危险化学品，属于危险化学品生产企业。经初步调查判断，事故原因是：事发仓库主要储存丙烯酸树脂生产所用的引发剂（主要成分是过氧化苯甲酸叔丁酯，属有机过氧化物，受热容易分解，需低温保存，建议储存温度10-15℃）。企业在仓库内设有防爆冰箱储存。事发前冰箱因故障停止制冷时间较长，箱内温度上升，超出建议储存温度，造成引发剂受热分解膨胀，</w:t>
      </w:r>
      <w:r>
        <w:rPr>
          <w:rFonts w:hint="eastAsia" w:ascii="宋体" w:hAnsi="宋体" w:cs="宋体"/>
          <w:color w:val="auto"/>
          <w:spacing w:val="6"/>
          <w:sz w:val="28"/>
          <w:szCs w:val="28"/>
          <w:highlight w:val="none"/>
          <w:shd w:val="clear" w:color="auto" w:fill="FFFFFF"/>
          <w:lang w:eastAsia="zh-CN"/>
        </w:rPr>
        <w:t>胀</w:t>
      </w:r>
      <w:r>
        <w:rPr>
          <w:rFonts w:hint="eastAsia" w:ascii="宋体" w:hAnsi="宋体" w:eastAsia="宋体" w:cs="宋体"/>
          <w:color w:val="auto"/>
          <w:spacing w:val="6"/>
          <w:sz w:val="28"/>
          <w:szCs w:val="28"/>
          <w:highlight w:val="none"/>
          <w:shd w:val="clear" w:color="auto" w:fill="FFFFFF"/>
        </w:rPr>
        <w:t>破包装物，并流淌至冰箱外地面。企业组织人员使用棉纱对泄漏的引发剂进行吸附和擦拭时，操作不当（没有按化学品安全技术说明书要求用大量清水冲洗或惰性吸附剂吸附），不排除动作过大造成震动或摩擦，引起泄漏的引发剂发生闪爆，并引发火灾。</w:t>
      </w:r>
    </w:p>
    <w:p w14:paraId="091B10B1">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584" w:firstLineChars="200"/>
        <w:textAlignment w:val="auto"/>
        <w:rPr>
          <w:rFonts w:hint="eastAsia" w:ascii="宋体" w:hAnsi="宋体" w:eastAsia="宋体" w:cs="宋体"/>
          <w:color w:val="auto"/>
          <w:spacing w:val="6"/>
          <w:sz w:val="28"/>
          <w:szCs w:val="28"/>
          <w:highlight w:val="none"/>
          <w:shd w:val="clear" w:color="auto" w:fill="FFFFFF"/>
        </w:rPr>
      </w:pPr>
      <w:r>
        <w:rPr>
          <w:rFonts w:hint="eastAsia" w:ascii="宋体" w:hAnsi="宋体" w:eastAsia="宋体" w:cs="宋体"/>
          <w:color w:val="auto"/>
          <w:spacing w:val="6"/>
          <w:sz w:val="28"/>
          <w:szCs w:val="28"/>
          <w:highlight w:val="none"/>
          <w:shd w:val="clear" w:color="auto" w:fill="FFFFFF"/>
        </w:rPr>
        <w:t>慧谷公司在安全生产管理方面存在严重问题：</w:t>
      </w:r>
    </w:p>
    <w:p w14:paraId="301F4312">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584" w:firstLineChars="200"/>
        <w:textAlignment w:val="auto"/>
        <w:rPr>
          <w:rFonts w:hint="eastAsia" w:ascii="宋体" w:hAnsi="宋体" w:eastAsia="宋体" w:cs="宋体"/>
          <w:color w:val="auto"/>
          <w:spacing w:val="6"/>
          <w:sz w:val="28"/>
          <w:szCs w:val="28"/>
          <w:highlight w:val="none"/>
          <w:shd w:val="clear" w:color="auto" w:fill="FFFFFF"/>
        </w:rPr>
      </w:pPr>
      <w:r>
        <w:rPr>
          <w:rFonts w:hint="eastAsia" w:ascii="宋体" w:hAnsi="宋体" w:eastAsia="宋体" w:cs="宋体"/>
          <w:color w:val="auto"/>
          <w:spacing w:val="6"/>
          <w:sz w:val="28"/>
          <w:szCs w:val="28"/>
          <w:highlight w:val="none"/>
          <w:shd w:val="clear" w:color="auto" w:fill="FFFFFF"/>
        </w:rPr>
        <w:t>一是主要负责人安全责任悬空。慧谷公司的法人代表（实际控制人）是上级公司的董事长，总经理也是上级公司董事兼任，法人代表和总经理主要工作地点均在上级公司，1周仅到慧谷公司</w:t>
      </w:r>
      <w:r>
        <w:rPr>
          <w:rFonts w:hint="eastAsia" w:ascii="宋体" w:hAnsi="宋体" w:cs="宋体"/>
          <w:color w:val="auto"/>
          <w:spacing w:val="6"/>
          <w:sz w:val="28"/>
          <w:szCs w:val="28"/>
          <w:highlight w:val="none"/>
          <w:shd w:val="clear" w:color="auto" w:fill="FFFFFF"/>
          <w:lang w:eastAsia="zh-CN"/>
        </w:rPr>
        <w:t>2～3天</w:t>
      </w:r>
      <w:r>
        <w:rPr>
          <w:rFonts w:hint="eastAsia" w:ascii="宋体" w:hAnsi="宋体" w:eastAsia="宋体" w:cs="宋体"/>
          <w:color w:val="auto"/>
          <w:spacing w:val="6"/>
          <w:sz w:val="28"/>
          <w:szCs w:val="28"/>
          <w:highlight w:val="none"/>
          <w:shd w:val="clear" w:color="auto" w:fill="FFFFFF"/>
        </w:rPr>
        <w:t>，不在岗在位抓安全生产管理，主要负责人责任悬空、假手于人。</w:t>
      </w:r>
    </w:p>
    <w:p w14:paraId="31DB70E7">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584" w:firstLineChars="200"/>
        <w:textAlignment w:val="auto"/>
        <w:rPr>
          <w:rFonts w:hint="eastAsia" w:ascii="宋体" w:hAnsi="宋体" w:eastAsia="宋体" w:cs="宋体"/>
          <w:color w:val="auto"/>
          <w:spacing w:val="6"/>
          <w:sz w:val="28"/>
          <w:szCs w:val="28"/>
          <w:highlight w:val="none"/>
          <w:shd w:val="clear" w:color="auto" w:fill="FFFFFF"/>
        </w:rPr>
      </w:pPr>
      <w:r>
        <w:rPr>
          <w:rFonts w:hint="eastAsia" w:ascii="宋体" w:hAnsi="宋体" w:eastAsia="宋体" w:cs="宋体"/>
          <w:color w:val="auto"/>
          <w:spacing w:val="6"/>
          <w:sz w:val="28"/>
          <w:szCs w:val="28"/>
          <w:highlight w:val="none"/>
          <w:shd w:val="clear" w:color="auto" w:fill="FFFFFF"/>
        </w:rPr>
        <w:t>二是风险管理意识淡薄。企业主要负责人对引发剂容易受热分解的危险特性不熟悉、不了解，风险辨识和防控措施不到位。以配方保密为由，仓管员甚至安全管理人员均不清楚库内储存什么化学品、</w:t>
      </w:r>
      <w:r>
        <w:rPr>
          <w:rFonts w:hint="eastAsia" w:ascii="宋体" w:hAnsi="宋体" w:cs="宋体"/>
          <w:color w:val="auto"/>
          <w:spacing w:val="6"/>
          <w:sz w:val="28"/>
          <w:szCs w:val="28"/>
          <w:highlight w:val="none"/>
          <w:shd w:val="clear" w:color="auto" w:fill="FFFFFF"/>
          <w:lang w:eastAsia="zh-CN"/>
        </w:rPr>
        <w:t>做</w:t>
      </w:r>
      <w:r>
        <w:rPr>
          <w:rFonts w:hint="eastAsia" w:ascii="宋体" w:hAnsi="宋体" w:eastAsia="宋体" w:cs="宋体"/>
          <w:color w:val="auto"/>
          <w:spacing w:val="6"/>
          <w:sz w:val="28"/>
          <w:szCs w:val="28"/>
          <w:highlight w:val="none"/>
          <w:shd w:val="clear" w:color="auto" w:fill="FFFFFF"/>
        </w:rPr>
        <w:t>什么用途，更不清楚化学品的主要成分和危险特性，安全管理出现重大漏洞。</w:t>
      </w:r>
    </w:p>
    <w:p w14:paraId="4E500519">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584" w:firstLineChars="200"/>
        <w:textAlignment w:val="auto"/>
        <w:rPr>
          <w:rFonts w:hint="eastAsia" w:ascii="宋体" w:hAnsi="宋体" w:eastAsia="宋体" w:cs="宋体"/>
          <w:color w:val="auto"/>
          <w:spacing w:val="6"/>
          <w:sz w:val="28"/>
          <w:szCs w:val="28"/>
          <w:highlight w:val="none"/>
          <w:shd w:val="clear" w:color="auto" w:fill="FFFFFF"/>
        </w:rPr>
      </w:pPr>
      <w:r>
        <w:rPr>
          <w:rFonts w:hint="eastAsia" w:ascii="宋体" w:hAnsi="宋体" w:eastAsia="宋体" w:cs="宋体"/>
          <w:color w:val="auto"/>
          <w:spacing w:val="6"/>
          <w:sz w:val="28"/>
          <w:szCs w:val="28"/>
          <w:highlight w:val="none"/>
          <w:shd w:val="clear" w:color="auto" w:fill="FFFFFF"/>
        </w:rPr>
        <w:t>三是储存环节违章问题突出。事发时该仓库存有引发剂约130公斤（包装规格是20公斤/塑料桶），除30公斤在冰箱内低温保存外，仍有近100公斤直接堆放在仓库内，不符合低温保存要求。</w:t>
      </w:r>
    </w:p>
    <w:p w14:paraId="497AB57B">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584" w:firstLineChars="200"/>
        <w:textAlignment w:val="auto"/>
        <w:rPr>
          <w:rFonts w:hint="eastAsia" w:ascii="宋体" w:hAnsi="宋体" w:eastAsia="宋体" w:cs="宋体"/>
          <w:color w:val="auto"/>
          <w:spacing w:val="6"/>
          <w:sz w:val="28"/>
          <w:szCs w:val="28"/>
          <w:highlight w:val="none"/>
          <w:shd w:val="clear" w:color="auto" w:fill="FFFFFF"/>
        </w:rPr>
      </w:pPr>
      <w:r>
        <w:rPr>
          <w:rFonts w:hint="eastAsia" w:ascii="宋体" w:hAnsi="宋体" w:eastAsia="宋体" w:cs="宋体"/>
          <w:color w:val="auto"/>
          <w:spacing w:val="6"/>
          <w:sz w:val="28"/>
          <w:szCs w:val="28"/>
          <w:highlight w:val="none"/>
          <w:shd w:val="clear" w:color="auto" w:fill="FFFFFF"/>
        </w:rPr>
        <w:t>四是应急处置措施不当。对引发剂泄漏危险判断不足，没有严格按照化学品安全技术说明书要求，用大量清水冲洗或惰性吸附剂吸附，而是用棉纱吸收和擦拭地面泄漏物料，导致在处置过程中引发事故。</w:t>
      </w:r>
    </w:p>
    <w:p w14:paraId="153A1C13">
      <w:pPr>
        <w:pStyle w:val="690"/>
        <w:keepNext w:val="0"/>
        <w:keepLines w:val="0"/>
        <w:pageBreakBefore w:val="0"/>
        <w:widowControl w:val="0"/>
        <w:kinsoku/>
        <w:wordWrap/>
        <w:overflowPunct/>
        <w:topLinePunct w:val="0"/>
        <w:autoSpaceDE/>
        <w:autoSpaceDN/>
        <w:bidi w:val="0"/>
        <w:adjustRightInd w:val="0"/>
        <w:snapToGrid w:val="0"/>
        <w:spacing w:beforeLines="0" w:afterLines="0"/>
        <w:ind w:firstLine="584"/>
        <w:textAlignment w:val="auto"/>
        <w:rPr>
          <w:rFonts w:hint="eastAsia" w:ascii="宋体" w:hAnsi="宋体" w:eastAsia="宋体" w:cs="宋体"/>
          <w:color w:val="auto"/>
          <w:highlight w:val="none"/>
        </w:rPr>
      </w:pPr>
      <w:r>
        <w:rPr>
          <w:rFonts w:hint="eastAsia" w:ascii="宋体" w:hAnsi="宋体" w:eastAsia="宋体" w:cs="宋体"/>
          <w:color w:val="auto"/>
          <w:spacing w:val="6"/>
          <w:highlight w:val="none"/>
          <w:shd w:val="clear" w:color="auto" w:fill="FFFFFF"/>
        </w:rPr>
        <w:t>案例2：</w:t>
      </w:r>
      <w:r>
        <w:rPr>
          <w:rFonts w:hint="eastAsia" w:ascii="宋体" w:hAnsi="宋体" w:eastAsia="宋体" w:cs="宋体"/>
          <w:color w:val="auto"/>
          <w:highlight w:val="none"/>
        </w:rPr>
        <w:t>杭州一存有大量油漆和香蕉水的仓库起火事故</w:t>
      </w:r>
    </w:p>
    <w:p w14:paraId="47DB64D8">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2010.8.16日下午13时20分许，杭州119指挥中心接到报警：位于杭州滨江区滨文路158号的杭州灵感模具有限公司发生火灾。起火仓库存放着大量油漆和香蕉水，刚开始是仓库西边的油漆桶在冒烟，并没有出现明火。当时烟很呛鼻，但视线还能看清楚，后来烟越来越大，由于消防队员从多个方向对起火的厂房进行灭火，导致工厂外的消防栓不够用，为尽快消除火情，消防队员开着水罐车去高架下去装水，再运到现场灭火。到了下午14时44分，火势被完全控制，14时58分，火被完全扑灭。</w:t>
      </w:r>
    </w:p>
    <w:p w14:paraId="5B236ADB">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据初步调查：起火厂房为4层砖混结构，起火层为第4层，主要存放建筑用模型，油漆和香蕉水，过火面积约900平方米。火灾发生后，现场工人都已经全部撤离，暂无收到人员伤亡情况的报告。事故原因可能是因为高温引发材料自燃的。对此消防部门提醒，该类仓库要设法降温，尤其是对低沸点、易挥发的易燃液体，要求库温保持在25～28摄氏度以下。对一些闪点和沸点都很低的危险品等，可采用在库房内放冰的办法来降低库温至28℃以下。早晚和下半夜开门窗通风，放进冷空气，使库温降低，还可以使库房内得到通风，消除库房内的可燃气体。也可以在建筑物上采取一些临时措施来降低库房内温度，如在窗玻璃上涂蓝色或白色漆，在屋顶和外墙上涂白色，增加反射，减少吸热，一般也可降低1摄氏度。</w:t>
      </w:r>
    </w:p>
    <w:p w14:paraId="4D9BC3EE">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案例3：油漆仓库着火事故</w:t>
      </w:r>
    </w:p>
    <w:p w14:paraId="047EF824">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2017年4月2日下午5点多，在南京江宁滨江开发区喜燕路上，一家工厂里用于存放油漆的库房突然起火，大量罐装的油漆在火灾中被烧毁，并在燃烧中还伴有爆炸。工厂工人报警后，当地警方及消防员赶到现场扑救，约半个小时后将大火扑灭。因这个库房位于工厂比较偏僻的一角，起火原因实在蹊跷。目前，警方正在调查原因。</w:t>
      </w:r>
    </w:p>
    <w:p w14:paraId="2F8784DE">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据介绍，当时工厂的工作人员发现油漆库房失火后，立即向警方报警。与此同时，驻留在厂区的工人也试图用灭火器实施自救，但由于火势太大，区区几个灭火器根本起不到任何作用。很快，正在附近出警的铁心桥消防中队立即赶到事故现场，对失火的油漆库房进行扑救。出事的是一家机电制造公司，失火处是该公司用于存放油漆的库房，在工厂的</w:t>
      </w:r>
      <w:r>
        <w:rPr>
          <w:rFonts w:hint="eastAsia" w:cs="宋体"/>
          <w:color w:val="auto"/>
          <w:highlight w:val="none"/>
          <w:lang w:eastAsia="zh-CN"/>
        </w:rPr>
        <w:t>一角</w:t>
      </w:r>
      <w:r>
        <w:rPr>
          <w:rFonts w:hint="eastAsia" w:ascii="宋体" w:hAnsi="宋体" w:eastAsia="宋体" w:cs="宋体"/>
          <w:color w:val="auto"/>
          <w:highlight w:val="none"/>
        </w:rPr>
        <w:t>，是用铁皮搭建的，库房内存有上百桶的废旧油漆桶。消防队员立即用水枪进行扑救，在扑救过程中，不时有油漆桶发生爆炸声。在控制火势后，消防人员用专用的工具将油漆桶扒出来，并不停</w:t>
      </w:r>
      <w:r>
        <w:rPr>
          <w:rFonts w:hint="eastAsia" w:cs="宋体"/>
          <w:color w:val="auto"/>
          <w:highlight w:val="none"/>
          <w:lang w:eastAsia="zh-CN"/>
        </w:rPr>
        <w:t>地</w:t>
      </w:r>
      <w:r>
        <w:rPr>
          <w:rFonts w:hint="eastAsia" w:ascii="宋体" w:hAnsi="宋体" w:eastAsia="宋体" w:cs="宋体"/>
          <w:color w:val="auto"/>
          <w:highlight w:val="none"/>
        </w:rPr>
        <w:t>喷射水来降温灭火。约半个小时后，这间存放废旧油漆桶的库房大火被彻底扑灭。据该厂的一名李姓工作人员介绍，一般没有人会去这个存放废弃油漆桶的库房，且平时都是关闭的，莫名失火可能与当天的气温太高有关。不过，具体的事故原因有关部门仍在</w:t>
      </w:r>
      <w:r>
        <w:rPr>
          <w:rFonts w:hint="eastAsia" w:cs="宋体"/>
          <w:color w:val="auto"/>
          <w:highlight w:val="none"/>
          <w:lang w:eastAsia="zh-CN"/>
        </w:rPr>
        <w:t>做</w:t>
      </w:r>
      <w:r>
        <w:rPr>
          <w:rFonts w:hint="eastAsia" w:ascii="宋体" w:hAnsi="宋体" w:eastAsia="宋体" w:cs="宋体"/>
          <w:color w:val="auto"/>
          <w:highlight w:val="none"/>
        </w:rPr>
        <w:t>进一步的调查。</w:t>
      </w:r>
    </w:p>
    <w:p w14:paraId="39E2C390">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案例4：有机过氧化物爆炸事故</w:t>
      </w:r>
    </w:p>
    <w:p w14:paraId="7187296D">
      <w:pPr>
        <w:pStyle w:val="690"/>
        <w:keepNext w:val="0"/>
        <w:keepLines w:val="0"/>
        <w:pageBreakBefore w:val="0"/>
        <w:widowControl w:val="0"/>
        <w:numPr>
          <w:ilvl w:val="0"/>
          <w:numId w:val="32"/>
        </w:numPr>
        <w:kinsoku/>
        <w:wordWrap/>
        <w:overflowPunct/>
        <w:topLinePunct w:val="0"/>
        <w:autoSpaceDE/>
        <w:autoSpaceDN/>
        <w:bidi w:val="0"/>
        <w:adjustRightInd w:val="0"/>
        <w:snapToGrid w:val="0"/>
        <w:spacing w:beforeLines="0" w:afterLines="0"/>
        <w:ind w:left="0" w:firstLine="56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事故概况</w:t>
      </w:r>
    </w:p>
    <w:p w14:paraId="772B61F0">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1993年6月26日16时15分左右，河南省郑州市食品添加剂厂仓库内的7吨多过氧化苯甲酰发生爆炸，随着爆炸的巨响，一股黑烟夹着火球瞬时就升上了天空，在天空形成一团黑蘑菇云，爆炸所产生的猛烈的气浪和冲击波，冲倒了厂房和院墙，随即被气浪掀起的砖头瓦块以及遇难者的残肢断腿从天而降，浓烟尘土散尽，3700多平方米的建筑物已成平地，相邻的企业也受到灾害，经统计，该起事故死亡27人，受伤33人，经济损失3000000元。</w:t>
      </w:r>
    </w:p>
    <w:p w14:paraId="5BE88905">
      <w:pPr>
        <w:pStyle w:val="690"/>
        <w:keepNext w:val="0"/>
        <w:keepLines w:val="0"/>
        <w:pageBreakBefore w:val="0"/>
        <w:widowControl w:val="0"/>
        <w:numPr>
          <w:ilvl w:val="0"/>
          <w:numId w:val="32"/>
        </w:numPr>
        <w:kinsoku/>
        <w:wordWrap/>
        <w:overflowPunct/>
        <w:topLinePunct w:val="0"/>
        <w:autoSpaceDE/>
        <w:autoSpaceDN/>
        <w:bidi w:val="0"/>
        <w:adjustRightInd w:val="0"/>
        <w:snapToGrid w:val="0"/>
        <w:spacing w:beforeLines="0" w:afterLines="0"/>
        <w:ind w:left="0" w:firstLine="56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事故原因分析</w:t>
      </w:r>
    </w:p>
    <w:p w14:paraId="18278592">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该厂的本质安全条件极差，厂房设计弊端多，工艺设计不完善，厂房布局不合理；有关领导的安全意识淡漠；安全管理混乱，该厂既没人专职负责安全生产，安全管理制度不落实，无有效安全生产培训教育；仓库内混存混放的现象十分严重、人员随便出入。</w:t>
      </w:r>
    </w:p>
    <w:p w14:paraId="7F958E7B">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案例5过氧化甲乙酮爆炸</w:t>
      </w:r>
    </w:p>
    <w:p w14:paraId="08653DF1">
      <w:pPr>
        <w:pStyle w:val="690"/>
        <w:keepNext w:val="0"/>
        <w:keepLines w:val="0"/>
        <w:pageBreakBefore w:val="0"/>
        <w:widowControl w:val="0"/>
        <w:numPr>
          <w:ilvl w:val="0"/>
          <w:numId w:val="33"/>
        </w:numPr>
        <w:kinsoku/>
        <w:wordWrap/>
        <w:overflowPunct/>
        <w:topLinePunct w:val="0"/>
        <w:autoSpaceDE/>
        <w:autoSpaceDN/>
        <w:bidi w:val="0"/>
        <w:adjustRightInd w:val="0"/>
        <w:snapToGrid w:val="0"/>
        <w:spacing w:beforeLines="0" w:afterLines="0"/>
        <w:ind w:left="0" w:firstLine="56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事故概况</w:t>
      </w:r>
    </w:p>
    <w:p w14:paraId="28B11840">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2013年6月14日凌晨4点左右，富阳一家电力器材公司的脱模工牛某和欧某把脱模后的玻璃钢管成品一一抬到烤箱旁。此时，烤箱旁堆满了“神秘”的塑料桶，塑料桶内存放的是过氧化甲乙酮（俗称“白水”），两人并没有觉得有什么异常，顺手将玻璃钢管堆放在烤箱附近后，便转身打算去拿下一个玻璃钢管。没想到的是，一个刚放下的玻璃钢管成品慢慢地滚向了那些“神秘”的塑料桶，紧接着“砰”一声巨响，塑料桶内过氧化甲乙酮燃烧爆炸，伴随一声巨响，生产车间里顿时火光四溅，大火迅速窜至生产作业人员身上，在场的5名员工瞬间变成了一个个“火人”，事后经确认，这起事故终酿成了一起3人死亡、1人重伤、1人九级伤残的重大伤亡事故。</w:t>
      </w:r>
    </w:p>
    <w:p w14:paraId="50BF8592">
      <w:pPr>
        <w:pStyle w:val="690"/>
        <w:keepNext w:val="0"/>
        <w:keepLines w:val="0"/>
        <w:pageBreakBefore w:val="0"/>
        <w:widowControl w:val="0"/>
        <w:numPr>
          <w:ilvl w:val="0"/>
          <w:numId w:val="33"/>
        </w:numPr>
        <w:kinsoku/>
        <w:wordWrap/>
        <w:overflowPunct/>
        <w:topLinePunct w:val="0"/>
        <w:autoSpaceDE/>
        <w:autoSpaceDN/>
        <w:bidi w:val="0"/>
        <w:adjustRightInd w:val="0"/>
        <w:snapToGrid w:val="0"/>
        <w:spacing w:beforeLines="0" w:afterLines="0"/>
        <w:ind w:left="0" w:firstLine="56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事故原因分析</w:t>
      </w:r>
    </w:p>
    <w:p w14:paraId="645B5CB8">
      <w:pPr>
        <w:pStyle w:val="690"/>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hint="eastAsia" w:ascii="宋体" w:hAnsi="宋体" w:eastAsia="宋体" w:cs="宋体"/>
          <w:color w:val="auto"/>
          <w:highlight w:val="none"/>
        </w:rPr>
      </w:pPr>
      <w:r>
        <w:rPr>
          <w:rFonts w:hint="eastAsia" w:ascii="宋体" w:hAnsi="宋体" w:eastAsia="宋体" w:cs="宋体"/>
          <w:color w:val="auto"/>
          <w:highlight w:val="none"/>
        </w:rPr>
        <w:t>该电力器材公司违规组织生产，没有专门的存放仓库和看管人员，平时塑料桶随意放置在生产车间内，也未制定相应的安全生产管理制度和安全操作流程，不严格落实从业人员的安全培训教育与安全生产工作。</w:t>
      </w:r>
    </w:p>
    <w:p w14:paraId="1B727942">
      <w:pPr>
        <w:pStyle w:val="3"/>
        <w:keepNext/>
        <w:keepLines/>
        <w:pageBreakBefore w:val="0"/>
        <w:widowControl w:val="0"/>
        <w:kinsoku/>
        <w:wordWrap/>
        <w:overflowPunct/>
        <w:topLinePunct w:val="0"/>
        <w:autoSpaceDE/>
        <w:autoSpaceDN/>
        <w:bidi w:val="0"/>
        <w:adjustRightInd w:val="0"/>
        <w:snapToGrid w:val="0"/>
        <w:spacing w:before="0" w:beforeLines="0" w:after="0" w:afterLines="0" w:line="360" w:lineRule="auto"/>
        <w:textAlignment w:val="auto"/>
        <w:rPr>
          <w:rFonts w:hint="eastAsia" w:ascii="黑体" w:hAnsi="黑体" w:eastAsia="黑体"/>
          <w:color w:val="auto"/>
          <w:sz w:val="28"/>
          <w:szCs w:val="28"/>
          <w:highlight w:val="none"/>
          <w:lang w:eastAsia="zh-CN"/>
        </w:rPr>
      </w:pPr>
      <w:bookmarkStart w:id="1400" w:name="_Toc7903"/>
      <w:bookmarkStart w:id="1401" w:name="_Toc12565"/>
      <w:bookmarkStart w:id="1402" w:name="_Toc17162"/>
      <w:bookmarkStart w:id="1403" w:name="_Toc23221"/>
      <w:bookmarkStart w:id="1404" w:name="_Toc6819"/>
      <w:bookmarkStart w:id="1405" w:name="_Toc20766"/>
      <w:bookmarkStart w:id="1406" w:name="_Toc27472"/>
      <w:bookmarkStart w:id="1407" w:name="_Toc9268"/>
      <w:bookmarkStart w:id="1408" w:name="_Toc7510"/>
      <w:bookmarkStart w:id="1409" w:name="_Toc31614"/>
      <w:bookmarkStart w:id="1410" w:name="_Toc22719"/>
      <w:bookmarkStart w:id="1411" w:name="_Toc12402"/>
      <w:bookmarkStart w:id="1412" w:name="_Toc14643"/>
      <w:bookmarkStart w:id="1413" w:name="_Toc26459"/>
      <w:bookmarkStart w:id="1414" w:name="_Toc2445"/>
      <w:bookmarkStart w:id="1415" w:name="_Toc24222"/>
      <w:bookmarkStart w:id="1416" w:name="_Toc17092"/>
      <w:bookmarkStart w:id="1417" w:name="_Toc12185"/>
      <w:bookmarkStart w:id="1418" w:name="_Toc8704"/>
      <w:bookmarkStart w:id="1419" w:name="_Toc21046"/>
      <w:bookmarkStart w:id="1420" w:name="_Toc17992"/>
      <w:r>
        <w:rPr>
          <w:rFonts w:hint="eastAsia" w:ascii="黑体" w:hAnsi="黑体"/>
          <w:color w:val="auto"/>
          <w:sz w:val="28"/>
          <w:szCs w:val="28"/>
          <w:highlight w:val="none"/>
        </w:rPr>
        <w:t>3.3</w:t>
      </w:r>
      <w:r>
        <w:rPr>
          <w:rFonts w:hint="eastAsia" w:ascii="黑体" w:hAnsi="黑体"/>
          <w:color w:val="auto"/>
          <w:sz w:val="28"/>
          <w:szCs w:val="28"/>
          <w:highlight w:val="none"/>
          <w:lang w:val="en-US" w:eastAsia="zh-CN"/>
        </w:rPr>
        <w:t xml:space="preserve"> </w:t>
      </w:r>
      <w:r>
        <w:rPr>
          <w:rFonts w:hint="eastAsia" w:ascii="黑体" w:hAnsi="黑体"/>
          <w:color w:val="auto"/>
          <w:sz w:val="28"/>
          <w:szCs w:val="28"/>
          <w:highlight w:val="none"/>
        </w:rPr>
        <w:t>危险、有害因素</w:t>
      </w:r>
      <w:bookmarkEnd w:id="1400"/>
      <w:bookmarkEnd w:id="1401"/>
      <w:bookmarkEnd w:id="1402"/>
      <w:bookmarkEnd w:id="1403"/>
      <w:r>
        <w:rPr>
          <w:rFonts w:hint="eastAsia" w:ascii="黑体" w:hAnsi="黑体"/>
          <w:color w:val="auto"/>
          <w:sz w:val="28"/>
          <w:szCs w:val="28"/>
          <w:highlight w:val="none"/>
          <w:lang w:eastAsia="zh-CN"/>
        </w:rPr>
        <w:t>辨识小结</w:t>
      </w:r>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p>
    <w:p w14:paraId="42C18CAD">
      <w:pPr>
        <w:adjustRightInd w:val="0"/>
        <w:snapToGrid w:val="0"/>
        <w:spacing w:beforeLines="0" w:afterLines="0" w:line="360" w:lineRule="auto"/>
        <w:ind w:firstLine="560"/>
        <w:rPr>
          <w:rFonts w:ascii="宋体" w:hAnsi="宋体"/>
          <w:color w:val="auto"/>
          <w:sz w:val="28"/>
          <w:highlight w:val="none"/>
        </w:rPr>
      </w:pPr>
      <w:r>
        <w:rPr>
          <w:rFonts w:hint="eastAsia" w:ascii="宋体" w:hAnsi="宋体"/>
          <w:color w:val="auto"/>
          <w:sz w:val="28"/>
          <w:highlight w:val="none"/>
        </w:rPr>
        <w:t>通过以上危险、有害因素分析，</w:t>
      </w:r>
      <w:r>
        <w:rPr>
          <w:rFonts w:hint="eastAsia" w:ascii="宋体" w:hAnsi="宋体"/>
          <w:color w:val="auto"/>
          <w:sz w:val="28"/>
          <w:highlight w:val="none"/>
          <w:lang w:eastAsia="zh-CN"/>
        </w:rPr>
        <w:t>小结</w:t>
      </w:r>
      <w:r>
        <w:rPr>
          <w:rFonts w:hint="eastAsia" w:ascii="宋体" w:hAnsi="宋体"/>
          <w:color w:val="auto"/>
          <w:sz w:val="28"/>
          <w:highlight w:val="none"/>
        </w:rPr>
        <w:t>如下：</w:t>
      </w:r>
    </w:p>
    <w:p w14:paraId="10E8F7AE">
      <w:pPr>
        <w:adjustRightInd w:val="0"/>
        <w:snapToGrid w:val="0"/>
        <w:spacing w:beforeLines="0" w:afterLines="0" w:line="360" w:lineRule="auto"/>
        <w:ind w:firstLine="560" w:firstLineChars="200"/>
        <w:jc w:val="left"/>
        <w:rPr>
          <w:rFonts w:ascii="宋体" w:hAnsi="宋体"/>
          <w:color w:val="auto"/>
          <w:sz w:val="28"/>
          <w:highlight w:val="none"/>
        </w:rPr>
      </w:pPr>
      <w:r>
        <w:rPr>
          <w:rFonts w:hint="eastAsia" w:ascii="宋体" w:hAnsi="宋体"/>
          <w:color w:val="auto"/>
          <w:sz w:val="28"/>
          <w:highlight w:val="none"/>
        </w:rPr>
        <w:t>（1）主要危险、有害因素：火灾、爆炸；</w:t>
      </w:r>
    </w:p>
    <w:p w14:paraId="46D26E12">
      <w:pPr>
        <w:tabs>
          <w:tab w:val="left" w:pos="6660"/>
        </w:tabs>
        <w:adjustRightInd w:val="0"/>
        <w:snapToGrid w:val="0"/>
        <w:spacing w:beforeLines="0" w:afterLines="0" w:line="360" w:lineRule="auto"/>
        <w:ind w:firstLine="560" w:firstLineChars="200"/>
        <w:rPr>
          <w:rFonts w:hint="eastAsia"/>
          <w:color w:val="auto"/>
          <w:sz w:val="28"/>
          <w:szCs w:val="28"/>
          <w:highlight w:val="none"/>
        </w:rPr>
      </w:pPr>
      <w:r>
        <w:rPr>
          <w:rFonts w:hint="eastAsia" w:ascii="宋体" w:hAnsi="宋体"/>
          <w:color w:val="auto"/>
          <w:sz w:val="28"/>
          <w:szCs w:val="28"/>
          <w:highlight w:val="none"/>
        </w:rPr>
        <w:t>（2）存在的次要危险、有害因素是</w:t>
      </w:r>
      <w:bookmarkStart w:id="1421" w:name="_Toc51485771"/>
      <w:bookmarkStart w:id="1422" w:name="_Toc142986613"/>
      <w:bookmarkStart w:id="1423" w:name="_Toc141406930"/>
      <w:bookmarkStart w:id="1424" w:name="_Toc51642925"/>
      <w:bookmarkStart w:id="1425" w:name="_Toc51642789"/>
      <w:bookmarkStart w:id="1426" w:name="_Toc207095375"/>
      <w:r>
        <w:rPr>
          <w:rFonts w:hint="eastAsia" w:ascii="宋体" w:hAnsi="宋体" w:cs="Times New Roman"/>
          <w:color w:val="auto"/>
          <w:sz w:val="28"/>
          <w:szCs w:val="28"/>
          <w:highlight w:val="none"/>
        </w:rPr>
        <w:t>灼烫</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rPr>
        <w:t>中毒</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rPr>
        <w:t>车辆伤害</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rPr>
        <w:t>触电</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rPr>
        <w:t>物体打击</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rPr>
        <w:t>高处坠落</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rPr>
        <w:t>坍塌</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rPr>
        <w:t>高低温伤害</w:t>
      </w:r>
      <w:r>
        <w:rPr>
          <w:rFonts w:hint="eastAsia"/>
          <w:color w:val="auto"/>
          <w:sz w:val="28"/>
          <w:szCs w:val="28"/>
          <w:highlight w:val="none"/>
        </w:rPr>
        <w:t>；</w:t>
      </w:r>
    </w:p>
    <w:p w14:paraId="6C92F2E6">
      <w:pPr>
        <w:tabs>
          <w:tab w:val="left" w:pos="6660"/>
        </w:tabs>
        <w:adjustRightInd w:val="0"/>
        <w:snapToGrid w:val="0"/>
        <w:spacing w:beforeLines="0" w:afterLines="0" w:line="360" w:lineRule="auto"/>
        <w:ind w:firstLine="560" w:firstLineChars="200"/>
        <w:rPr>
          <w:rFonts w:ascii="宋体" w:hAnsi="宋体"/>
          <w:color w:val="auto"/>
          <w:sz w:val="28"/>
          <w:szCs w:val="28"/>
          <w:highlight w:val="none"/>
        </w:rPr>
      </w:pPr>
      <w:r>
        <w:rPr>
          <w:rFonts w:hint="eastAsia" w:ascii="宋体" w:hAnsi="宋体"/>
          <w:color w:val="auto"/>
          <w:sz w:val="28"/>
          <w:highlight w:val="none"/>
        </w:rPr>
        <w:t>（3）</w:t>
      </w:r>
      <w:r>
        <w:rPr>
          <w:rFonts w:ascii="宋体" w:hAnsi="宋体"/>
          <w:color w:val="auto"/>
          <w:sz w:val="28"/>
          <w:szCs w:val="28"/>
          <w:highlight w:val="none"/>
        </w:rPr>
        <w:t>根据《危险化学品重大危险源辨识》GB18218-20</w:t>
      </w:r>
      <w:r>
        <w:rPr>
          <w:rFonts w:hint="eastAsia" w:ascii="宋体" w:hAnsi="宋体"/>
          <w:color w:val="auto"/>
          <w:sz w:val="28"/>
          <w:szCs w:val="28"/>
          <w:highlight w:val="none"/>
        </w:rPr>
        <w:t>18</w:t>
      </w:r>
      <w:r>
        <w:rPr>
          <w:rFonts w:ascii="宋体" w:hAnsi="宋体"/>
          <w:color w:val="auto"/>
          <w:sz w:val="28"/>
          <w:szCs w:val="28"/>
          <w:highlight w:val="none"/>
        </w:rPr>
        <w:t>进行辨识，</w:t>
      </w:r>
      <w:r>
        <w:rPr>
          <w:rFonts w:hint="eastAsia" w:ascii="宋体" w:hAnsi="宋体"/>
          <w:color w:val="auto"/>
          <w:sz w:val="28"/>
          <w:szCs w:val="28"/>
          <w:highlight w:val="none"/>
          <w:lang w:eastAsia="zh-CN"/>
        </w:rPr>
        <w:t>危化品仓库</w:t>
      </w:r>
      <w:r>
        <w:rPr>
          <w:rFonts w:hint="eastAsia" w:hAnsi="宋体" w:cs="宋体"/>
          <w:color w:val="auto"/>
          <w:kern w:val="0"/>
          <w:sz w:val="28"/>
          <w:szCs w:val="28"/>
          <w:highlight w:val="none"/>
        </w:rPr>
        <w:t>不构成危险化学品重大危险源</w:t>
      </w:r>
      <w:r>
        <w:rPr>
          <w:rFonts w:hint="eastAsia" w:ascii="宋体" w:hAnsi="宋体"/>
          <w:color w:val="auto"/>
          <w:sz w:val="28"/>
          <w:szCs w:val="28"/>
          <w:highlight w:val="none"/>
        </w:rPr>
        <w:t>。</w:t>
      </w:r>
    </w:p>
    <w:bookmarkEnd w:id="1421"/>
    <w:bookmarkEnd w:id="1422"/>
    <w:bookmarkEnd w:id="1423"/>
    <w:bookmarkEnd w:id="1424"/>
    <w:bookmarkEnd w:id="1425"/>
    <w:bookmarkEnd w:id="1426"/>
    <w:p w14:paraId="7D3FEAD5">
      <w:pPr>
        <w:pageBreakBefore/>
        <w:adjustRightInd w:val="0"/>
        <w:snapToGrid w:val="0"/>
        <w:spacing w:beforeLines="100" w:afterLines="100" w:line="360" w:lineRule="auto"/>
        <w:jc w:val="center"/>
        <w:outlineLvl w:val="0"/>
        <w:rPr>
          <w:rFonts w:hint="eastAsia" w:ascii="黑体" w:hAnsi="黑体" w:eastAsia="黑体" w:cs="黑体"/>
          <w:b/>
          <w:color w:val="auto"/>
          <w:sz w:val="32"/>
          <w:szCs w:val="32"/>
          <w:highlight w:val="none"/>
        </w:rPr>
      </w:pPr>
      <w:bookmarkStart w:id="1427" w:name="_Toc20649"/>
      <w:bookmarkStart w:id="1428" w:name="_Toc4639"/>
      <w:bookmarkStart w:id="1429" w:name="_Toc19230"/>
      <w:bookmarkStart w:id="1430" w:name="_Toc5884"/>
      <w:bookmarkStart w:id="1431" w:name="_Toc6642"/>
      <w:bookmarkStart w:id="1432" w:name="_Toc498075610"/>
      <w:bookmarkStart w:id="1433" w:name="_Toc11954"/>
      <w:bookmarkStart w:id="1434" w:name="_Toc29643"/>
      <w:bookmarkStart w:id="1435" w:name="_Toc21029"/>
      <w:bookmarkStart w:id="1436" w:name="_Toc16453"/>
      <w:bookmarkStart w:id="1437" w:name="_Toc26768"/>
      <w:bookmarkStart w:id="1438" w:name="_Toc10375"/>
      <w:bookmarkStart w:id="1439" w:name="_Toc30119"/>
      <w:bookmarkStart w:id="1440" w:name="_Toc18197"/>
      <w:bookmarkStart w:id="1441" w:name="_Toc60846629"/>
      <w:bookmarkStart w:id="1442" w:name="_Toc8947"/>
      <w:bookmarkStart w:id="1443" w:name="_Toc21116"/>
      <w:bookmarkStart w:id="1444" w:name="_Toc4472"/>
      <w:bookmarkStart w:id="1445" w:name="_Toc19985"/>
      <w:r>
        <w:rPr>
          <w:rFonts w:hint="eastAsia" w:ascii="黑体" w:hAnsi="黑体" w:eastAsia="黑体" w:cs="黑体"/>
          <w:b/>
          <w:color w:val="auto"/>
          <w:sz w:val="32"/>
          <w:szCs w:val="32"/>
          <w:highlight w:val="none"/>
        </w:rPr>
        <w:t>4 评价方法和评价单元</w:t>
      </w:r>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p>
    <w:p w14:paraId="1C3140E3">
      <w:pPr>
        <w:adjustRightInd w:val="0"/>
        <w:snapToGrid w:val="0"/>
        <w:spacing w:beforeLines="0" w:afterLines="0" w:line="360" w:lineRule="auto"/>
        <w:jc w:val="left"/>
        <w:outlineLvl w:val="1"/>
        <w:rPr>
          <w:rFonts w:ascii="黑体" w:hAnsi="黑体" w:eastAsia="黑体" w:cs="Times New Roman"/>
          <w:b/>
          <w:color w:val="auto"/>
          <w:sz w:val="28"/>
          <w:szCs w:val="28"/>
          <w:highlight w:val="none"/>
        </w:rPr>
      </w:pPr>
      <w:bookmarkStart w:id="1446" w:name="_Toc32433"/>
      <w:bookmarkStart w:id="1447" w:name="_Toc12039"/>
      <w:bookmarkStart w:id="1448" w:name="_Toc24910"/>
      <w:bookmarkStart w:id="1449" w:name="_Toc29792"/>
      <w:bookmarkStart w:id="1450" w:name="_Toc17168"/>
      <w:bookmarkStart w:id="1451" w:name="_Toc30479"/>
      <w:bookmarkStart w:id="1452" w:name="_Toc14017"/>
      <w:bookmarkStart w:id="1453" w:name="_Toc22351"/>
      <w:bookmarkStart w:id="1454" w:name="_Toc31545"/>
      <w:bookmarkStart w:id="1455" w:name="_Toc19416"/>
      <w:bookmarkStart w:id="1456" w:name="_Toc11474"/>
      <w:bookmarkStart w:id="1457" w:name="_Toc498075612"/>
      <w:bookmarkStart w:id="1458" w:name="_Toc2827"/>
      <w:bookmarkStart w:id="1459" w:name="_Toc6460"/>
      <w:bookmarkStart w:id="1460" w:name="_Toc6767"/>
      <w:bookmarkStart w:id="1461" w:name="_Toc60846631"/>
      <w:bookmarkStart w:id="1462" w:name="_Toc29489"/>
      <w:bookmarkStart w:id="1463" w:name="_Toc2814"/>
      <w:bookmarkStart w:id="1464" w:name="_Toc26930"/>
      <w:r>
        <w:rPr>
          <w:rFonts w:ascii="黑体" w:hAnsi="黑体" w:eastAsia="黑体" w:cs="Times New Roman"/>
          <w:b/>
          <w:color w:val="auto"/>
          <w:sz w:val="28"/>
          <w:szCs w:val="28"/>
          <w:highlight w:val="none"/>
        </w:rPr>
        <w:t>4.</w:t>
      </w:r>
      <w:r>
        <w:rPr>
          <w:rFonts w:hint="eastAsia" w:ascii="黑体" w:hAnsi="黑体" w:eastAsia="黑体" w:cs="Times New Roman"/>
          <w:b/>
          <w:color w:val="auto"/>
          <w:sz w:val="28"/>
          <w:szCs w:val="28"/>
          <w:highlight w:val="none"/>
          <w:lang w:val="en-US" w:eastAsia="zh-CN"/>
        </w:rPr>
        <w:t>1</w:t>
      </w:r>
      <w:r>
        <w:rPr>
          <w:rFonts w:ascii="黑体" w:hAnsi="黑体" w:eastAsia="黑体" w:cs="Times New Roman"/>
          <w:b/>
          <w:color w:val="auto"/>
          <w:sz w:val="28"/>
          <w:szCs w:val="28"/>
          <w:highlight w:val="none"/>
        </w:rPr>
        <w:t xml:space="preserve"> </w:t>
      </w:r>
      <w:r>
        <w:rPr>
          <w:rFonts w:hint="eastAsia" w:ascii="黑体" w:hAnsi="黑体" w:eastAsia="黑体" w:cs="Times New Roman"/>
          <w:b/>
          <w:color w:val="auto"/>
          <w:sz w:val="28"/>
          <w:szCs w:val="28"/>
          <w:highlight w:val="none"/>
        </w:rPr>
        <w:t>评价方法</w:t>
      </w:r>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p>
    <w:p w14:paraId="59644CC6">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bookmarkStart w:id="1465" w:name="_Toc482456087"/>
      <w:bookmarkStart w:id="1466" w:name="_Toc38181585"/>
      <w:bookmarkStart w:id="1467" w:name="_Toc37492199"/>
      <w:bookmarkStart w:id="1468" w:name="_Toc46593442"/>
      <w:bookmarkStart w:id="1469" w:name="_Toc414376821"/>
      <w:bookmarkStart w:id="1470" w:name="_Toc122788434"/>
      <w:bookmarkStart w:id="1471" w:name="_Toc37574677"/>
      <w:bookmarkStart w:id="1472" w:name="_Toc414377964"/>
      <w:bookmarkStart w:id="1473" w:name="_Toc414377609"/>
      <w:bookmarkStart w:id="1474" w:name="_Toc482351143"/>
      <w:bookmarkStart w:id="1475" w:name="_Toc40074013"/>
      <w:r>
        <w:rPr>
          <w:rFonts w:hint="eastAsia" w:ascii="宋体" w:hAnsi="宋体" w:eastAsia="宋体" w:cs="宋体"/>
          <w:color w:val="auto"/>
          <w:kern w:val="0"/>
          <w:sz w:val="28"/>
          <w:szCs w:val="28"/>
          <w:highlight w:val="none"/>
        </w:rPr>
        <w:t>安全评价方法是对系统的危险、有害性及其程度后果进行分析评价的工具。目前已开发出数十种不同特点、适用范围和应用条件的评价方法。按其特性可分为定性安全评价、定量安全评价和综合安全评价。</w:t>
      </w:r>
    </w:p>
    <w:p w14:paraId="12AF2007">
      <w:pPr>
        <w:autoSpaceDE w:val="0"/>
        <w:autoSpaceDN w:val="0"/>
        <w:adjustRightInd w:val="0"/>
        <w:snapToGrid w:val="0"/>
        <w:spacing w:beforeLines="0" w:afterLines="0" w:line="360" w:lineRule="auto"/>
        <w:ind w:firstLine="560"/>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根据危化品仓库特点，结合国内外评价方法，确定本次评价采用的评价方法：</w:t>
      </w:r>
    </w:p>
    <w:p w14:paraId="382D8A9F">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（1）采用安全检查表法</w:t>
      </w:r>
    </w:p>
    <w:p w14:paraId="20DF40AE">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（2）作业条件危险性分析法</w:t>
      </w:r>
    </w:p>
    <w:p w14:paraId="0FF9B818">
      <w:pPr>
        <w:adjustRightInd w:val="0"/>
        <w:snapToGrid w:val="0"/>
        <w:spacing w:beforeLines="0" w:afterLines="0" w:line="360" w:lineRule="auto"/>
        <w:outlineLvl w:val="2"/>
        <w:rPr>
          <w:rFonts w:ascii="黑体" w:eastAsia="黑体"/>
          <w:b/>
          <w:bCs/>
          <w:color w:val="auto"/>
          <w:kern w:val="0"/>
          <w:sz w:val="28"/>
          <w:szCs w:val="28"/>
          <w:highlight w:val="none"/>
          <w:lang w:val="en-GB"/>
        </w:rPr>
      </w:pPr>
      <w:bookmarkStart w:id="1476" w:name="_Toc8657"/>
      <w:bookmarkStart w:id="1477" w:name="_Toc14435"/>
      <w:bookmarkStart w:id="1478" w:name="_Toc10330"/>
      <w:bookmarkStart w:id="1479" w:name="_Toc32400"/>
      <w:bookmarkStart w:id="1480" w:name="_Toc46731880"/>
      <w:bookmarkStart w:id="1481" w:name="_Toc6927"/>
      <w:bookmarkStart w:id="1482" w:name="_Toc26442"/>
      <w:bookmarkStart w:id="1483" w:name="_Toc17473"/>
      <w:bookmarkStart w:id="1484" w:name="_Toc1707"/>
      <w:bookmarkStart w:id="1485" w:name="_Toc19231"/>
      <w:bookmarkStart w:id="1486" w:name="_Toc944"/>
      <w:bookmarkStart w:id="1487" w:name="_Toc9461"/>
      <w:bookmarkStart w:id="1488" w:name="_Toc32505"/>
      <w:bookmarkStart w:id="1489" w:name="_Toc21505"/>
      <w:bookmarkStart w:id="1490" w:name="_Toc9213"/>
      <w:bookmarkStart w:id="1491" w:name="_Toc11493"/>
      <w:bookmarkStart w:id="1492" w:name="_Toc15364"/>
      <w:bookmarkStart w:id="1493" w:name="_Toc18477"/>
      <w:bookmarkStart w:id="1494" w:name="_Toc17799"/>
      <w:bookmarkStart w:id="1495" w:name="_Toc333333447"/>
      <w:bookmarkStart w:id="1496" w:name="_Toc29893"/>
      <w:bookmarkStart w:id="1497" w:name="_Toc11179"/>
      <w:bookmarkStart w:id="1498" w:name="_Toc10724"/>
      <w:bookmarkStart w:id="1499" w:name="_Toc29826"/>
      <w:bookmarkStart w:id="1500" w:name="_Toc14106"/>
      <w:bookmarkStart w:id="1501" w:name="_Toc2353"/>
      <w:bookmarkStart w:id="1502" w:name="_Toc31210"/>
      <w:bookmarkStart w:id="1503" w:name="_Toc16379"/>
      <w:bookmarkStart w:id="1504" w:name="_Toc12427"/>
      <w:r>
        <w:rPr>
          <w:rFonts w:hint="eastAsia" w:ascii="黑体" w:eastAsia="黑体"/>
          <w:b/>
          <w:bCs/>
          <w:color w:val="auto"/>
          <w:kern w:val="0"/>
          <w:sz w:val="28"/>
          <w:szCs w:val="28"/>
          <w:highlight w:val="none"/>
          <w:lang w:val="en-GB"/>
        </w:rPr>
        <w:t>4.1.1</w:t>
      </w:r>
      <w:r>
        <w:rPr>
          <w:rFonts w:hint="eastAsia" w:ascii="黑体" w:eastAsia="黑体"/>
          <w:b/>
          <w:bCs/>
          <w:color w:val="auto"/>
          <w:kern w:val="0"/>
          <w:sz w:val="28"/>
          <w:szCs w:val="28"/>
          <w:highlight w:val="none"/>
          <w:lang w:val="en-US" w:eastAsia="zh-CN"/>
        </w:rPr>
        <w:t xml:space="preserve"> </w:t>
      </w:r>
      <w:r>
        <w:rPr>
          <w:rFonts w:hint="eastAsia" w:ascii="黑体" w:eastAsia="黑体"/>
          <w:b/>
          <w:bCs/>
          <w:color w:val="auto"/>
          <w:kern w:val="0"/>
          <w:sz w:val="28"/>
          <w:szCs w:val="28"/>
          <w:highlight w:val="none"/>
          <w:lang w:val="en-GB"/>
        </w:rPr>
        <w:t>安全检查表法</w:t>
      </w:r>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p>
    <w:p w14:paraId="6C564948">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bookmarkStart w:id="1505" w:name="_Toc333333451"/>
      <w:r>
        <w:rPr>
          <w:rFonts w:hint="eastAsia" w:ascii="宋体" w:hAnsi="宋体" w:eastAsia="宋体" w:cs="宋体"/>
          <w:color w:val="auto"/>
          <w:kern w:val="0"/>
          <w:sz w:val="28"/>
          <w:szCs w:val="28"/>
          <w:highlight w:val="none"/>
        </w:rPr>
        <w:t>安全检查表分析（safety checklist Analysis）是系统安全工程一种广泛应用的最简便最直观的危险性评价方法。它是将一系列项目包括总体布局、建（构）筑物、工艺过程、设备、储运、操作、管理等各个方面进行分析评价以确定系统安全状态的方法。通过列出检查单元和部位、检查项目、检查要求，对照相关标准、规范和规定，分析得出有关缺陷或差异的结论。</w:t>
      </w:r>
    </w:p>
    <w:p w14:paraId="53309F47">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安全检查表分析包括三个步骤：</w:t>
      </w:r>
    </w:p>
    <w:p w14:paraId="17F2ED40">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（1）选择或拟定合适的安全检查表；</w:t>
      </w:r>
    </w:p>
    <w:p w14:paraId="42D89384">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（2）对照实际情况，逐项检查；</w:t>
      </w:r>
    </w:p>
    <w:p w14:paraId="05DF5037">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（3）完成分析，编制分析结果文件。</w:t>
      </w:r>
    </w:p>
    <w:p w14:paraId="10D1EFCD">
      <w:pPr>
        <w:adjustRightInd w:val="0"/>
        <w:snapToGrid w:val="0"/>
        <w:spacing w:beforeLines="0" w:afterLines="0" w:line="360" w:lineRule="auto"/>
        <w:outlineLvl w:val="2"/>
        <w:rPr>
          <w:rFonts w:ascii="黑体" w:eastAsia="黑体"/>
          <w:b/>
          <w:bCs/>
          <w:color w:val="auto"/>
          <w:kern w:val="0"/>
          <w:sz w:val="28"/>
          <w:szCs w:val="28"/>
          <w:highlight w:val="none"/>
          <w:lang w:val="en-GB"/>
        </w:rPr>
      </w:pPr>
      <w:bookmarkStart w:id="1506" w:name="_Toc46731881"/>
      <w:bookmarkStart w:id="1507" w:name="_Toc15537"/>
      <w:bookmarkStart w:id="1508" w:name="_Toc25295"/>
      <w:bookmarkStart w:id="1509" w:name="_Toc9871"/>
      <w:bookmarkStart w:id="1510" w:name="_Toc27462"/>
      <w:bookmarkStart w:id="1511" w:name="_Toc31506"/>
      <w:bookmarkStart w:id="1512" w:name="_Toc27074"/>
      <w:bookmarkStart w:id="1513" w:name="_Toc20834"/>
      <w:bookmarkStart w:id="1514" w:name="_Toc16744"/>
      <w:bookmarkStart w:id="1515" w:name="_Toc20046"/>
      <w:bookmarkStart w:id="1516" w:name="_Toc12178"/>
      <w:bookmarkStart w:id="1517" w:name="_Toc11141"/>
      <w:bookmarkStart w:id="1518" w:name="_Toc2693"/>
      <w:bookmarkStart w:id="1519" w:name="_Toc3426"/>
      <w:bookmarkStart w:id="1520" w:name="_Toc9598"/>
      <w:bookmarkStart w:id="1521" w:name="_Toc17596"/>
      <w:bookmarkStart w:id="1522" w:name="_Toc23932"/>
      <w:bookmarkStart w:id="1523" w:name="_Toc8926"/>
      <w:bookmarkStart w:id="1524" w:name="_Toc8100"/>
      <w:bookmarkStart w:id="1525" w:name="_Toc10148"/>
      <w:bookmarkStart w:id="1526" w:name="_Toc11926"/>
      <w:bookmarkStart w:id="1527" w:name="_Toc7321"/>
      <w:bookmarkStart w:id="1528" w:name="_Toc25252"/>
      <w:bookmarkStart w:id="1529" w:name="_Toc31165"/>
      <w:bookmarkStart w:id="1530" w:name="_Toc4988"/>
      <w:bookmarkStart w:id="1531" w:name="_Toc26016"/>
      <w:bookmarkStart w:id="1532" w:name="_Toc9736"/>
      <w:bookmarkStart w:id="1533" w:name="_Toc4579"/>
      <w:r>
        <w:rPr>
          <w:rFonts w:hint="eastAsia" w:ascii="黑体" w:eastAsia="黑体"/>
          <w:b/>
          <w:bCs/>
          <w:color w:val="auto"/>
          <w:kern w:val="0"/>
          <w:sz w:val="28"/>
          <w:szCs w:val="28"/>
          <w:highlight w:val="none"/>
          <w:lang w:val="en-GB"/>
        </w:rPr>
        <w:t>4.1.2</w:t>
      </w:r>
      <w:bookmarkEnd w:id="1506"/>
      <w:bookmarkEnd w:id="1507"/>
      <w:bookmarkEnd w:id="1508"/>
      <w:r>
        <w:rPr>
          <w:rFonts w:hint="eastAsia" w:ascii="黑体" w:eastAsia="黑体"/>
          <w:b/>
          <w:bCs/>
          <w:color w:val="auto"/>
          <w:kern w:val="0"/>
          <w:sz w:val="28"/>
          <w:szCs w:val="28"/>
          <w:highlight w:val="none"/>
          <w:lang w:val="en-US" w:eastAsia="zh-CN"/>
        </w:rPr>
        <w:t xml:space="preserve"> </w:t>
      </w:r>
      <w:r>
        <w:rPr>
          <w:rFonts w:hint="eastAsia" w:ascii="黑体" w:eastAsia="黑体"/>
          <w:b/>
          <w:bCs/>
          <w:color w:val="auto"/>
          <w:kern w:val="0"/>
          <w:sz w:val="28"/>
          <w:szCs w:val="28"/>
          <w:highlight w:val="none"/>
          <w:lang w:val="en-GB"/>
        </w:rPr>
        <w:t>作业条件危险性分析法</w:t>
      </w:r>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p>
    <w:p w14:paraId="01957FD3">
      <w:pPr>
        <w:adjustRightInd w:val="0"/>
        <w:snapToGrid w:val="0"/>
        <w:spacing w:beforeLines="0" w:afterLines="0" w:line="360" w:lineRule="auto"/>
        <w:rPr>
          <w:rFonts w:ascii="宋体" w:hAnsi="宋体"/>
          <w:color w:val="auto"/>
          <w:kern w:val="0"/>
          <w:sz w:val="28"/>
          <w:szCs w:val="28"/>
          <w:highlight w:val="none"/>
        </w:rPr>
      </w:pPr>
      <w:r>
        <w:rPr>
          <w:rFonts w:hint="eastAsia" w:ascii="宋体" w:hAnsi="宋体"/>
          <w:color w:val="auto"/>
          <w:kern w:val="0"/>
          <w:sz w:val="28"/>
          <w:szCs w:val="28"/>
          <w:highlight w:val="none"/>
        </w:rPr>
        <w:t xml:space="preserve">    作业条件危险性分析法是一种简单易行的评价操作人员在具有潜在危险性环境中作业时危险性的半定量评价方法，它是由美国的格雷厄姆（K.J.G</w:t>
      </w:r>
      <w:r>
        <w:rPr>
          <w:rFonts w:ascii="宋体" w:hAnsi="宋体"/>
          <w:color w:val="auto"/>
          <w:kern w:val="0"/>
          <w:sz w:val="28"/>
          <w:szCs w:val="28"/>
          <w:highlight w:val="none"/>
        </w:rPr>
        <w:t>raham</w:t>
      </w:r>
      <w:r>
        <w:rPr>
          <w:rFonts w:hint="eastAsia" w:ascii="宋体" w:hAnsi="宋体"/>
          <w:color w:val="auto"/>
          <w:kern w:val="0"/>
          <w:sz w:val="28"/>
          <w:szCs w:val="28"/>
          <w:highlight w:val="none"/>
        </w:rPr>
        <w:t>）和金尼（</w:t>
      </w:r>
      <w:r>
        <w:rPr>
          <w:rFonts w:ascii="宋体" w:hAnsi="宋体"/>
          <w:color w:val="auto"/>
          <w:kern w:val="0"/>
          <w:sz w:val="28"/>
          <w:szCs w:val="28"/>
          <w:highlight w:val="none"/>
        </w:rPr>
        <w:t>G.F.Kinney</w:t>
      </w:r>
      <w:r>
        <w:rPr>
          <w:rFonts w:hint="eastAsia" w:ascii="宋体" w:hAnsi="宋体"/>
          <w:color w:val="auto"/>
          <w:kern w:val="0"/>
          <w:sz w:val="28"/>
          <w:szCs w:val="28"/>
          <w:highlight w:val="none"/>
        </w:rPr>
        <w:t>）提出的，因此也称为格雷厄姆-金尼法。</w:t>
      </w:r>
    </w:p>
    <w:p w14:paraId="0BD93F03">
      <w:pPr>
        <w:adjustRightInd w:val="0"/>
        <w:snapToGrid w:val="0"/>
        <w:spacing w:beforeLines="0" w:afterLines="0" w:line="360" w:lineRule="auto"/>
        <w:ind w:firstLine="560" w:firstLineChars="200"/>
        <w:rPr>
          <w:rFonts w:ascii="宋体" w:hAnsi="宋体"/>
          <w:color w:val="auto"/>
          <w:kern w:val="0"/>
          <w:sz w:val="28"/>
          <w:szCs w:val="28"/>
          <w:highlight w:val="none"/>
        </w:rPr>
      </w:pPr>
      <w:r>
        <w:rPr>
          <w:rFonts w:hint="eastAsia" w:ascii="宋体" w:hAnsi="宋体"/>
          <w:color w:val="auto"/>
          <w:kern w:val="0"/>
          <w:sz w:val="28"/>
          <w:szCs w:val="28"/>
          <w:highlight w:val="none"/>
        </w:rPr>
        <w:t>作业条件危险性评价法用与系统风险有关的三种因素指标值之积来评价操作人员伤亡风险大小，这三种因素是：L（事故发生的可能性）、E（人员暴露于危险环境中的频繁程度）和C（一旦发生事故可能造成的后果）。但是，要取得这三种因素的准确数据，却是相当繁琐的过程。为了简化评价过程，采取半定量计值方法，给三种因素的不同等级分别确定不同的分值，再以三个分值的乘积D来评价作业条件危险性的大小，即D=L·E·C。</w:t>
      </w:r>
    </w:p>
    <w:p w14:paraId="3623F9F1">
      <w:pPr>
        <w:adjustRightInd w:val="0"/>
        <w:snapToGrid w:val="0"/>
        <w:spacing w:beforeLines="0" w:afterLines="0" w:line="360" w:lineRule="auto"/>
        <w:ind w:firstLine="560"/>
        <w:rPr>
          <w:rFonts w:ascii="宋体" w:hAnsi="宋体"/>
          <w:color w:val="auto"/>
          <w:kern w:val="0"/>
          <w:sz w:val="28"/>
          <w:szCs w:val="28"/>
          <w:highlight w:val="none"/>
        </w:rPr>
      </w:pPr>
      <w:r>
        <w:rPr>
          <w:rFonts w:hint="eastAsia" w:ascii="宋体" w:hAnsi="宋体"/>
          <w:color w:val="auto"/>
          <w:kern w:val="0"/>
          <w:sz w:val="28"/>
          <w:szCs w:val="28"/>
          <w:highlight w:val="none"/>
        </w:rPr>
        <w:t>评价步骤：</w:t>
      </w:r>
    </w:p>
    <w:p w14:paraId="1FEBB040">
      <w:pPr>
        <w:adjustRightInd w:val="0"/>
        <w:snapToGrid w:val="0"/>
        <w:spacing w:beforeLines="0" w:afterLines="0" w:line="360" w:lineRule="auto"/>
        <w:ind w:firstLine="560"/>
        <w:rPr>
          <w:rFonts w:ascii="宋体" w:hAnsi="宋体"/>
          <w:color w:val="auto"/>
          <w:kern w:val="0"/>
          <w:sz w:val="28"/>
          <w:szCs w:val="28"/>
          <w:highlight w:val="none"/>
        </w:rPr>
      </w:pPr>
      <w:r>
        <w:rPr>
          <w:rFonts w:hint="eastAsia" w:ascii="宋体" w:hAnsi="宋体"/>
          <w:color w:val="auto"/>
          <w:kern w:val="0"/>
          <w:sz w:val="28"/>
          <w:szCs w:val="28"/>
          <w:highlight w:val="none"/>
        </w:rPr>
        <w:t>（1）以类比作业条件比较为基础，由熟悉作业条件的人员组成评价小组。</w:t>
      </w:r>
    </w:p>
    <w:p w14:paraId="3DA14CDD">
      <w:pPr>
        <w:adjustRightInd w:val="0"/>
        <w:snapToGrid w:val="0"/>
        <w:spacing w:beforeLines="0" w:afterLines="0" w:line="360" w:lineRule="auto"/>
        <w:ind w:firstLine="560" w:firstLineChars="200"/>
        <w:rPr>
          <w:rFonts w:ascii="宋体" w:hAnsi="宋体"/>
          <w:color w:val="auto"/>
          <w:kern w:val="0"/>
          <w:sz w:val="28"/>
          <w:szCs w:val="28"/>
          <w:highlight w:val="none"/>
        </w:rPr>
      </w:pPr>
      <w:r>
        <w:rPr>
          <w:rFonts w:hint="eastAsia" w:ascii="宋体" w:hAnsi="宋体"/>
          <w:color w:val="auto"/>
          <w:kern w:val="0"/>
          <w:sz w:val="28"/>
          <w:szCs w:val="28"/>
          <w:highlight w:val="none"/>
        </w:rPr>
        <w:t>（2）由评价小组成员按照规定标准给L、E、C分别打分，取三组分值的平均值作为L、E、C的计算分值来评价作业条件的危险性等级。</w:t>
      </w:r>
    </w:p>
    <w:bookmarkEnd w:id="1505"/>
    <w:p w14:paraId="0407C76B">
      <w:pPr>
        <w:adjustRightInd w:val="0"/>
        <w:snapToGrid w:val="0"/>
        <w:spacing w:beforeLines="0" w:afterLines="0" w:line="360" w:lineRule="auto"/>
        <w:jc w:val="left"/>
        <w:outlineLvl w:val="1"/>
        <w:rPr>
          <w:rFonts w:ascii="黑体" w:hAnsi="黑体" w:eastAsia="黑体" w:cs="Times New Roman"/>
          <w:b/>
          <w:color w:val="auto"/>
          <w:sz w:val="28"/>
          <w:szCs w:val="28"/>
          <w:highlight w:val="none"/>
        </w:rPr>
      </w:pPr>
      <w:bookmarkStart w:id="1534" w:name="_Toc16475"/>
      <w:bookmarkStart w:id="1535" w:name="_Toc8676"/>
      <w:bookmarkStart w:id="1536" w:name="_Toc28399"/>
      <w:bookmarkStart w:id="1537" w:name="_Toc498075617"/>
      <w:bookmarkStart w:id="1538" w:name="_Toc28250"/>
      <w:bookmarkStart w:id="1539" w:name="_Toc29282"/>
      <w:bookmarkStart w:id="1540" w:name="_Toc26441"/>
      <w:bookmarkStart w:id="1541" w:name="_Toc11010"/>
      <w:bookmarkStart w:id="1542" w:name="_Toc10891"/>
      <w:bookmarkStart w:id="1543" w:name="_Toc2660"/>
      <w:bookmarkStart w:id="1544" w:name="_Toc31652"/>
      <w:bookmarkStart w:id="1545" w:name="_Toc298"/>
      <w:bookmarkStart w:id="1546" w:name="_Toc30078"/>
      <w:bookmarkStart w:id="1547" w:name="_Toc6172"/>
      <w:bookmarkStart w:id="1548" w:name="_Toc11658"/>
      <w:bookmarkStart w:id="1549" w:name="_Toc14207"/>
      <w:bookmarkStart w:id="1550" w:name="_Toc60846636"/>
      <w:bookmarkStart w:id="1551" w:name="_Toc26566"/>
      <w:bookmarkStart w:id="1552" w:name="_Toc3686"/>
      <w:r>
        <w:rPr>
          <w:rFonts w:ascii="黑体" w:hAnsi="黑体" w:eastAsia="黑体" w:cs="Times New Roman"/>
          <w:b/>
          <w:color w:val="auto"/>
          <w:sz w:val="28"/>
          <w:szCs w:val="28"/>
          <w:highlight w:val="none"/>
        </w:rPr>
        <w:t>4.</w:t>
      </w:r>
      <w:r>
        <w:rPr>
          <w:rFonts w:hint="eastAsia" w:ascii="黑体" w:hAnsi="黑体" w:eastAsia="黑体" w:cs="Times New Roman"/>
          <w:b/>
          <w:color w:val="auto"/>
          <w:sz w:val="28"/>
          <w:szCs w:val="28"/>
          <w:highlight w:val="none"/>
          <w:lang w:val="en-US" w:eastAsia="zh-CN"/>
        </w:rPr>
        <w:t>2</w:t>
      </w:r>
      <w:r>
        <w:rPr>
          <w:rFonts w:ascii="黑体" w:hAnsi="黑体" w:eastAsia="黑体" w:cs="Times New Roman"/>
          <w:b/>
          <w:color w:val="auto"/>
          <w:sz w:val="28"/>
          <w:szCs w:val="28"/>
          <w:highlight w:val="none"/>
        </w:rPr>
        <w:t xml:space="preserve"> </w:t>
      </w:r>
      <w:r>
        <w:rPr>
          <w:rFonts w:hint="eastAsia" w:ascii="黑体" w:hAnsi="黑体" w:eastAsia="黑体" w:cs="Times New Roman"/>
          <w:b/>
          <w:color w:val="auto"/>
          <w:sz w:val="28"/>
          <w:szCs w:val="28"/>
          <w:highlight w:val="none"/>
        </w:rPr>
        <w:t>评价单元划分</w:t>
      </w:r>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 w14:paraId="205073E5">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bookmarkStart w:id="1553" w:name="_Toc498075618"/>
      <w:bookmarkStart w:id="1554" w:name="_Toc60846637"/>
      <w:r>
        <w:rPr>
          <w:rFonts w:hint="eastAsia" w:ascii="宋体" w:hAnsi="宋体" w:eastAsia="宋体" w:cs="宋体"/>
          <w:color w:val="auto"/>
          <w:kern w:val="0"/>
          <w:sz w:val="28"/>
          <w:szCs w:val="28"/>
          <w:highlight w:val="none"/>
        </w:rPr>
        <w:t>评价单元就是在危险、有害因素分析的基础上，根据评价目标和评价方法的需要，将系统分成有限、有确定范围进行评价的单元。</w:t>
      </w:r>
    </w:p>
    <w:p w14:paraId="723D57C9">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单元划分的原则主要有两条：</w:t>
      </w:r>
    </w:p>
    <w:p w14:paraId="43389209">
      <w:pPr>
        <w:adjustRightInd w:val="0"/>
        <w:snapToGrid w:val="0"/>
        <w:spacing w:beforeLines="0" w:afterLines="0" w:line="360" w:lineRule="auto"/>
        <w:ind w:firstLine="420" w:firstLineChars="15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（1）以危险、有害因素的类别为主划分评价单元；</w:t>
      </w:r>
    </w:p>
    <w:p w14:paraId="0590612A">
      <w:pPr>
        <w:adjustRightInd w:val="0"/>
        <w:snapToGrid w:val="0"/>
        <w:spacing w:beforeLines="0" w:afterLines="0" w:line="360" w:lineRule="auto"/>
        <w:ind w:firstLine="420" w:firstLineChars="15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（2）以装置和物质特征为主划分评价单元。</w:t>
      </w:r>
    </w:p>
    <w:p w14:paraId="57E13895">
      <w:pPr>
        <w:adjustRightInd w:val="0"/>
        <w:snapToGrid w:val="0"/>
        <w:spacing w:beforeLines="0" w:afterLines="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本次评价的评价单元</w:t>
      </w:r>
      <w:r>
        <w:rPr>
          <w:rFonts w:hint="eastAsia" w:ascii="宋体" w:hAnsi="宋体" w:eastAsia="宋体" w:cs="宋体"/>
          <w:color w:val="auto"/>
          <w:kern w:val="0"/>
          <w:sz w:val="28"/>
          <w:szCs w:val="28"/>
          <w:highlight w:val="none"/>
          <w:lang w:eastAsia="zh-CN"/>
        </w:rPr>
        <w:t>划分</w:t>
      </w:r>
      <w:r>
        <w:rPr>
          <w:rFonts w:hint="eastAsia" w:ascii="宋体" w:hAnsi="宋体" w:eastAsia="宋体" w:cs="宋体"/>
          <w:color w:val="auto"/>
          <w:kern w:val="0"/>
          <w:sz w:val="28"/>
          <w:szCs w:val="28"/>
          <w:highlight w:val="none"/>
        </w:rPr>
        <w:t>及评价方法对照</w:t>
      </w:r>
      <w:r>
        <w:rPr>
          <w:rFonts w:hint="eastAsia" w:ascii="宋体" w:hAnsi="宋体" w:eastAsia="宋体" w:cs="宋体"/>
          <w:color w:val="auto"/>
          <w:kern w:val="0"/>
          <w:sz w:val="28"/>
          <w:szCs w:val="28"/>
          <w:highlight w:val="none"/>
          <w:lang w:eastAsia="zh-CN"/>
        </w:rPr>
        <w:t>情况</w:t>
      </w:r>
      <w:r>
        <w:rPr>
          <w:rFonts w:hint="eastAsia" w:ascii="宋体" w:hAnsi="宋体" w:eastAsia="宋体" w:cs="宋体"/>
          <w:color w:val="auto"/>
          <w:kern w:val="0"/>
          <w:sz w:val="28"/>
          <w:szCs w:val="28"/>
          <w:highlight w:val="none"/>
        </w:rPr>
        <w:t>见</w:t>
      </w:r>
      <w:r>
        <w:rPr>
          <w:rFonts w:hint="eastAsia" w:ascii="宋体" w:hAnsi="宋体" w:eastAsia="宋体" w:cs="宋体"/>
          <w:color w:val="auto"/>
          <w:kern w:val="0"/>
          <w:sz w:val="28"/>
          <w:szCs w:val="28"/>
          <w:highlight w:val="none"/>
          <w:lang w:eastAsia="zh-CN"/>
        </w:rPr>
        <w:t>下表</w:t>
      </w:r>
      <w:r>
        <w:rPr>
          <w:rFonts w:hint="eastAsia" w:ascii="宋体" w:hAnsi="宋体" w:eastAsia="宋体" w:cs="宋体"/>
          <w:color w:val="auto"/>
          <w:kern w:val="0"/>
          <w:sz w:val="28"/>
          <w:szCs w:val="28"/>
          <w:highlight w:val="none"/>
        </w:rPr>
        <w:t>。</w:t>
      </w:r>
    </w:p>
    <w:bookmarkEnd w:id="1553"/>
    <w:bookmarkEnd w:id="1554"/>
    <w:p w14:paraId="77BA5598">
      <w:pPr>
        <w:adjustRightInd w:val="0"/>
        <w:snapToGrid w:val="0"/>
        <w:spacing w:beforeLines="0" w:afterLines="0" w:line="360" w:lineRule="auto"/>
        <w:ind w:firstLine="0" w:firstLineChars="0"/>
        <w:jc w:val="center"/>
        <w:rPr>
          <w:rFonts w:ascii="黑体" w:hAnsi="黑体" w:eastAsia="黑体"/>
          <w:b/>
          <w:bCs/>
          <w:color w:val="auto"/>
          <w:sz w:val="24"/>
          <w:szCs w:val="24"/>
          <w:highlight w:val="none"/>
        </w:rPr>
      </w:pPr>
      <w:r>
        <w:rPr>
          <w:rFonts w:hint="eastAsia" w:ascii="黑体" w:hAnsi="黑体" w:eastAsia="黑体"/>
          <w:b/>
          <w:bCs/>
          <w:color w:val="auto"/>
          <w:sz w:val="24"/>
          <w:szCs w:val="24"/>
          <w:highlight w:val="none"/>
        </w:rPr>
        <w:t>表</w:t>
      </w:r>
      <w:r>
        <w:rPr>
          <w:rFonts w:ascii="黑体" w:hAnsi="黑体" w:eastAsia="黑体"/>
          <w:b/>
          <w:bCs/>
          <w:color w:val="auto"/>
          <w:sz w:val="24"/>
          <w:szCs w:val="24"/>
          <w:highlight w:val="none"/>
        </w:rPr>
        <w:t>4.</w:t>
      </w:r>
      <w:r>
        <w:rPr>
          <w:rFonts w:hint="eastAsia" w:ascii="黑体" w:hAnsi="黑体" w:eastAsia="黑体"/>
          <w:b/>
          <w:bCs/>
          <w:color w:val="auto"/>
          <w:sz w:val="24"/>
          <w:szCs w:val="24"/>
          <w:highlight w:val="none"/>
          <w:lang w:val="en-US" w:eastAsia="zh-CN"/>
        </w:rPr>
        <w:t>2-1</w:t>
      </w:r>
      <w:r>
        <w:rPr>
          <w:rFonts w:ascii="黑体" w:hAnsi="黑体" w:eastAsia="黑体"/>
          <w:b/>
          <w:bCs/>
          <w:color w:val="auto"/>
          <w:sz w:val="24"/>
          <w:szCs w:val="24"/>
          <w:highlight w:val="none"/>
        </w:rPr>
        <w:t xml:space="preserve"> 评价单元的评价方法及因子划分表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1563"/>
        <w:gridCol w:w="5445"/>
        <w:gridCol w:w="1591"/>
      </w:tblGrid>
      <w:tr w14:paraId="053D4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6" w:type="pct"/>
            <w:vAlign w:val="center"/>
          </w:tcPr>
          <w:p w14:paraId="775A7068">
            <w:pPr>
              <w:adjustRightInd w:val="0"/>
              <w:snapToGrid w:val="0"/>
              <w:jc w:val="center"/>
              <w:rPr>
                <w:rFonts w:ascii="宋体" w:hAnsi="宋体"/>
                <w:b/>
                <w:bCs/>
                <w:color w:val="auto"/>
                <w:sz w:val="21"/>
                <w:szCs w:val="21"/>
                <w:highlight w:val="none"/>
              </w:rPr>
            </w:pPr>
            <w:r>
              <w:rPr>
                <w:rFonts w:hint="eastAsia" w:ascii="宋体" w:hAnsi="宋体"/>
                <w:b/>
                <w:bCs/>
                <w:color w:val="auto"/>
                <w:sz w:val="21"/>
                <w:szCs w:val="21"/>
                <w:highlight w:val="none"/>
              </w:rPr>
              <w:t>序号</w:t>
            </w:r>
          </w:p>
        </w:tc>
        <w:tc>
          <w:tcPr>
            <w:tcW w:w="831" w:type="pct"/>
            <w:vAlign w:val="center"/>
          </w:tcPr>
          <w:p w14:paraId="0CD097F0">
            <w:pPr>
              <w:adjustRightInd w:val="0"/>
              <w:snapToGrid w:val="0"/>
              <w:jc w:val="center"/>
              <w:rPr>
                <w:rFonts w:ascii="宋体" w:hAnsi="宋体"/>
                <w:b/>
                <w:bCs/>
                <w:color w:val="auto"/>
                <w:sz w:val="21"/>
                <w:szCs w:val="21"/>
                <w:highlight w:val="none"/>
              </w:rPr>
            </w:pPr>
            <w:r>
              <w:rPr>
                <w:rFonts w:hint="eastAsia" w:ascii="宋体" w:hAnsi="宋体"/>
                <w:b/>
                <w:bCs/>
                <w:color w:val="auto"/>
                <w:kern w:val="0"/>
                <w:sz w:val="21"/>
                <w:szCs w:val="21"/>
                <w:highlight w:val="none"/>
              </w:rPr>
              <w:t>单元</w:t>
            </w:r>
          </w:p>
        </w:tc>
        <w:tc>
          <w:tcPr>
            <w:tcW w:w="2895" w:type="pct"/>
            <w:vAlign w:val="center"/>
          </w:tcPr>
          <w:p w14:paraId="50C74034">
            <w:pPr>
              <w:adjustRightInd w:val="0"/>
              <w:snapToGrid w:val="0"/>
              <w:jc w:val="center"/>
              <w:rPr>
                <w:rFonts w:ascii="宋体" w:hAnsi="宋体"/>
                <w:b/>
                <w:bCs/>
                <w:color w:val="auto"/>
                <w:sz w:val="21"/>
                <w:szCs w:val="21"/>
                <w:highlight w:val="none"/>
              </w:rPr>
            </w:pPr>
            <w:r>
              <w:rPr>
                <w:rFonts w:hint="eastAsia" w:ascii="宋体" w:hAnsi="宋体"/>
                <w:b/>
                <w:bCs/>
                <w:color w:val="auto"/>
                <w:sz w:val="21"/>
                <w:szCs w:val="21"/>
                <w:highlight w:val="none"/>
              </w:rPr>
              <w:t>子单元</w:t>
            </w:r>
          </w:p>
        </w:tc>
        <w:tc>
          <w:tcPr>
            <w:tcW w:w="846" w:type="pct"/>
            <w:vAlign w:val="center"/>
          </w:tcPr>
          <w:p w14:paraId="343FBEFD">
            <w:pPr>
              <w:adjustRightInd w:val="0"/>
              <w:snapToGrid w:val="0"/>
              <w:jc w:val="center"/>
              <w:rPr>
                <w:rFonts w:ascii="宋体" w:hAnsi="宋体"/>
                <w:b/>
                <w:bCs/>
                <w:color w:val="auto"/>
                <w:sz w:val="21"/>
                <w:szCs w:val="21"/>
                <w:highlight w:val="none"/>
              </w:rPr>
            </w:pPr>
            <w:r>
              <w:rPr>
                <w:rFonts w:hint="eastAsia" w:ascii="宋体" w:hAnsi="宋体"/>
                <w:b/>
                <w:bCs/>
                <w:color w:val="auto"/>
                <w:sz w:val="21"/>
                <w:szCs w:val="21"/>
                <w:highlight w:val="none"/>
              </w:rPr>
              <w:t>评价方法</w:t>
            </w:r>
          </w:p>
        </w:tc>
      </w:tr>
      <w:tr w14:paraId="75E2D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6" w:type="pct"/>
            <w:vAlign w:val="center"/>
          </w:tcPr>
          <w:p w14:paraId="2A747755">
            <w:pPr>
              <w:numPr>
                <w:ilvl w:val="0"/>
                <w:numId w:val="34"/>
              </w:numPr>
              <w:adjustRightInd w:val="0"/>
              <w:snapToGrid w:val="0"/>
              <w:jc w:val="center"/>
              <w:rPr>
                <w:rFonts w:ascii="宋体" w:hAnsi="宋体"/>
                <w:color w:val="auto"/>
                <w:sz w:val="21"/>
                <w:szCs w:val="21"/>
                <w:highlight w:val="none"/>
              </w:rPr>
            </w:pPr>
          </w:p>
        </w:tc>
        <w:tc>
          <w:tcPr>
            <w:tcW w:w="831" w:type="pct"/>
            <w:vAlign w:val="center"/>
          </w:tcPr>
          <w:p w14:paraId="4E79E7AF">
            <w:pPr>
              <w:adjustRightInd w:val="0"/>
              <w:snapToGrid w:val="0"/>
              <w:jc w:val="center"/>
              <w:rPr>
                <w:rFonts w:ascii="宋体"/>
                <w:color w:val="auto"/>
                <w:sz w:val="21"/>
                <w:szCs w:val="21"/>
                <w:highlight w:val="none"/>
                <w:lang w:val="zh-CN"/>
              </w:rPr>
            </w:pPr>
            <w:r>
              <w:rPr>
                <w:rFonts w:hint="eastAsia" w:ascii="宋体" w:hAnsi="宋体"/>
                <w:color w:val="auto"/>
                <w:sz w:val="21"/>
                <w:szCs w:val="21"/>
                <w:highlight w:val="none"/>
              </w:rPr>
              <w:t>安全生产基本条件</w:t>
            </w:r>
          </w:p>
        </w:tc>
        <w:tc>
          <w:tcPr>
            <w:tcW w:w="2895" w:type="pct"/>
            <w:vAlign w:val="center"/>
          </w:tcPr>
          <w:p w14:paraId="5FDCD1AF">
            <w:pPr>
              <w:numPr>
                <w:ilvl w:val="0"/>
                <w:numId w:val="35"/>
              </w:numPr>
              <w:adjustRightInd w:val="0"/>
              <w:snapToGrid w:val="0"/>
              <w:ind w:left="425" w:leftChars="0" w:hanging="425" w:firstLineChars="0"/>
              <w:jc w:val="both"/>
              <w:rPr>
                <w:rFonts w:hint="eastAsia" w:ascii="宋体" w:hAnsi="宋体"/>
                <w:color w:val="auto"/>
                <w:sz w:val="21"/>
                <w:szCs w:val="21"/>
                <w:highlight w:val="none"/>
                <w:lang w:eastAsia="zh-CN"/>
              </w:rPr>
            </w:pPr>
            <w:r>
              <w:rPr>
                <w:rFonts w:hint="eastAsia" w:ascii="宋体" w:hAnsi="宋体"/>
                <w:color w:val="auto"/>
                <w:sz w:val="21"/>
                <w:szCs w:val="21"/>
                <w:highlight w:val="none"/>
              </w:rPr>
              <w:t>建筑物及总平面布置</w:t>
            </w:r>
          </w:p>
          <w:p w14:paraId="6E960EEB">
            <w:pPr>
              <w:numPr>
                <w:ilvl w:val="0"/>
                <w:numId w:val="35"/>
              </w:numPr>
              <w:adjustRightInd w:val="0"/>
              <w:snapToGrid w:val="0"/>
              <w:ind w:left="425" w:leftChars="0" w:hanging="425" w:firstLineChars="0"/>
              <w:jc w:val="both"/>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工贸企业危险化学品使用安全管理（</w:t>
            </w:r>
            <w:r>
              <w:rPr>
                <w:rFonts w:hint="eastAsia" w:ascii="宋体" w:hAnsi="宋体"/>
                <w:color w:val="auto"/>
                <w:sz w:val="21"/>
                <w:szCs w:val="21"/>
                <w:highlight w:val="none"/>
              </w:rPr>
              <w:t>总体安全要求、基础安全管理、危险化学品采购、危险化学品装卸、应急管理、腐蚀性危险化学品</w:t>
            </w:r>
            <w:r>
              <w:rPr>
                <w:rFonts w:hint="eastAsia" w:ascii="宋体" w:hAnsi="宋体"/>
                <w:color w:val="auto"/>
                <w:sz w:val="21"/>
                <w:szCs w:val="21"/>
                <w:highlight w:val="none"/>
                <w:lang w:eastAsia="zh-CN"/>
              </w:rPr>
              <w:t>储存、油漆储存）</w:t>
            </w:r>
          </w:p>
          <w:p w14:paraId="30FB3B2F">
            <w:pPr>
              <w:numPr>
                <w:ilvl w:val="0"/>
                <w:numId w:val="35"/>
              </w:numPr>
              <w:adjustRightInd w:val="0"/>
              <w:snapToGrid w:val="0"/>
              <w:ind w:left="425" w:leftChars="0" w:hanging="425" w:firstLineChars="0"/>
              <w:jc w:val="both"/>
              <w:rPr>
                <w:rFonts w:hint="eastAsia" w:ascii="宋体" w:hAnsi="宋体"/>
                <w:color w:val="auto"/>
                <w:sz w:val="21"/>
                <w:szCs w:val="21"/>
                <w:highlight w:val="none"/>
                <w:lang w:val="en-GB" w:eastAsia="zh-CN"/>
              </w:rPr>
            </w:pPr>
            <w:r>
              <w:rPr>
                <w:rFonts w:hint="eastAsia" w:ascii="宋体" w:hAnsi="宋体"/>
                <w:color w:val="auto"/>
                <w:sz w:val="21"/>
                <w:szCs w:val="21"/>
                <w:highlight w:val="none"/>
                <w:lang w:eastAsia="zh-CN"/>
              </w:rPr>
              <w:t>危险化学品储存</w:t>
            </w:r>
          </w:p>
          <w:p w14:paraId="07915B74">
            <w:pPr>
              <w:numPr>
                <w:ilvl w:val="0"/>
                <w:numId w:val="35"/>
              </w:numPr>
              <w:adjustRightInd w:val="0"/>
              <w:snapToGrid w:val="0"/>
              <w:ind w:left="425" w:leftChars="0" w:hanging="425" w:firstLineChars="0"/>
              <w:jc w:val="both"/>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易制爆危险化学品治安</w:t>
            </w:r>
          </w:p>
          <w:p w14:paraId="6A7CA0F2">
            <w:pPr>
              <w:numPr>
                <w:ilvl w:val="0"/>
                <w:numId w:val="35"/>
              </w:numPr>
              <w:adjustRightInd w:val="0"/>
              <w:snapToGrid w:val="0"/>
              <w:ind w:left="425" w:leftChars="0" w:hanging="425" w:firstLineChars="0"/>
              <w:jc w:val="both"/>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重点监管危险化学品安全设施</w:t>
            </w:r>
          </w:p>
          <w:p w14:paraId="694613E1">
            <w:pPr>
              <w:numPr>
                <w:ilvl w:val="0"/>
                <w:numId w:val="35"/>
              </w:numPr>
              <w:adjustRightInd w:val="0"/>
              <w:snapToGrid w:val="0"/>
              <w:ind w:left="425" w:leftChars="0" w:hanging="425" w:firstLineChars="0"/>
              <w:jc w:val="both"/>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特种设备和特种设备作业人员</w:t>
            </w:r>
          </w:p>
          <w:p w14:paraId="344E69DF">
            <w:pPr>
              <w:numPr>
                <w:ilvl w:val="0"/>
                <w:numId w:val="35"/>
              </w:numPr>
              <w:adjustRightInd w:val="0"/>
              <w:snapToGrid w:val="0"/>
              <w:ind w:left="425" w:leftChars="0" w:hanging="425" w:firstLineChars="0"/>
              <w:jc w:val="both"/>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防爆设施</w:t>
            </w:r>
          </w:p>
          <w:p w14:paraId="134E9EC2">
            <w:pPr>
              <w:numPr>
                <w:ilvl w:val="0"/>
                <w:numId w:val="35"/>
              </w:numPr>
              <w:adjustRightInd w:val="0"/>
              <w:snapToGrid w:val="0"/>
              <w:ind w:left="425" w:leftChars="0" w:hanging="425" w:firstLineChars="0"/>
              <w:jc w:val="both"/>
              <w:rPr>
                <w:rFonts w:hint="eastAsia" w:ascii="宋体" w:hAnsi="宋体"/>
                <w:color w:val="auto"/>
                <w:sz w:val="21"/>
                <w:szCs w:val="21"/>
                <w:highlight w:val="none"/>
                <w:lang w:eastAsia="zh-CN"/>
              </w:rPr>
            </w:pPr>
            <w:r>
              <w:rPr>
                <w:rFonts w:hint="eastAsia" w:ascii="宋体" w:hAnsi="宋体"/>
                <w:color w:val="auto"/>
                <w:sz w:val="21"/>
                <w:szCs w:val="21"/>
                <w:highlight w:val="none"/>
                <w:lang w:val="en-GB" w:eastAsia="zh-CN"/>
              </w:rPr>
              <w:t>消防设施</w:t>
            </w:r>
          </w:p>
          <w:p w14:paraId="2309A165">
            <w:pPr>
              <w:numPr>
                <w:ilvl w:val="0"/>
                <w:numId w:val="35"/>
              </w:numPr>
              <w:adjustRightInd w:val="0"/>
              <w:snapToGrid w:val="0"/>
              <w:ind w:left="425" w:leftChars="0" w:hanging="425" w:firstLineChars="0"/>
              <w:jc w:val="both"/>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工贸行业重大事故隐患</w:t>
            </w:r>
          </w:p>
          <w:p w14:paraId="0F9EEB48">
            <w:pPr>
              <w:numPr>
                <w:ilvl w:val="0"/>
                <w:numId w:val="35"/>
              </w:numPr>
              <w:adjustRightInd w:val="0"/>
              <w:snapToGrid w:val="0"/>
              <w:ind w:left="425" w:leftChars="0" w:hanging="425" w:firstLineChars="0"/>
              <w:jc w:val="both"/>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eastAsia="zh-CN"/>
              </w:rPr>
              <w:t>其他安全生产管理（</w:t>
            </w:r>
            <w:r>
              <w:rPr>
                <w:rFonts w:hint="eastAsia" w:ascii="宋体" w:hAnsi="宋体"/>
                <w:color w:val="auto"/>
                <w:sz w:val="21"/>
                <w:szCs w:val="21"/>
                <w:highlight w:val="none"/>
              </w:rPr>
              <w:t>安全管理制度、</w:t>
            </w:r>
            <w:r>
              <w:rPr>
                <w:rFonts w:hint="eastAsia" w:ascii="宋体" w:hAnsi="宋体"/>
                <w:color w:val="auto"/>
                <w:sz w:val="21"/>
                <w:szCs w:val="21"/>
                <w:highlight w:val="none"/>
                <w:lang w:eastAsia="zh-CN"/>
              </w:rPr>
              <w:t>从业人员</w:t>
            </w:r>
            <w:r>
              <w:rPr>
                <w:rFonts w:hint="eastAsia" w:ascii="宋体" w:hAnsi="宋体"/>
                <w:color w:val="auto"/>
                <w:sz w:val="21"/>
                <w:szCs w:val="21"/>
                <w:highlight w:val="none"/>
              </w:rPr>
              <w:t>安全培训、危险作业、</w:t>
            </w:r>
            <w:r>
              <w:rPr>
                <w:rFonts w:hint="eastAsia" w:ascii="宋体" w:hAnsi="宋体"/>
                <w:color w:val="auto"/>
                <w:sz w:val="21"/>
                <w:szCs w:val="21"/>
                <w:highlight w:val="none"/>
                <w:lang w:eastAsia="zh-CN"/>
              </w:rPr>
              <w:t>应急预案、工伤保险、安全生产费用）</w:t>
            </w:r>
          </w:p>
        </w:tc>
        <w:tc>
          <w:tcPr>
            <w:tcW w:w="846" w:type="pct"/>
            <w:vAlign w:val="center"/>
          </w:tcPr>
          <w:p w14:paraId="5E548F96">
            <w:pPr>
              <w:adjustRightInd w:val="0"/>
              <w:snapToGrid w:val="0"/>
              <w:jc w:val="center"/>
              <w:rPr>
                <w:rFonts w:ascii="宋体" w:hAnsi="宋体"/>
                <w:color w:val="auto"/>
                <w:sz w:val="21"/>
                <w:szCs w:val="21"/>
                <w:highlight w:val="none"/>
              </w:rPr>
            </w:pPr>
            <w:r>
              <w:rPr>
                <w:rFonts w:hint="eastAsia" w:ascii="宋体" w:hAnsi="宋体"/>
                <w:color w:val="auto"/>
                <w:sz w:val="21"/>
                <w:szCs w:val="21"/>
                <w:highlight w:val="none"/>
              </w:rPr>
              <w:t>安全检查表分析</w:t>
            </w:r>
          </w:p>
        </w:tc>
      </w:tr>
      <w:tr w14:paraId="2F87A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6" w:type="pct"/>
            <w:vAlign w:val="center"/>
          </w:tcPr>
          <w:p w14:paraId="0EFAF920">
            <w:pPr>
              <w:numPr>
                <w:ilvl w:val="0"/>
                <w:numId w:val="34"/>
              </w:numPr>
              <w:adjustRightInd w:val="0"/>
              <w:snapToGrid w:val="0"/>
              <w:jc w:val="center"/>
              <w:rPr>
                <w:rFonts w:ascii="宋体" w:hAnsi="宋体"/>
                <w:color w:val="auto"/>
                <w:sz w:val="21"/>
                <w:szCs w:val="21"/>
                <w:highlight w:val="none"/>
              </w:rPr>
            </w:pPr>
          </w:p>
        </w:tc>
        <w:tc>
          <w:tcPr>
            <w:tcW w:w="831" w:type="pct"/>
            <w:vAlign w:val="center"/>
          </w:tcPr>
          <w:p w14:paraId="43BB9CAA">
            <w:pPr>
              <w:adjustRightInd w:val="0"/>
              <w:snapToGrid w:val="0"/>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eastAsia="zh-CN"/>
              </w:rPr>
              <w:t>储存过程</w:t>
            </w:r>
          </w:p>
        </w:tc>
        <w:tc>
          <w:tcPr>
            <w:tcW w:w="2895" w:type="pct"/>
            <w:vAlign w:val="center"/>
          </w:tcPr>
          <w:p w14:paraId="1B957970">
            <w:pPr>
              <w:adjustRightInd w:val="0"/>
              <w:snapToGrid w:val="0"/>
              <w:jc w:val="both"/>
              <w:rPr>
                <w:rFonts w:ascii="宋体" w:hAnsi="宋体"/>
                <w:color w:val="auto"/>
                <w:sz w:val="21"/>
                <w:szCs w:val="21"/>
                <w:highlight w:val="none"/>
              </w:rPr>
            </w:pPr>
            <w:r>
              <w:rPr>
                <w:rFonts w:hint="eastAsia"/>
                <w:bCs/>
                <w:color w:val="auto"/>
                <w:sz w:val="21"/>
                <w:szCs w:val="21"/>
                <w:highlight w:val="none"/>
              </w:rPr>
              <w:t>危险化学品的装卸</w:t>
            </w:r>
            <w:r>
              <w:rPr>
                <w:rFonts w:hint="eastAsia"/>
                <w:bCs/>
                <w:color w:val="auto"/>
                <w:sz w:val="21"/>
                <w:szCs w:val="21"/>
                <w:highlight w:val="none"/>
                <w:lang w:eastAsia="zh-CN"/>
              </w:rPr>
              <w:t>作业</w:t>
            </w:r>
            <w:r>
              <w:rPr>
                <w:rFonts w:hint="eastAsia"/>
                <w:bCs/>
                <w:color w:val="auto"/>
                <w:sz w:val="21"/>
                <w:szCs w:val="21"/>
                <w:highlight w:val="none"/>
              </w:rPr>
              <w:t>和储存</w:t>
            </w:r>
            <w:r>
              <w:rPr>
                <w:rFonts w:hint="eastAsia"/>
                <w:bCs/>
                <w:color w:val="auto"/>
                <w:sz w:val="21"/>
                <w:szCs w:val="21"/>
                <w:highlight w:val="none"/>
                <w:lang w:eastAsia="zh-CN"/>
              </w:rPr>
              <w:t>作业</w:t>
            </w:r>
          </w:p>
        </w:tc>
        <w:tc>
          <w:tcPr>
            <w:tcW w:w="846" w:type="pct"/>
            <w:vAlign w:val="center"/>
          </w:tcPr>
          <w:p w14:paraId="6948879D">
            <w:pPr>
              <w:adjustRightInd w:val="0"/>
              <w:snapToGrid w:val="0"/>
              <w:jc w:val="center"/>
              <w:rPr>
                <w:rFonts w:ascii="宋体" w:hAnsi="宋体"/>
                <w:color w:val="auto"/>
                <w:sz w:val="21"/>
                <w:szCs w:val="21"/>
                <w:highlight w:val="none"/>
              </w:rPr>
            </w:pPr>
            <w:r>
              <w:rPr>
                <w:rFonts w:hint="eastAsia" w:ascii="宋体" w:hAnsi="宋体"/>
                <w:color w:val="auto"/>
                <w:sz w:val="21"/>
                <w:szCs w:val="21"/>
                <w:highlight w:val="none"/>
              </w:rPr>
              <w:t>作业条件危险性分析</w:t>
            </w:r>
          </w:p>
        </w:tc>
      </w:tr>
    </w:tbl>
    <w:p w14:paraId="7AC526DD">
      <w:pPr>
        <w:pStyle w:val="60"/>
        <w:adjustRightInd w:val="0"/>
        <w:snapToGrid w:val="0"/>
        <w:ind w:left="0" w:leftChars="0" w:firstLine="0" w:firstLineChars="0"/>
        <w:rPr>
          <w:rFonts w:ascii="黑体" w:hAnsi="黑体" w:eastAsia="黑体"/>
          <w:b/>
          <w:bCs/>
          <w:color w:val="auto"/>
          <w:sz w:val="28"/>
          <w:szCs w:val="28"/>
          <w:highlight w:val="none"/>
        </w:rPr>
      </w:pPr>
    </w:p>
    <w:p w14:paraId="40EDBF79">
      <w:pPr>
        <w:pStyle w:val="690"/>
        <w:rPr>
          <w:color w:val="auto"/>
          <w:highlight w:val="none"/>
        </w:rPr>
      </w:pPr>
    </w:p>
    <w:p w14:paraId="784FBE96">
      <w:pPr>
        <w:pageBreakBefore/>
        <w:adjustRightInd w:val="0"/>
        <w:snapToGrid w:val="0"/>
        <w:spacing w:beforeLines="100" w:afterLines="100" w:line="360" w:lineRule="auto"/>
        <w:jc w:val="center"/>
        <w:outlineLvl w:val="0"/>
        <w:rPr>
          <w:rFonts w:hint="eastAsia" w:ascii="黑体" w:hAnsi="黑体" w:eastAsia="黑体" w:cs="黑体"/>
          <w:b/>
          <w:color w:val="auto"/>
          <w:sz w:val="32"/>
          <w:szCs w:val="32"/>
          <w:highlight w:val="none"/>
        </w:rPr>
      </w:pPr>
      <w:bookmarkStart w:id="1555" w:name="_Toc32717"/>
      <w:bookmarkStart w:id="1556" w:name="_Toc25247"/>
      <w:bookmarkStart w:id="1557" w:name="_Toc60846639"/>
      <w:bookmarkStart w:id="1558" w:name="_Toc14845"/>
      <w:bookmarkStart w:id="1559" w:name="_Toc8383"/>
      <w:bookmarkStart w:id="1560" w:name="_Toc1042"/>
      <w:bookmarkStart w:id="1561" w:name="_Toc4633"/>
      <w:bookmarkStart w:id="1562" w:name="_Toc3913"/>
      <w:bookmarkStart w:id="1563" w:name="_Toc6896"/>
      <w:bookmarkStart w:id="1564" w:name="_Toc13741"/>
      <w:bookmarkStart w:id="1565" w:name="_Toc19132"/>
      <w:bookmarkStart w:id="1566" w:name="_Toc19131"/>
      <w:bookmarkStart w:id="1567" w:name="_Toc3068"/>
      <w:bookmarkStart w:id="1568" w:name="_Toc14230"/>
      <w:bookmarkStart w:id="1569" w:name="_Toc498075620"/>
      <w:bookmarkStart w:id="1570" w:name="_Toc12411"/>
      <w:bookmarkStart w:id="1571" w:name="_Toc21405"/>
      <w:bookmarkStart w:id="1572" w:name="_Toc17174"/>
      <w:bookmarkStart w:id="1573" w:name="_Toc9006"/>
      <w:r>
        <w:rPr>
          <w:rFonts w:hint="eastAsia" w:ascii="黑体" w:hAnsi="黑体" w:eastAsia="黑体" w:cs="黑体"/>
          <w:b/>
          <w:color w:val="auto"/>
          <w:sz w:val="32"/>
          <w:szCs w:val="32"/>
          <w:highlight w:val="none"/>
        </w:rPr>
        <w:t xml:space="preserve">5 </w:t>
      </w:r>
      <w:r>
        <w:rPr>
          <w:rFonts w:hint="eastAsia" w:ascii="黑体" w:hAnsi="黑体" w:eastAsia="黑体" w:cs="黑体"/>
          <w:b/>
          <w:color w:val="auto"/>
          <w:sz w:val="32"/>
          <w:szCs w:val="32"/>
          <w:highlight w:val="none"/>
          <w:lang w:eastAsia="zh-CN"/>
        </w:rPr>
        <w:t>安全</w:t>
      </w:r>
      <w:r>
        <w:rPr>
          <w:rFonts w:hint="eastAsia" w:ascii="黑体" w:hAnsi="黑体" w:eastAsia="黑体" w:cs="黑体"/>
          <w:b/>
          <w:color w:val="auto"/>
          <w:sz w:val="32"/>
          <w:szCs w:val="32"/>
          <w:highlight w:val="none"/>
        </w:rPr>
        <w:t>评价</w:t>
      </w:r>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p>
    <w:p w14:paraId="6F96E84F">
      <w:pPr>
        <w:numPr>
          <w:ilvl w:val="255"/>
          <w:numId w:val="0"/>
        </w:numPr>
        <w:adjustRightInd w:val="0"/>
        <w:snapToGrid w:val="0"/>
        <w:spacing w:beforeLines="0" w:afterLines="0" w:line="360" w:lineRule="auto"/>
        <w:ind w:firstLine="560" w:firstLineChars="200"/>
        <w:rPr>
          <w:rFonts w:hint="eastAsia" w:ascii="宋体" w:hAnsi="宋体" w:cs="宋体"/>
          <w:bCs/>
          <w:color w:val="auto"/>
          <w:sz w:val="28"/>
          <w:szCs w:val="28"/>
          <w:highlight w:val="none"/>
        </w:rPr>
      </w:pPr>
      <w:r>
        <w:rPr>
          <w:rFonts w:hint="eastAsia" w:ascii="宋体" w:hAnsi="宋体" w:cs="宋体"/>
          <w:bCs/>
          <w:color w:val="auto"/>
          <w:sz w:val="28"/>
          <w:szCs w:val="28"/>
          <w:highlight w:val="none"/>
        </w:rPr>
        <w:t>按照国家有关的安全</w:t>
      </w:r>
      <w:r>
        <w:rPr>
          <w:rFonts w:hint="eastAsia" w:ascii="宋体" w:hAnsi="宋体" w:cs="宋体"/>
          <w:bCs/>
          <w:color w:val="auto"/>
          <w:sz w:val="28"/>
          <w:szCs w:val="28"/>
          <w:highlight w:val="none"/>
          <w:lang w:eastAsia="zh-CN"/>
        </w:rPr>
        <w:t>法律法规</w:t>
      </w:r>
      <w:r>
        <w:rPr>
          <w:rFonts w:hint="eastAsia" w:ascii="宋体" w:hAnsi="宋体" w:cs="宋体"/>
          <w:bCs/>
          <w:color w:val="auto"/>
          <w:sz w:val="28"/>
          <w:szCs w:val="28"/>
          <w:highlight w:val="none"/>
        </w:rPr>
        <w:t>、标准和规定，结合以往的经验和教训，通过对</w:t>
      </w:r>
      <w:r>
        <w:rPr>
          <w:rFonts w:hint="eastAsia" w:ascii="宋体" w:hAnsi="宋体" w:eastAsia="宋体" w:cs="宋体"/>
          <w:bCs/>
          <w:color w:val="auto"/>
          <w:sz w:val="28"/>
          <w:szCs w:val="28"/>
          <w:highlight w:val="none"/>
        </w:rPr>
        <w:t>伟星临海钮扣分公司</w:t>
      </w:r>
      <w:r>
        <w:rPr>
          <w:rFonts w:hint="eastAsia" w:ascii="宋体" w:hAnsi="宋体" w:cs="宋体"/>
          <w:bCs/>
          <w:color w:val="auto"/>
          <w:sz w:val="28"/>
          <w:szCs w:val="28"/>
          <w:highlight w:val="none"/>
          <w:lang w:eastAsia="zh-CN"/>
        </w:rPr>
        <w:t>危化品</w:t>
      </w:r>
      <w:r>
        <w:rPr>
          <w:rFonts w:hint="eastAsia" w:ascii="宋体" w:hAnsi="宋体" w:cs="宋体"/>
          <w:bCs/>
          <w:color w:val="auto"/>
          <w:sz w:val="28"/>
          <w:szCs w:val="28"/>
          <w:highlight w:val="none"/>
        </w:rPr>
        <w:t>仓库进行危险性分析，本评价采用安全检查表的方法进行评价。</w:t>
      </w:r>
    </w:p>
    <w:p w14:paraId="7F90998D">
      <w:pPr>
        <w:pageBreakBefore w:val="0"/>
        <w:widowControl w:val="0"/>
        <w:kinsoku/>
        <w:wordWrap/>
        <w:overflowPunct/>
        <w:topLinePunct w:val="0"/>
        <w:autoSpaceDE/>
        <w:autoSpaceDN/>
        <w:bidi w:val="0"/>
        <w:adjustRightInd w:val="0"/>
        <w:snapToGrid w:val="0"/>
        <w:spacing w:before="0" w:beforeLines="0" w:after="0" w:afterLines="0" w:line="360" w:lineRule="auto"/>
        <w:jc w:val="left"/>
        <w:textAlignment w:val="auto"/>
        <w:outlineLvl w:val="1"/>
        <w:rPr>
          <w:rFonts w:ascii="黑体" w:hAnsi="黑体" w:eastAsia="黑体" w:cs="Times New Roman"/>
          <w:b/>
          <w:color w:val="auto"/>
          <w:sz w:val="28"/>
          <w:szCs w:val="28"/>
          <w:highlight w:val="none"/>
        </w:rPr>
      </w:pPr>
      <w:bookmarkStart w:id="1574" w:name="_Toc3102"/>
      <w:bookmarkStart w:id="1575" w:name="_Toc11804"/>
      <w:bookmarkStart w:id="1576" w:name="_Toc25817"/>
      <w:bookmarkStart w:id="1577" w:name="_Toc3939"/>
      <w:bookmarkStart w:id="1578" w:name="_Toc498075621"/>
      <w:bookmarkStart w:id="1579" w:name="_Toc28926"/>
      <w:bookmarkStart w:id="1580" w:name="_Toc23207"/>
      <w:bookmarkStart w:id="1581" w:name="_Toc9936"/>
      <w:bookmarkStart w:id="1582" w:name="_Toc4084"/>
      <w:bookmarkStart w:id="1583" w:name="_Toc25269"/>
      <w:bookmarkStart w:id="1584" w:name="_Toc29986"/>
      <w:bookmarkStart w:id="1585" w:name="_Toc23148"/>
      <w:bookmarkStart w:id="1586" w:name="_Toc29366"/>
      <w:bookmarkStart w:id="1587" w:name="_Toc6450"/>
      <w:bookmarkStart w:id="1588" w:name="_Toc17557"/>
      <w:bookmarkStart w:id="1589" w:name="_Toc8178"/>
      <w:bookmarkStart w:id="1590" w:name="_Toc60846640"/>
      <w:bookmarkStart w:id="1591" w:name="_Toc19717"/>
      <w:bookmarkStart w:id="1592" w:name="_Toc16913"/>
      <w:r>
        <w:rPr>
          <w:rFonts w:ascii="黑体" w:hAnsi="黑体" w:eastAsia="黑体" w:cs="Times New Roman"/>
          <w:b/>
          <w:color w:val="auto"/>
          <w:sz w:val="28"/>
          <w:szCs w:val="28"/>
          <w:highlight w:val="none"/>
        </w:rPr>
        <w:t xml:space="preserve">5.1 </w:t>
      </w:r>
      <w:r>
        <w:rPr>
          <w:rFonts w:hint="eastAsia" w:ascii="黑体" w:hAnsi="黑体" w:eastAsia="黑体" w:cs="Times New Roman"/>
          <w:b/>
          <w:color w:val="auto"/>
          <w:sz w:val="28"/>
          <w:szCs w:val="28"/>
          <w:highlight w:val="none"/>
        </w:rPr>
        <w:t>安全生产基本条件检查</w:t>
      </w:r>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p>
    <w:p w14:paraId="4AA39416">
      <w:pPr>
        <w:pStyle w:val="4"/>
        <w:pageBreakBefore w:val="0"/>
        <w:widowControl w:val="0"/>
        <w:kinsoku/>
        <w:wordWrap/>
        <w:overflowPunct/>
        <w:topLinePunct w:val="0"/>
        <w:autoSpaceDE/>
        <w:autoSpaceDN/>
        <w:bidi w:val="0"/>
        <w:adjustRightInd w:val="0"/>
        <w:snapToGrid w:val="0"/>
        <w:spacing w:before="0" w:beforeLines="0" w:after="0" w:afterLines="0" w:line="360" w:lineRule="auto"/>
        <w:textAlignment w:val="auto"/>
        <w:outlineLvl w:val="2"/>
        <w:rPr>
          <w:rFonts w:hint="eastAsia" w:ascii="黑体" w:hAnsi="CG Times" w:eastAsia="黑体" w:cs="CG Times"/>
          <w:b/>
          <w:bCs/>
          <w:color w:val="auto"/>
          <w:kern w:val="0"/>
          <w:sz w:val="28"/>
          <w:szCs w:val="28"/>
          <w:highlight w:val="none"/>
          <w:lang w:val="en-GB"/>
        </w:rPr>
      </w:pPr>
      <w:bookmarkStart w:id="1593" w:name="_Toc19778"/>
      <w:bookmarkStart w:id="1594" w:name="_Toc21748"/>
      <w:bookmarkStart w:id="1595" w:name="_Toc13567"/>
      <w:bookmarkStart w:id="1596" w:name="_Toc22727"/>
      <w:bookmarkStart w:id="1597" w:name="_Toc2672"/>
      <w:bookmarkStart w:id="1598" w:name="_Toc2528"/>
      <w:bookmarkStart w:id="1599" w:name="_Toc13814"/>
      <w:bookmarkStart w:id="1600" w:name="_Toc2551"/>
      <w:bookmarkStart w:id="1601" w:name="_Toc30283"/>
      <w:bookmarkStart w:id="1602" w:name="_Toc18821"/>
      <w:bookmarkStart w:id="1603" w:name="_Toc22941"/>
      <w:bookmarkStart w:id="1604" w:name="_Toc16752"/>
      <w:bookmarkStart w:id="1605" w:name="_Toc29944"/>
      <w:bookmarkStart w:id="1606" w:name="_Toc30312"/>
      <w:bookmarkStart w:id="1607" w:name="_Toc1107"/>
      <w:bookmarkStart w:id="1608" w:name="_Toc23069"/>
      <w:bookmarkStart w:id="1609" w:name="_Toc6018"/>
      <w:bookmarkStart w:id="1610" w:name="_Toc6173"/>
      <w:bookmarkStart w:id="1611" w:name="_Toc29949"/>
      <w:bookmarkStart w:id="1612" w:name="_Toc4640"/>
      <w:bookmarkStart w:id="1613" w:name="_Toc14889"/>
      <w:bookmarkStart w:id="1614" w:name="_Toc6437"/>
      <w:bookmarkStart w:id="1615" w:name="_Toc25444"/>
      <w:bookmarkStart w:id="1616" w:name="_Toc8529"/>
      <w:bookmarkStart w:id="1617" w:name="_Toc27046"/>
      <w:bookmarkStart w:id="1618" w:name="_Toc82"/>
      <w:bookmarkStart w:id="1619" w:name="_Toc2919"/>
      <w:bookmarkStart w:id="1620" w:name="_Toc16206"/>
      <w:bookmarkStart w:id="1621" w:name="_Toc24169"/>
      <w:bookmarkStart w:id="1622" w:name="_Toc31252"/>
      <w:bookmarkStart w:id="1623" w:name="_Toc15369"/>
      <w:bookmarkStart w:id="1624" w:name="_Toc22465"/>
      <w:bookmarkStart w:id="1625" w:name="_Toc3299"/>
      <w:bookmarkStart w:id="1626" w:name="_Toc26088"/>
      <w:bookmarkStart w:id="1627" w:name="_Toc9079"/>
      <w:bookmarkStart w:id="1628" w:name="_Toc10509"/>
      <w:bookmarkStart w:id="1629" w:name="_Toc11041"/>
      <w:bookmarkStart w:id="1630" w:name="_Toc5178"/>
      <w:bookmarkStart w:id="1631" w:name="_Toc498075622"/>
      <w:bookmarkStart w:id="1632" w:name="_Toc60846641"/>
      <w:r>
        <w:rPr>
          <w:rFonts w:hint="eastAsia" w:ascii="黑体" w:hAnsi="CG Times" w:eastAsia="黑体" w:cs="CG Times"/>
          <w:b/>
          <w:bCs/>
          <w:color w:val="auto"/>
          <w:kern w:val="0"/>
          <w:sz w:val="28"/>
          <w:szCs w:val="28"/>
          <w:highlight w:val="none"/>
          <w:lang w:val="en-GB"/>
        </w:rPr>
        <w:t>5.1.1</w:t>
      </w:r>
      <w:r>
        <w:rPr>
          <w:rFonts w:hint="eastAsia" w:ascii="黑体" w:eastAsia="黑体" w:cs="CG Times"/>
          <w:b/>
          <w:bCs/>
          <w:color w:val="auto"/>
          <w:kern w:val="0"/>
          <w:sz w:val="28"/>
          <w:szCs w:val="28"/>
          <w:highlight w:val="none"/>
          <w:lang w:val="en-US" w:eastAsia="zh-CN"/>
        </w:rPr>
        <w:t xml:space="preserve"> </w:t>
      </w:r>
      <w:r>
        <w:rPr>
          <w:rFonts w:hint="eastAsia" w:ascii="黑体" w:hAnsi="CG Times" w:eastAsia="黑体" w:cs="CG Times"/>
          <w:b/>
          <w:bCs/>
          <w:color w:val="auto"/>
          <w:kern w:val="0"/>
          <w:sz w:val="28"/>
          <w:szCs w:val="28"/>
          <w:highlight w:val="none"/>
          <w:lang w:val="en-GB"/>
        </w:rPr>
        <w:t>建筑物</w:t>
      </w:r>
      <w:bookmarkEnd w:id="1593"/>
      <w:bookmarkEnd w:id="1594"/>
      <w:bookmarkEnd w:id="1595"/>
      <w:bookmarkEnd w:id="1596"/>
      <w:bookmarkEnd w:id="1597"/>
      <w:r>
        <w:rPr>
          <w:rFonts w:hint="eastAsia" w:ascii="黑体" w:eastAsia="黑体" w:cs="CG Times"/>
          <w:b/>
          <w:bCs/>
          <w:color w:val="auto"/>
          <w:kern w:val="0"/>
          <w:sz w:val="28"/>
          <w:szCs w:val="28"/>
          <w:highlight w:val="none"/>
          <w:lang w:val="en-GB" w:eastAsia="zh-CN"/>
        </w:rPr>
        <w:t>及</w:t>
      </w:r>
      <w:r>
        <w:rPr>
          <w:rFonts w:hint="eastAsia" w:ascii="黑体" w:hAnsi="CG Times" w:eastAsia="黑体" w:cs="CG Times"/>
          <w:b/>
          <w:bCs/>
          <w:color w:val="auto"/>
          <w:kern w:val="0"/>
          <w:sz w:val="28"/>
          <w:szCs w:val="28"/>
          <w:highlight w:val="none"/>
          <w:lang w:val="en-GB"/>
        </w:rPr>
        <w:t>总平面布置评价</w:t>
      </w:r>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p>
    <w:p w14:paraId="53880D69">
      <w:pPr>
        <w:keepNext w:val="0"/>
        <w:keepLines w:val="0"/>
        <w:pageBreakBefore w:val="0"/>
        <w:widowControl w:val="0"/>
        <w:numPr>
          <w:ilvl w:val="255"/>
          <w:numId w:val="0"/>
        </w:numPr>
        <w:kinsoku/>
        <w:wordWrap/>
        <w:overflowPunct/>
        <w:topLinePunct w:val="0"/>
        <w:autoSpaceDE/>
        <w:autoSpaceDN/>
        <w:bidi w:val="0"/>
        <w:adjustRightInd w:val="0"/>
        <w:snapToGrid w:val="0"/>
        <w:spacing w:beforeLines="0" w:afterLines="0" w:line="360" w:lineRule="auto"/>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依据《建筑设计防火规范》GB50016-2014（2018年版）检查</w:t>
      </w:r>
      <w:r>
        <w:rPr>
          <w:rFonts w:hint="eastAsia" w:ascii="宋体" w:hAnsi="宋体" w:eastAsia="宋体" w:cs="宋体"/>
          <w:bCs/>
          <w:color w:val="auto"/>
          <w:sz w:val="28"/>
          <w:szCs w:val="28"/>
          <w:highlight w:val="none"/>
          <w:lang w:eastAsia="zh-CN"/>
        </w:rPr>
        <w:t>危化品仓库建筑物情况</w:t>
      </w:r>
      <w:r>
        <w:rPr>
          <w:rFonts w:hint="eastAsia" w:ascii="宋体" w:hAnsi="宋体" w:eastAsia="宋体" w:cs="宋体"/>
          <w:bCs/>
          <w:color w:val="auto"/>
          <w:sz w:val="28"/>
          <w:szCs w:val="28"/>
          <w:highlight w:val="none"/>
        </w:rPr>
        <w:t>，检查情况见下表。</w:t>
      </w:r>
    </w:p>
    <w:p w14:paraId="407E2995">
      <w:pPr>
        <w:adjustRightInd w:val="0"/>
        <w:snapToGrid w:val="0"/>
        <w:spacing w:beforeLines="0" w:afterLines="0" w:line="360" w:lineRule="auto"/>
        <w:ind w:firstLine="0" w:firstLineChars="0"/>
        <w:jc w:val="center"/>
        <w:rPr>
          <w:rFonts w:ascii="黑体" w:hAnsi="黑体" w:eastAsia="黑体"/>
          <w:b/>
          <w:bCs/>
          <w:color w:val="auto"/>
          <w:sz w:val="24"/>
          <w:szCs w:val="24"/>
          <w:highlight w:val="none"/>
        </w:rPr>
      </w:pPr>
      <w:r>
        <w:rPr>
          <w:rFonts w:hint="eastAsia" w:ascii="黑体" w:hAnsi="黑体" w:eastAsia="黑体"/>
          <w:b/>
          <w:bCs/>
          <w:color w:val="auto"/>
          <w:sz w:val="24"/>
          <w:szCs w:val="24"/>
          <w:highlight w:val="none"/>
          <w:lang w:val="en-US" w:eastAsia="zh-CN"/>
        </w:rPr>
        <w:t>表5.1-1 危化品</w:t>
      </w:r>
      <w:r>
        <w:rPr>
          <w:rFonts w:hint="eastAsia" w:ascii="黑体" w:hAnsi="黑体" w:eastAsia="黑体"/>
          <w:b/>
          <w:bCs/>
          <w:color w:val="auto"/>
          <w:sz w:val="24"/>
          <w:szCs w:val="24"/>
          <w:highlight w:val="none"/>
        </w:rPr>
        <w:t>仓库的耐火等级、层数和防火分区面积安全检查表</w:t>
      </w:r>
    </w:p>
    <w:tbl>
      <w:tblPr>
        <w:tblStyle w:val="61"/>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822"/>
        <w:gridCol w:w="1195"/>
        <w:gridCol w:w="761"/>
        <w:gridCol w:w="1048"/>
        <w:gridCol w:w="716"/>
        <w:gridCol w:w="1072"/>
        <w:gridCol w:w="810"/>
        <w:gridCol w:w="1418"/>
        <w:gridCol w:w="776"/>
      </w:tblGrid>
      <w:tr w14:paraId="4CAEC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2" w:type="pct"/>
            <w:vMerge w:val="restart"/>
            <w:shd w:val="clear" w:color="auto" w:fill="auto"/>
            <w:vAlign w:val="center"/>
          </w:tcPr>
          <w:p w14:paraId="0890F83F">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储存物品类别</w:t>
            </w:r>
          </w:p>
        </w:tc>
        <w:tc>
          <w:tcPr>
            <w:tcW w:w="1074" w:type="pct"/>
            <w:gridSpan w:val="2"/>
            <w:shd w:val="clear" w:color="auto" w:fill="auto"/>
            <w:vAlign w:val="center"/>
          </w:tcPr>
          <w:p w14:paraId="3A126B7F">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耐火等级</w:t>
            </w:r>
          </w:p>
        </w:tc>
        <w:tc>
          <w:tcPr>
            <w:tcW w:w="963" w:type="pct"/>
            <w:gridSpan w:val="2"/>
            <w:shd w:val="clear" w:color="auto" w:fill="auto"/>
            <w:vAlign w:val="center"/>
          </w:tcPr>
          <w:p w14:paraId="501172F1">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允许层数</w:t>
            </w:r>
          </w:p>
        </w:tc>
        <w:tc>
          <w:tcPr>
            <w:tcW w:w="950" w:type="pct"/>
            <w:gridSpan w:val="2"/>
            <w:shd w:val="clear" w:color="auto" w:fill="auto"/>
            <w:vAlign w:val="center"/>
          </w:tcPr>
          <w:p w14:paraId="4C98CBEA">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每座仓库最大允许占地面积（m</w:t>
            </w:r>
            <w:r>
              <w:rPr>
                <w:rFonts w:hint="eastAsia" w:ascii="宋体" w:hAnsi="宋体" w:eastAsia="宋体" w:cs="宋体"/>
                <w:b/>
                <w:bCs w:val="0"/>
                <w:color w:val="auto"/>
                <w:sz w:val="21"/>
                <w:szCs w:val="21"/>
                <w:highlight w:val="none"/>
                <w:vertAlign w:val="superscript"/>
              </w:rPr>
              <w:t>2</w:t>
            </w:r>
            <w:r>
              <w:rPr>
                <w:rFonts w:hint="eastAsia" w:ascii="宋体" w:hAnsi="宋体" w:eastAsia="宋体" w:cs="宋体"/>
                <w:b/>
                <w:bCs w:val="0"/>
                <w:color w:val="auto"/>
                <w:sz w:val="21"/>
                <w:szCs w:val="21"/>
                <w:highlight w:val="none"/>
              </w:rPr>
              <w:t>）</w:t>
            </w:r>
          </w:p>
        </w:tc>
        <w:tc>
          <w:tcPr>
            <w:tcW w:w="1185" w:type="pct"/>
            <w:gridSpan w:val="2"/>
            <w:shd w:val="clear" w:color="auto" w:fill="auto"/>
            <w:vAlign w:val="center"/>
          </w:tcPr>
          <w:p w14:paraId="5DA5D300">
            <w:pPr>
              <w:adjustRightInd w:val="0"/>
              <w:snapToGrid w:val="0"/>
              <w:jc w:val="center"/>
              <w:rPr>
                <w:rFonts w:hint="eastAsia" w:ascii="宋体" w:hAnsi="宋体" w:cs="宋体"/>
                <w:b/>
                <w:color w:val="auto"/>
                <w:szCs w:val="21"/>
                <w:highlight w:val="none"/>
              </w:rPr>
            </w:pPr>
            <w:r>
              <w:rPr>
                <w:rFonts w:hint="eastAsia" w:ascii="宋体" w:hAnsi="宋体" w:eastAsia="宋体" w:cs="宋体"/>
                <w:b/>
                <w:bCs w:val="0"/>
                <w:color w:val="auto"/>
                <w:sz w:val="21"/>
                <w:szCs w:val="21"/>
                <w:highlight w:val="none"/>
              </w:rPr>
              <w:t>每个防火分区最大允许的建筑面积（m</w:t>
            </w:r>
            <w:r>
              <w:rPr>
                <w:rFonts w:hint="eastAsia" w:ascii="宋体" w:hAnsi="宋体" w:eastAsia="宋体" w:cs="宋体"/>
                <w:b/>
                <w:bCs w:val="0"/>
                <w:color w:val="auto"/>
                <w:sz w:val="21"/>
                <w:szCs w:val="21"/>
                <w:highlight w:val="none"/>
                <w:vertAlign w:val="superscript"/>
              </w:rPr>
              <w:t>2</w:t>
            </w:r>
            <w:r>
              <w:rPr>
                <w:rFonts w:hint="eastAsia" w:ascii="宋体" w:hAnsi="宋体" w:eastAsia="宋体" w:cs="宋体"/>
                <w:b/>
                <w:bCs w:val="0"/>
                <w:color w:val="auto"/>
                <w:sz w:val="21"/>
                <w:szCs w:val="21"/>
                <w:highlight w:val="none"/>
              </w:rPr>
              <w:t>）</w:t>
            </w:r>
          </w:p>
        </w:tc>
        <w:tc>
          <w:tcPr>
            <w:tcW w:w="413" w:type="pct"/>
            <w:vMerge w:val="restart"/>
            <w:shd w:val="clear" w:color="auto" w:fill="auto"/>
            <w:vAlign w:val="center"/>
          </w:tcPr>
          <w:p w14:paraId="54AC399A">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评价结果</w:t>
            </w:r>
          </w:p>
        </w:tc>
      </w:tr>
      <w:tr w14:paraId="0CD7E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2" w:type="pct"/>
            <w:vMerge w:val="continue"/>
            <w:shd w:val="clear" w:color="auto" w:fill="auto"/>
            <w:vAlign w:val="center"/>
          </w:tcPr>
          <w:p w14:paraId="45A395B1">
            <w:pPr>
              <w:adjustRightInd w:val="0"/>
              <w:snapToGrid w:val="0"/>
              <w:jc w:val="center"/>
              <w:rPr>
                <w:rFonts w:hint="eastAsia" w:ascii="宋体" w:hAnsi="宋体" w:eastAsia="宋体" w:cs="宋体"/>
                <w:bCs/>
                <w:color w:val="auto"/>
                <w:sz w:val="21"/>
                <w:szCs w:val="21"/>
                <w:highlight w:val="none"/>
              </w:rPr>
            </w:pPr>
          </w:p>
        </w:tc>
        <w:tc>
          <w:tcPr>
            <w:tcW w:w="438" w:type="pct"/>
            <w:shd w:val="clear" w:color="auto" w:fill="auto"/>
            <w:vAlign w:val="center"/>
          </w:tcPr>
          <w:p w14:paraId="3FCDB71B">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标准要求</w:t>
            </w:r>
          </w:p>
        </w:tc>
        <w:tc>
          <w:tcPr>
            <w:tcW w:w="636" w:type="pct"/>
            <w:shd w:val="clear" w:color="auto" w:fill="auto"/>
            <w:vAlign w:val="center"/>
          </w:tcPr>
          <w:p w14:paraId="170BFCB2">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实际</w:t>
            </w:r>
          </w:p>
        </w:tc>
        <w:tc>
          <w:tcPr>
            <w:tcW w:w="405" w:type="pct"/>
            <w:shd w:val="clear" w:color="auto" w:fill="auto"/>
            <w:vAlign w:val="center"/>
          </w:tcPr>
          <w:p w14:paraId="7DDE0816">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标准要求</w:t>
            </w:r>
          </w:p>
        </w:tc>
        <w:tc>
          <w:tcPr>
            <w:tcW w:w="557" w:type="pct"/>
            <w:shd w:val="clear" w:color="auto" w:fill="auto"/>
            <w:vAlign w:val="center"/>
          </w:tcPr>
          <w:p w14:paraId="6B1B1B06">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实际</w:t>
            </w:r>
          </w:p>
        </w:tc>
        <w:tc>
          <w:tcPr>
            <w:tcW w:w="379" w:type="pct"/>
            <w:shd w:val="clear" w:color="auto" w:fill="auto"/>
            <w:vAlign w:val="center"/>
          </w:tcPr>
          <w:p w14:paraId="3AFF5DF8">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标准要求</w:t>
            </w:r>
          </w:p>
        </w:tc>
        <w:tc>
          <w:tcPr>
            <w:tcW w:w="571" w:type="pct"/>
            <w:shd w:val="clear" w:color="auto" w:fill="auto"/>
            <w:vAlign w:val="center"/>
          </w:tcPr>
          <w:p w14:paraId="795CACE1">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实际</w:t>
            </w:r>
          </w:p>
        </w:tc>
        <w:tc>
          <w:tcPr>
            <w:tcW w:w="431" w:type="pct"/>
            <w:shd w:val="clear" w:color="auto" w:fill="auto"/>
            <w:vAlign w:val="center"/>
          </w:tcPr>
          <w:p w14:paraId="33020AFF">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标准要求</w:t>
            </w:r>
          </w:p>
        </w:tc>
        <w:tc>
          <w:tcPr>
            <w:tcW w:w="753" w:type="pct"/>
            <w:shd w:val="clear" w:color="auto" w:fill="auto"/>
            <w:vAlign w:val="center"/>
          </w:tcPr>
          <w:p w14:paraId="41F7BA07">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实际</w:t>
            </w:r>
          </w:p>
        </w:tc>
        <w:tc>
          <w:tcPr>
            <w:tcW w:w="413" w:type="pct"/>
            <w:vMerge w:val="continue"/>
            <w:shd w:val="clear" w:color="auto" w:fill="auto"/>
            <w:vAlign w:val="center"/>
          </w:tcPr>
          <w:p w14:paraId="6D09A01B">
            <w:pPr>
              <w:adjustRightInd w:val="0"/>
              <w:snapToGrid w:val="0"/>
              <w:jc w:val="center"/>
              <w:rPr>
                <w:rFonts w:hint="eastAsia" w:ascii="宋体" w:hAnsi="宋体" w:eastAsia="宋体" w:cs="宋体"/>
                <w:bCs/>
                <w:color w:val="auto"/>
                <w:sz w:val="21"/>
                <w:szCs w:val="21"/>
                <w:highlight w:val="none"/>
              </w:rPr>
            </w:pPr>
          </w:p>
        </w:tc>
      </w:tr>
      <w:tr w14:paraId="74489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2" w:type="pct"/>
            <w:vMerge w:val="restart"/>
            <w:shd w:val="clear" w:color="auto" w:fill="auto"/>
            <w:vAlign w:val="center"/>
          </w:tcPr>
          <w:p w14:paraId="5B1664CF">
            <w:pPr>
              <w:adjustRightInd w:val="0"/>
              <w:snapToGri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甲类</w:t>
            </w:r>
          </w:p>
        </w:tc>
        <w:tc>
          <w:tcPr>
            <w:tcW w:w="438" w:type="pct"/>
            <w:shd w:val="clear" w:color="auto" w:fill="auto"/>
            <w:vAlign w:val="center"/>
          </w:tcPr>
          <w:p w14:paraId="2FDB80B4">
            <w:pPr>
              <w:adjustRightInd w:val="0"/>
              <w:snapToGri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eastAsia="zh-CN"/>
              </w:rPr>
              <w:t>不低于</w:t>
            </w:r>
            <w:r>
              <w:rPr>
                <w:rFonts w:hint="eastAsia" w:ascii="宋体" w:hAnsi="宋体" w:eastAsia="宋体" w:cs="宋体"/>
                <w:bCs/>
                <w:color w:val="auto"/>
                <w:sz w:val="21"/>
                <w:szCs w:val="21"/>
                <w:highlight w:val="none"/>
              </w:rPr>
              <w:t>二级</w:t>
            </w:r>
          </w:p>
        </w:tc>
        <w:tc>
          <w:tcPr>
            <w:tcW w:w="636" w:type="pct"/>
            <w:shd w:val="clear" w:color="auto" w:fill="auto"/>
            <w:vAlign w:val="center"/>
          </w:tcPr>
          <w:p w14:paraId="5D86C1A6">
            <w:pPr>
              <w:adjustRightInd w:val="0"/>
              <w:snapToGri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二级</w:t>
            </w:r>
          </w:p>
        </w:tc>
        <w:tc>
          <w:tcPr>
            <w:tcW w:w="405" w:type="pct"/>
            <w:shd w:val="clear" w:color="auto" w:fill="auto"/>
            <w:vAlign w:val="center"/>
          </w:tcPr>
          <w:p w14:paraId="03EB4897">
            <w:pPr>
              <w:adjustRightInd w:val="0"/>
              <w:snapToGri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1层</w:t>
            </w:r>
          </w:p>
        </w:tc>
        <w:tc>
          <w:tcPr>
            <w:tcW w:w="557" w:type="pct"/>
            <w:shd w:val="clear" w:color="auto" w:fill="auto"/>
            <w:vAlign w:val="center"/>
          </w:tcPr>
          <w:p w14:paraId="358413AE">
            <w:pPr>
              <w:adjustRightInd w:val="0"/>
              <w:snapToGri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1层（注）</w:t>
            </w:r>
          </w:p>
        </w:tc>
        <w:tc>
          <w:tcPr>
            <w:tcW w:w="379" w:type="pct"/>
            <w:shd w:val="clear" w:color="auto" w:fill="auto"/>
            <w:vAlign w:val="center"/>
          </w:tcPr>
          <w:p w14:paraId="52AF9A74">
            <w:pPr>
              <w:adjustRightInd w:val="0"/>
              <w:snapToGri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750</w:t>
            </w:r>
          </w:p>
        </w:tc>
        <w:tc>
          <w:tcPr>
            <w:tcW w:w="571" w:type="pct"/>
            <w:shd w:val="clear" w:color="auto" w:fill="auto"/>
            <w:vAlign w:val="center"/>
          </w:tcPr>
          <w:p w14:paraId="2CCB1822">
            <w:pPr>
              <w:adjustRightInd w:val="0"/>
              <w:snapToGrid w:val="0"/>
              <w:jc w:val="center"/>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175.</w:t>
            </w:r>
            <w:r>
              <w:rPr>
                <w:rFonts w:hint="eastAsia" w:ascii="宋体" w:hAnsi="宋体" w:cs="宋体"/>
                <w:bCs/>
                <w:color w:val="auto"/>
                <w:sz w:val="21"/>
                <w:szCs w:val="21"/>
                <w:highlight w:val="none"/>
                <w:lang w:val="en-US" w:eastAsia="zh-CN"/>
              </w:rPr>
              <w:t>2</w:t>
            </w:r>
          </w:p>
        </w:tc>
        <w:tc>
          <w:tcPr>
            <w:tcW w:w="431" w:type="pct"/>
            <w:shd w:val="clear" w:color="auto" w:fill="auto"/>
            <w:vAlign w:val="center"/>
          </w:tcPr>
          <w:p w14:paraId="467252B9">
            <w:pPr>
              <w:adjustRightInd w:val="0"/>
              <w:snapToGri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250</w:t>
            </w:r>
          </w:p>
        </w:tc>
        <w:tc>
          <w:tcPr>
            <w:tcW w:w="753" w:type="pct"/>
            <w:shd w:val="clear" w:color="auto" w:fill="auto"/>
            <w:vAlign w:val="center"/>
          </w:tcPr>
          <w:p w14:paraId="3E978FC7">
            <w:pPr>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rPr>
              <w:t>175.</w:t>
            </w:r>
            <w:r>
              <w:rPr>
                <w:rFonts w:hint="eastAsia" w:ascii="宋体" w:hAnsi="宋体" w:cs="宋体"/>
                <w:bCs/>
                <w:color w:val="auto"/>
                <w:sz w:val="21"/>
                <w:szCs w:val="21"/>
                <w:highlight w:val="none"/>
                <w:lang w:val="en-US" w:eastAsia="zh-CN"/>
              </w:rPr>
              <w:t>2</w:t>
            </w:r>
          </w:p>
        </w:tc>
        <w:tc>
          <w:tcPr>
            <w:tcW w:w="413" w:type="pct"/>
            <w:vMerge w:val="restart"/>
            <w:shd w:val="clear" w:color="auto" w:fill="auto"/>
            <w:vAlign w:val="center"/>
          </w:tcPr>
          <w:p w14:paraId="1D8406EE">
            <w:pPr>
              <w:adjustRightInd w:val="0"/>
              <w:snapToGri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符合</w:t>
            </w:r>
          </w:p>
        </w:tc>
      </w:tr>
      <w:tr w14:paraId="38518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2" w:type="pct"/>
            <w:vMerge w:val="continue"/>
            <w:shd w:val="clear" w:color="auto" w:fill="auto"/>
            <w:vAlign w:val="center"/>
          </w:tcPr>
          <w:p w14:paraId="6AE47DD0">
            <w:pPr>
              <w:adjustRightInd w:val="0"/>
              <w:snapToGrid w:val="0"/>
              <w:jc w:val="center"/>
              <w:rPr>
                <w:rFonts w:hint="eastAsia" w:ascii="宋体" w:hAnsi="宋体" w:eastAsia="宋体" w:cs="宋体"/>
                <w:bCs/>
                <w:color w:val="auto"/>
                <w:sz w:val="21"/>
                <w:szCs w:val="21"/>
                <w:highlight w:val="none"/>
              </w:rPr>
            </w:pPr>
          </w:p>
        </w:tc>
        <w:tc>
          <w:tcPr>
            <w:tcW w:w="4174" w:type="pct"/>
            <w:gridSpan w:val="8"/>
            <w:shd w:val="clear" w:color="auto" w:fill="auto"/>
            <w:vAlign w:val="center"/>
          </w:tcPr>
          <w:p w14:paraId="0CE9E67E">
            <w:pPr>
              <w:adjustRightInd w:val="0"/>
              <w:snapToGrid w:val="0"/>
              <w:jc w:val="center"/>
              <w:rPr>
                <w:rFonts w:hint="eastAsia" w:ascii="宋体" w:hAnsi="宋体" w:eastAsia="宋体" w:cs="宋体"/>
                <w:b/>
                <w:bCs w:val="0"/>
                <w:color w:val="auto"/>
                <w:sz w:val="21"/>
                <w:szCs w:val="21"/>
                <w:highlight w:val="none"/>
                <w:lang w:val="en-US" w:eastAsia="zh-CN"/>
              </w:rPr>
            </w:pPr>
            <w:r>
              <w:rPr>
                <w:rFonts w:hint="eastAsia" w:ascii="宋体" w:hAnsi="宋体" w:cs="宋体"/>
                <w:b/>
                <w:bCs w:val="0"/>
                <w:color w:val="auto"/>
                <w:szCs w:val="21"/>
                <w:highlight w:val="none"/>
              </w:rPr>
              <w:t>安全</w:t>
            </w:r>
            <w:r>
              <w:rPr>
                <w:rFonts w:hint="eastAsia" w:ascii="宋体" w:hAnsi="宋体" w:cs="宋体"/>
                <w:b/>
                <w:bCs w:val="0"/>
                <w:color w:val="auto"/>
                <w:szCs w:val="21"/>
                <w:highlight w:val="none"/>
                <w:lang w:eastAsia="zh-CN"/>
              </w:rPr>
              <w:t>出口</w:t>
            </w:r>
          </w:p>
        </w:tc>
        <w:tc>
          <w:tcPr>
            <w:tcW w:w="413" w:type="pct"/>
            <w:vMerge w:val="continue"/>
            <w:shd w:val="clear" w:color="auto" w:fill="auto"/>
            <w:vAlign w:val="center"/>
          </w:tcPr>
          <w:p w14:paraId="3C14254E">
            <w:pPr>
              <w:adjustRightInd w:val="0"/>
              <w:snapToGrid w:val="0"/>
              <w:jc w:val="center"/>
              <w:rPr>
                <w:rFonts w:hint="eastAsia" w:ascii="宋体" w:hAnsi="宋体" w:eastAsia="宋体" w:cs="宋体"/>
                <w:bCs/>
                <w:color w:val="auto"/>
                <w:sz w:val="21"/>
                <w:szCs w:val="21"/>
                <w:highlight w:val="none"/>
              </w:rPr>
            </w:pPr>
          </w:p>
        </w:tc>
      </w:tr>
      <w:tr w14:paraId="1B29B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2" w:type="pct"/>
            <w:vMerge w:val="continue"/>
            <w:shd w:val="clear" w:color="auto" w:fill="auto"/>
            <w:vAlign w:val="center"/>
          </w:tcPr>
          <w:p w14:paraId="0E49D092">
            <w:pPr>
              <w:adjustRightInd w:val="0"/>
              <w:snapToGrid w:val="0"/>
              <w:jc w:val="center"/>
              <w:rPr>
                <w:rFonts w:hint="eastAsia" w:ascii="宋体" w:hAnsi="宋体" w:eastAsia="宋体" w:cs="宋体"/>
                <w:bCs/>
                <w:color w:val="auto"/>
                <w:sz w:val="21"/>
                <w:szCs w:val="21"/>
                <w:highlight w:val="none"/>
              </w:rPr>
            </w:pPr>
          </w:p>
        </w:tc>
        <w:tc>
          <w:tcPr>
            <w:tcW w:w="2417" w:type="pct"/>
            <w:gridSpan w:val="5"/>
            <w:shd w:val="clear" w:color="auto" w:fill="auto"/>
            <w:vAlign w:val="center"/>
          </w:tcPr>
          <w:p w14:paraId="7BF963B8">
            <w:pPr>
              <w:adjustRightInd w:val="0"/>
              <w:snapToGrid w:val="0"/>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标准要求</w:t>
            </w:r>
          </w:p>
        </w:tc>
        <w:tc>
          <w:tcPr>
            <w:tcW w:w="1757" w:type="pct"/>
            <w:gridSpan w:val="3"/>
            <w:shd w:val="clear" w:color="auto" w:fill="auto"/>
            <w:vAlign w:val="center"/>
          </w:tcPr>
          <w:p w14:paraId="00C34C98">
            <w:pPr>
              <w:adjustRightInd w:val="0"/>
              <w:snapToGrid w:val="0"/>
              <w:jc w:val="center"/>
              <w:rPr>
                <w:rFonts w:hint="eastAsia" w:ascii="宋体" w:hAnsi="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rPr>
              <w:t>实际</w:t>
            </w:r>
          </w:p>
        </w:tc>
        <w:tc>
          <w:tcPr>
            <w:tcW w:w="413" w:type="pct"/>
            <w:vMerge w:val="continue"/>
            <w:shd w:val="clear" w:color="auto" w:fill="auto"/>
            <w:vAlign w:val="center"/>
          </w:tcPr>
          <w:p w14:paraId="7349876F">
            <w:pPr>
              <w:adjustRightInd w:val="0"/>
              <w:snapToGrid w:val="0"/>
              <w:jc w:val="center"/>
              <w:rPr>
                <w:rFonts w:hint="eastAsia" w:ascii="宋体" w:hAnsi="宋体" w:eastAsia="宋体" w:cs="宋体"/>
                <w:bCs/>
                <w:color w:val="auto"/>
                <w:sz w:val="21"/>
                <w:szCs w:val="21"/>
                <w:highlight w:val="none"/>
              </w:rPr>
            </w:pPr>
          </w:p>
        </w:tc>
      </w:tr>
      <w:tr w14:paraId="6B8D6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2" w:type="pct"/>
            <w:vMerge w:val="continue"/>
            <w:shd w:val="clear" w:color="auto" w:fill="auto"/>
            <w:vAlign w:val="center"/>
          </w:tcPr>
          <w:p w14:paraId="430A6A3C">
            <w:pPr>
              <w:adjustRightInd w:val="0"/>
              <w:snapToGrid w:val="0"/>
              <w:jc w:val="center"/>
              <w:rPr>
                <w:rFonts w:hint="eastAsia" w:ascii="宋体" w:hAnsi="宋体" w:eastAsia="宋体" w:cs="宋体"/>
                <w:bCs/>
                <w:color w:val="auto"/>
                <w:sz w:val="21"/>
                <w:szCs w:val="21"/>
                <w:highlight w:val="none"/>
              </w:rPr>
            </w:pPr>
          </w:p>
        </w:tc>
        <w:tc>
          <w:tcPr>
            <w:tcW w:w="2417" w:type="pct"/>
            <w:gridSpan w:val="5"/>
            <w:shd w:val="clear" w:color="auto" w:fill="auto"/>
            <w:vAlign w:val="center"/>
          </w:tcPr>
          <w:p w14:paraId="4CD7F9A2">
            <w:pPr>
              <w:adjustRightInd w:val="0"/>
              <w:snapToGrid w:val="0"/>
              <w:jc w:val="left"/>
              <w:rPr>
                <w:rFonts w:hint="eastAsia" w:ascii="宋体" w:hAnsi="宋体" w:eastAsia="宋体" w:cs="宋体"/>
                <w:bCs/>
                <w:color w:val="auto"/>
                <w:sz w:val="21"/>
                <w:szCs w:val="21"/>
                <w:highlight w:val="none"/>
              </w:rPr>
            </w:pPr>
            <w:r>
              <w:rPr>
                <w:rFonts w:hint="eastAsia" w:ascii="宋体" w:hAnsi="宋体" w:cs="宋体"/>
                <w:color w:val="auto"/>
                <w:szCs w:val="21"/>
                <w:highlight w:val="none"/>
                <w:lang w:eastAsia="zh-CN"/>
              </w:rPr>
              <w:t>第</w:t>
            </w:r>
            <w:r>
              <w:rPr>
                <w:rFonts w:hint="eastAsia" w:ascii="宋体" w:hAnsi="宋体" w:cs="宋体"/>
                <w:color w:val="auto"/>
                <w:szCs w:val="21"/>
                <w:highlight w:val="none"/>
              </w:rPr>
              <w:t>3.8.2</w:t>
            </w:r>
            <w:r>
              <w:rPr>
                <w:rFonts w:hint="eastAsia" w:ascii="宋体" w:hAnsi="宋体" w:cs="宋体"/>
                <w:color w:val="auto"/>
                <w:szCs w:val="21"/>
                <w:highlight w:val="none"/>
                <w:lang w:eastAsia="zh-CN"/>
              </w:rPr>
              <w:t>条</w:t>
            </w:r>
            <w:r>
              <w:rPr>
                <w:rFonts w:hint="eastAsia" w:ascii="宋体" w:hAnsi="宋体" w:cs="宋体"/>
                <w:color w:val="auto"/>
                <w:szCs w:val="21"/>
                <w:highlight w:val="none"/>
              </w:rPr>
              <w:t>每座仓库的安全出口不应少于2个，当一座仓库的占地面积不大于300m</w:t>
            </w:r>
            <w:r>
              <w:rPr>
                <w:rFonts w:hint="eastAsia" w:ascii="宋体" w:hAnsi="宋体" w:cs="宋体"/>
                <w:color w:val="auto"/>
                <w:szCs w:val="21"/>
                <w:highlight w:val="none"/>
                <w:vertAlign w:val="superscript"/>
              </w:rPr>
              <w:t>2</w:t>
            </w:r>
            <w:r>
              <w:rPr>
                <w:rFonts w:hint="eastAsia" w:ascii="宋体" w:hAnsi="宋体" w:cs="宋体"/>
                <w:color w:val="auto"/>
                <w:szCs w:val="21"/>
                <w:highlight w:val="none"/>
              </w:rPr>
              <w:t>时，可设置1个安全出口。</w:t>
            </w:r>
          </w:p>
        </w:tc>
        <w:tc>
          <w:tcPr>
            <w:tcW w:w="1757" w:type="pct"/>
            <w:gridSpan w:val="3"/>
            <w:shd w:val="clear" w:color="auto" w:fill="auto"/>
            <w:vAlign w:val="center"/>
          </w:tcPr>
          <w:p w14:paraId="25837B72">
            <w:pPr>
              <w:adjustRightInd w:val="0"/>
              <w:snapToGrid w:val="0"/>
              <w:jc w:val="center"/>
              <w:rPr>
                <w:rFonts w:ascii="宋体" w:hAnsi="宋体" w:cs="宋体"/>
                <w:color w:val="auto"/>
                <w:szCs w:val="21"/>
                <w:highlight w:val="none"/>
                <w:vertAlign w:val="superscript"/>
              </w:rPr>
            </w:pPr>
            <w:r>
              <w:rPr>
                <w:rFonts w:hint="eastAsia" w:ascii="宋体" w:hAnsi="宋体" w:cs="宋体"/>
                <w:color w:val="auto"/>
                <w:szCs w:val="21"/>
                <w:highlight w:val="none"/>
              </w:rPr>
              <w:t>危化品仓库面积为</w:t>
            </w:r>
            <w:r>
              <w:rPr>
                <w:rFonts w:ascii="宋体" w:hAnsi="宋体" w:cs="宋体"/>
                <w:color w:val="auto"/>
                <w:szCs w:val="21"/>
                <w:highlight w:val="none"/>
              </w:rPr>
              <w:t>175.</w:t>
            </w:r>
            <w:r>
              <w:rPr>
                <w:rFonts w:hint="eastAsia" w:ascii="宋体" w:hAnsi="宋体" w:cs="宋体"/>
                <w:color w:val="auto"/>
                <w:szCs w:val="21"/>
                <w:highlight w:val="none"/>
                <w:lang w:val="en-US" w:eastAsia="zh-CN"/>
              </w:rPr>
              <w:t>2</w:t>
            </w:r>
            <w:r>
              <w:rPr>
                <w:rFonts w:ascii="宋体" w:hAnsi="宋体" w:cs="宋体"/>
                <w:color w:val="auto"/>
                <w:szCs w:val="21"/>
                <w:highlight w:val="none"/>
              </w:rPr>
              <w:t>m</w:t>
            </w:r>
            <w:r>
              <w:rPr>
                <w:rFonts w:ascii="宋体" w:hAnsi="宋体" w:cs="宋体"/>
                <w:color w:val="auto"/>
                <w:szCs w:val="21"/>
                <w:highlight w:val="none"/>
                <w:vertAlign w:val="superscript"/>
              </w:rPr>
              <w:t>2</w:t>
            </w:r>
          </w:p>
          <w:p w14:paraId="5C7EC022">
            <w:pPr>
              <w:adjustRightInd w:val="0"/>
              <w:snapToGrid w:val="0"/>
              <w:jc w:val="cente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1号仓储1个，5号仓储1个，7号仓储1个。2、3、4和6号仓储3个</w:t>
            </w:r>
          </w:p>
        </w:tc>
        <w:tc>
          <w:tcPr>
            <w:tcW w:w="413" w:type="pct"/>
            <w:vMerge w:val="continue"/>
            <w:shd w:val="clear" w:color="auto" w:fill="auto"/>
            <w:vAlign w:val="center"/>
          </w:tcPr>
          <w:p w14:paraId="3829B741">
            <w:pPr>
              <w:adjustRightInd w:val="0"/>
              <w:snapToGrid w:val="0"/>
              <w:jc w:val="center"/>
              <w:rPr>
                <w:rFonts w:hint="eastAsia" w:ascii="宋体" w:hAnsi="宋体" w:eastAsia="宋体" w:cs="宋体"/>
                <w:bCs/>
                <w:color w:val="auto"/>
                <w:sz w:val="21"/>
                <w:szCs w:val="21"/>
                <w:highlight w:val="none"/>
              </w:rPr>
            </w:pPr>
          </w:p>
        </w:tc>
      </w:tr>
    </w:tbl>
    <w:p w14:paraId="333FD600">
      <w:pPr>
        <w:keepNext w:val="0"/>
        <w:keepLines w:val="0"/>
        <w:pageBreakBefore w:val="0"/>
        <w:widowControl w:val="0"/>
        <w:kinsoku/>
        <w:wordWrap/>
        <w:overflowPunct/>
        <w:topLinePunct w:val="0"/>
        <w:autoSpaceDE/>
        <w:autoSpaceDN/>
        <w:bidi w:val="0"/>
        <w:adjustRightInd w:val="0"/>
        <w:snapToGrid w:val="0"/>
        <w:spacing w:after="313" w:afterLines="100"/>
        <w:jc w:val="left"/>
        <w:textAlignment w:val="auto"/>
        <w:rPr>
          <w:color w:val="auto"/>
          <w:highlight w:val="none"/>
        </w:rPr>
      </w:pPr>
      <w:r>
        <w:rPr>
          <w:rFonts w:hint="eastAsia"/>
          <w:color w:val="auto"/>
          <w:highlight w:val="none"/>
        </w:rPr>
        <w:t>注：</w:t>
      </w:r>
      <w:r>
        <w:rPr>
          <w:rFonts w:hint="eastAsia"/>
          <w:color w:val="auto"/>
          <w:highlight w:val="none"/>
          <w:lang w:eastAsia="zh-CN"/>
        </w:rPr>
        <w:t>危化品仓库</w:t>
      </w:r>
      <w:r>
        <w:rPr>
          <w:rFonts w:hint="eastAsia"/>
          <w:color w:val="auto"/>
          <w:highlight w:val="none"/>
        </w:rPr>
        <w:t>所在建筑总层数为</w:t>
      </w:r>
      <w:r>
        <w:rPr>
          <w:color w:val="auto"/>
          <w:highlight w:val="none"/>
        </w:rPr>
        <w:t>4</w:t>
      </w:r>
      <w:r>
        <w:rPr>
          <w:rFonts w:hint="eastAsia"/>
          <w:color w:val="auto"/>
          <w:highlight w:val="none"/>
        </w:rPr>
        <w:t>层，其中</w:t>
      </w:r>
      <w:r>
        <w:rPr>
          <w:color w:val="auto"/>
          <w:highlight w:val="none"/>
        </w:rPr>
        <w:t>1</w:t>
      </w:r>
      <w:r>
        <w:rPr>
          <w:rFonts w:hint="eastAsia"/>
          <w:color w:val="auto"/>
          <w:highlight w:val="none"/>
        </w:rPr>
        <w:t>层为危化品仓库，其余空置。</w:t>
      </w:r>
    </w:p>
    <w:p w14:paraId="7A1DE894">
      <w:pPr>
        <w:pStyle w:val="690"/>
        <w:rPr>
          <w:rFonts w:hint="eastAsia"/>
          <w:color w:val="auto"/>
          <w:highlight w:val="none"/>
        </w:rPr>
      </w:pPr>
      <w:r>
        <w:rPr>
          <w:rFonts w:hint="eastAsia"/>
          <w:color w:val="auto"/>
          <w:highlight w:val="none"/>
          <w:lang w:eastAsia="zh-CN"/>
        </w:rPr>
        <w:t>依据</w:t>
      </w:r>
      <w:r>
        <w:rPr>
          <w:color w:val="auto"/>
          <w:highlight w:val="none"/>
        </w:rPr>
        <w:t>《建筑设计防火规范》GB50016-2014（2018年版）、《工业企业总平面设计规范》GB50187-2012，从总平面布置方面对</w:t>
      </w:r>
      <w:r>
        <w:rPr>
          <w:rFonts w:hint="eastAsia"/>
          <w:color w:val="auto"/>
          <w:highlight w:val="none"/>
          <w:lang w:eastAsia="zh-CN"/>
        </w:rPr>
        <w:t>危化品仓库</w:t>
      </w:r>
      <w:r>
        <w:rPr>
          <w:color w:val="auto"/>
          <w:highlight w:val="none"/>
        </w:rPr>
        <w:t>进行检查，检查结果</w:t>
      </w:r>
      <w:r>
        <w:rPr>
          <w:rFonts w:hint="eastAsia"/>
          <w:color w:val="auto"/>
          <w:highlight w:val="none"/>
          <w:lang w:eastAsia="zh-CN"/>
        </w:rPr>
        <w:t>见下表</w:t>
      </w:r>
      <w:r>
        <w:rPr>
          <w:rFonts w:hint="eastAsia"/>
          <w:color w:val="auto"/>
          <w:highlight w:val="none"/>
        </w:rPr>
        <w:t>。</w:t>
      </w:r>
    </w:p>
    <w:p w14:paraId="5436826B">
      <w:pPr>
        <w:pStyle w:val="690"/>
        <w:rPr>
          <w:rFonts w:hint="eastAsia"/>
          <w:color w:val="auto"/>
          <w:highlight w:val="none"/>
        </w:rPr>
      </w:pPr>
    </w:p>
    <w:p w14:paraId="294D06D6">
      <w:pPr>
        <w:pStyle w:val="690"/>
        <w:rPr>
          <w:rFonts w:hint="eastAsia"/>
          <w:color w:val="auto"/>
          <w:highlight w:val="none"/>
        </w:rPr>
      </w:pPr>
    </w:p>
    <w:p w14:paraId="34DEDD95">
      <w:pPr>
        <w:pStyle w:val="690"/>
        <w:rPr>
          <w:rFonts w:hint="eastAsia"/>
          <w:color w:val="auto"/>
          <w:highlight w:val="none"/>
        </w:rPr>
      </w:pPr>
    </w:p>
    <w:p w14:paraId="75E00D50">
      <w:pPr>
        <w:pStyle w:val="690"/>
        <w:rPr>
          <w:rFonts w:hint="eastAsia"/>
          <w:color w:val="auto"/>
          <w:highlight w:val="none"/>
        </w:rPr>
      </w:pPr>
    </w:p>
    <w:p w14:paraId="2CA5F63C">
      <w:pPr>
        <w:adjustRightInd w:val="0"/>
        <w:snapToGrid w:val="0"/>
        <w:spacing w:line="360" w:lineRule="auto"/>
        <w:ind w:firstLine="0" w:firstLineChars="0"/>
        <w:jc w:val="center"/>
        <w:rPr>
          <w:rFonts w:hint="eastAsia" w:ascii="黑体" w:hAnsi="黑体" w:eastAsia="黑体"/>
          <w:b/>
          <w:bCs/>
          <w:color w:val="auto"/>
          <w:sz w:val="24"/>
          <w:szCs w:val="24"/>
          <w:highlight w:val="none"/>
          <w:lang w:val="en-US" w:eastAsia="zh-CN"/>
        </w:rPr>
      </w:pPr>
    </w:p>
    <w:p w14:paraId="54284AAA">
      <w:pPr>
        <w:adjustRightInd w:val="0"/>
        <w:snapToGrid w:val="0"/>
        <w:spacing w:line="360" w:lineRule="auto"/>
        <w:ind w:firstLine="0" w:firstLineChars="0"/>
        <w:jc w:val="center"/>
        <w:rPr>
          <w:rFonts w:ascii="黑体" w:hAnsi="黑体" w:eastAsia="黑体"/>
          <w:b/>
          <w:bCs/>
          <w:color w:val="auto"/>
          <w:sz w:val="24"/>
          <w:szCs w:val="24"/>
          <w:highlight w:val="none"/>
        </w:rPr>
      </w:pPr>
      <w:r>
        <w:rPr>
          <w:rFonts w:hint="eastAsia" w:ascii="黑体" w:hAnsi="黑体" w:eastAsia="黑体"/>
          <w:b/>
          <w:bCs/>
          <w:color w:val="auto"/>
          <w:sz w:val="24"/>
          <w:szCs w:val="24"/>
          <w:highlight w:val="none"/>
          <w:lang w:val="en-US" w:eastAsia="zh-CN"/>
        </w:rPr>
        <w:t xml:space="preserve">表5.1-2 </w:t>
      </w:r>
      <w:r>
        <w:rPr>
          <w:rFonts w:hint="eastAsia" w:ascii="黑体" w:hAnsi="黑体" w:eastAsia="黑体"/>
          <w:b/>
          <w:bCs/>
          <w:color w:val="auto"/>
          <w:sz w:val="24"/>
          <w:szCs w:val="24"/>
          <w:highlight w:val="none"/>
          <w:lang w:eastAsia="zh-CN"/>
        </w:rPr>
        <w:t>总平面布置</w:t>
      </w:r>
      <w:r>
        <w:rPr>
          <w:rFonts w:hint="eastAsia" w:ascii="黑体" w:hAnsi="黑体" w:eastAsia="黑体"/>
          <w:b/>
          <w:bCs/>
          <w:color w:val="auto"/>
          <w:sz w:val="24"/>
          <w:szCs w:val="24"/>
          <w:highlight w:val="none"/>
        </w:rPr>
        <w:t>检查表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9"/>
        <w:gridCol w:w="4097"/>
        <w:gridCol w:w="1379"/>
        <w:gridCol w:w="2624"/>
        <w:gridCol w:w="712"/>
      </w:tblGrid>
      <w:tr w14:paraId="4E210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08" w:type="pct"/>
            <w:vAlign w:val="center"/>
          </w:tcPr>
          <w:p w14:paraId="327D78DE">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181" w:type="pct"/>
            <w:vAlign w:val="center"/>
          </w:tcPr>
          <w:p w14:paraId="5670D87F">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检查项目及内容</w:t>
            </w:r>
          </w:p>
        </w:tc>
        <w:tc>
          <w:tcPr>
            <w:tcW w:w="734" w:type="pct"/>
            <w:vAlign w:val="center"/>
          </w:tcPr>
          <w:p w14:paraId="43BA80C4">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依据</w:t>
            </w:r>
            <w:r>
              <w:rPr>
                <w:rFonts w:hint="eastAsia" w:ascii="宋体" w:hAnsi="宋体" w:eastAsia="宋体" w:cs="宋体"/>
                <w:b/>
                <w:bCs/>
                <w:color w:val="auto"/>
                <w:sz w:val="21"/>
                <w:szCs w:val="21"/>
                <w:highlight w:val="none"/>
                <w:lang w:eastAsia="zh-CN"/>
              </w:rPr>
              <w:t>条款</w:t>
            </w:r>
          </w:p>
        </w:tc>
        <w:tc>
          <w:tcPr>
            <w:tcW w:w="1397" w:type="pct"/>
            <w:vAlign w:val="center"/>
          </w:tcPr>
          <w:p w14:paraId="78A1EF63">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实际情况</w:t>
            </w:r>
          </w:p>
        </w:tc>
        <w:tc>
          <w:tcPr>
            <w:tcW w:w="379" w:type="pct"/>
            <w:vAlign w:val="center"/>
          </w:tcPr>
          <w:p w14:paraId="668E6A98">
            <w:pPr>
              <w:adjustRightInd w:val="0"/>
              <w:snapToGrid w:val="0"/>
              <w:spacing w:line="240" w:lineRule="auto"/>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检查结果</w:t>
            </w:r>
          </w:p>
        </w:tc>
      </w:tr>
      <w:tr w14:paraId="05DC3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 w:type="pct"/>
            <w:vAlign w:val="center"/>
          </w:tcPr>
          <w:p w14:paraId="3554360A">
            <w:pPr>
              <w:numPr>
                <w:ilvl w:val="0"/>
                <w:numId w:val="36"/>
              </w:numPr>
              <w:adjustRightInd w:val="0"/>
              <w:snapToGrid w:val="0"/>
              <w:spacing w:line="240" w:lineRule="auto"/>
              <w:ind w:left="425" w:leftChars="0" w:hanging="425" w:firstLineChars="0"/>
              <w:jc w:val="center"/>
              <w:rPr>
                <w:rFonts w:hint="eastAsia" w:ascii="宋体" w:hAnsi="宋体" w:eastAsia="宋体" w:cs="宋体"/>
                <w:color w:val="auto"/>
                <w:sz w:val="21"/>
                <w:szCs w:val="21"/>
                <w:highlight w:val="none"/>
              </w:rPr>
            </w:pPr>
          </w:p>
        </w:tc>
        <w:tc>
          <w:tcPr>
            <w:tcW w:w="2181" w:type="pct"/>
            <w:vAlign w:val="center"/>
          </w:tcPr>
          <w:p w14:paraId="654B52C6">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平面布置应在总体规划的基础上，根据工业企业的性质、规模、生产流程、交通运输、环境保护，以及防火、安全、卫生、节能、施工、检修、厂区发展等要求，结合场地自然条件，经技术经济比较后择优确定。</w:t>
            </w:r>
          </w:p>
        </w:tc>
        <w:tc>
          <w:tcPr>
            <w:tcW w:w="734" w:type="pct"/>
            <w:vAlign w:val="center"/>
          </w:tcPr>
          <w:p w14:paraId="0929B0AB">
            <w:pPr>
              <w:adjustRightInd w:val="0"/>
              <w:snapToGrid w:val="0"/>
              <w:jc w:val="center"/>
              <w:rPr>
                <w:rFonts w:hint="eastAsia" w:ascii="宋体" w:hAnsi="宋体" w:eastAsia="宋体" w:cs="宋体"/>
                <w:color w:val="auto"/>
                <w:sz w:val="21"/>
                <w:szCs w:val="21"/>
                <w:highlight w:val="none"/>
                <w:lang w:val="zh-CN"/>
              </w:rPr>
            </w:pPr>
            <w:r>
              <w:rPr>
                <w:rFonts w:hint="eastAsia" w:ascii="宋体" w:hAnsi="宋体" w:eastAsia="宋体" w:cs="宋体"/>
                <w:bCs/>
                <w:color w:val="auto"/>
                <w:kern w:val="0"/>
                <w:sz w:val="21"/>
                <w:szCs w:val="21"/>
                <w:highlight w:val="none"/>
              </w:rPr>
              <w:t>GB50187-2012</w:t>
            </w:r>
            <w:r>
              <w:rPr>
                <w:rFonts w:hint="eastAsia" w:ascii="宋体" w:hAnsi="宋体" w:eastAsia="宋体" w:cs="宋体"/>
                <w:color w:val="auto"/>
                <w:sz w:val="21"/>
                <w:szCs w:val="21"/>
                <w:highlight w:val="none"/>
                <w:lang w:val="zh-CN"/>
              </w:rPr>
              <w:t>第</w:t>
            </w:r>
            <w:r>
              <w:rPr>
                <w:rFonts w:hint="eastAsia" w:ascii="宋体" w:hAnsi="宋体" w:eastAsia="宋体" w:cs="宋体"/>
                <w:color w:val="auto"/>
                <w:sz w:val="21"/>
                <w:szCs w:val="21"/>
                <w:highlight w:val="none"/>
              </w:rPr>
              <w:t>5.1.1</w:t>
            </w:r>
            <w:r>
              <w:rPr>
                <w:rFonts w:hint="eastAsia" w:ascii="宋体" w:hAnsi="宋体" w:eastAsia="宋体" w:cs="宋体"/>
                <w:color w:val="auto"/>
                <w:sz w:val="21"/>
                <w:szCs w:val="21"/>
                <w:highlight w:val="none"/>
                <w:lang w:val="zh-CN"/>
              </w:rPr>
              <w:t>条</w:t>
            </w:r>
          </w:p>
        </w:tc>
        <w:tc>
          <w:tcPr>
            <w:tcW w:w="1397" w:type="pct"/>
            <w:vAlign w:val="center"/>
          </w:tcPr>
          <w:p w14:paraId="380E0675">
            <w:pPr>
              <w:adjustRightInd w:val="0"/>
              <w:snapToGrid w:val="0"/>
              <w:spacing w:line="240" w:lineRule="auto"/>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综合考虑择优确定。</w:t>
            </w:r>
          </w:p>
        </w:tc>
        <w:tc>
          <w:tcPr>
            <w:tcW w:w="379" w:type="pct"/>
            <w:vAlign w:val="center"/>
          </w:tcPr>
          <w:p w14:paraId="0B51322C">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22B90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 w:type="pct"/>
            <w:vAlign w:val="center"/>
          </w:tcPr>
          <w:p w14:paraId="2A98AEA9">
            <w:pPr>
              <w:numPr>
                <w:ilvl w:val="0"/>
                <w:numId w:val="36"/>
              </w:numPr>
              <w:adjustRightInd w:val="0"/>
              <w:snapToGrid w:val="0"/>
              <w:spacing w:line="240" w:lineRule="auto"/>
              <w:ind w:left="425" w:leftChars="0" w:hanging="425" w:firstLineChars="0"/>
              <w:jc w:val="center"/>
              <w:rPr>
                <w:rFonts w:hint="eastAsia" w:ascii="宋体" w:hAnsi="宋体" w:eastAsia="宋体" w:cs="宋体"/>
                <w:color w:val="auto"/>
                <w:sz w:val="21"/>
                <w:szCs w:val="21"/>
                <w:highlight w:val="none"/>
              </w:rPr>
            </w:pPr>
          </w:p>
        </w:tc>
        <w:tc>
          <w:tcPr>
            <w:tcW w:w="2181" w:type="pct"/>
            <w:vAlign w:val="center"/>
          </w:tcPr>
          <w:p w14:paraId="67F3F9B4">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仓库与堆场，应根据贮存物料的性质、货流出入方向、供应对象、贮存面积、运输方式等因素，按不同类别相对集中布置，并为运输、装卸、管理创造有利条件。</w:t>
            </w:r>
          </w:p>
        </w:tc>
        <w:tc>
          <w:tcPr>
            <w:tcW w:w="734" w:type="pct"/>
            <w:vAlign w:val="center"/>
          </w:tcPr>
          <w:p w14:paraId="325B538C">
            <w:pPr>
              <w:adjustRightInd w:val="0"/>
              <w:snapToGrid w:val="0"/>
              <w:jc w:val="left"/>
              <w:rPr>
                <w:rFonts w:hint="eastAsia" w:ascii="宋体" w:hAnsi="宋体" w:eastAsia="宋体" w:cs="宋体"/>
                <w:color w:val="auto"/>
                <w:kern w:val="2"/>
                <w:sz w:val="21"/>
                <w:szCs w:val="21"/>
                <w:highlight w:val="none"/>
                <w:lang w:val="zh-CN" w:eastAsia="zh-CN" w:bidi="ar-SA"/>
              </w:rPr>
            </w:pPr>
            <w:r>
              <w:rPr>
                <w:rFonts w:hint="eastAsia" w:ascii="宋体" w:hAnsi="宋体" w:eastAsia="宋体" w:cs="宋体"/>
                <w:color w:val="auto"/>
                <w:sz w:val="21"/>
                <w:szCs w:val="21"/>
                <w:highlight w:val="none"/>
                <w:lang w:val="zh-CN"/>
              </w:rPr>
              <w:t>GB50187-2012第5.6.1条</w:t>
            </w:r>
          </w:p>
        </w:tc>
        <w:tc>
          <w:tcPr>
            <w:tcW w:w="1397" w:type="pct"/>
            <w:vAlign w:val="center"/>
          </w:tcPr>
          <w:p w14:paraId="15FD8977">
            <w:pPr>
              <w:adjustRightInd w:val="0"/>
              <w:snapToGrid w:val="0"/>
              <w:spacing w:line="240" w:lineRule="auto"/>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危化品仓库、树脂仓库、贝壳仓库集中布置。</w:t>
            </w:r>
          </w:p>
        </w:tc>
        <w:tc>
          <w:tcPr>
            <w:tcW w:w="379" w:type="pct"/>
            <w:vAlign w:val="center"/>
          </w:tcPr>
          <w:p w14:paraId="13954888">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符合</w:t>
            </w:r>
          </w:p>
        </w:tc>
      </w:tr>
      <w:tr w14:paraId="76052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 w:type="pct"/>
            <w:vAlign w:val="center"/>
          </w:tcPr>
          <w:p w14:paraId="6EB346AA">
            <w:pPr>
              <w:numPr>
                <w:ilvl w:val="0"/>
                <w:numId w:val="36"/>
              </w:numPr>
              <w:adjustRightInd w:val="0"/>
              <w:snapToGrid w:val="0"/>
              <w:spacing w:line="240" w:lineRule="auto"/>
              <w:ind w:left="425" w:leftChars="0" w:hanging="425" w:firstLineChars="0"/>
              <w:jc w:val="center"/>
              <w:rPr>
                <w:rFonts w:hint="eastAsia" w:ascii="宋体" w:hAnsi="宋体" w:eastAsia="宋体" w:cs="宋体"/>
                <w:color w:val="auto"/>
                <w:sz w:val="21"/>
                <w:szCs w:val="21"/>
                <w:highlight w:val="none"/>
              </w:rPr>
            </w:pPr>
          </w:p>
        </w:tc>
        <w:tc>
          <w:tcPr>
            <w:tcW w:w="2181" w:type="pct"/>
            <w:vAlign w:val="center"/>
          </w:tcPr>
          <w:p w14:paraId="74806381">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shd w:val="clear" w:color="auto" w:fill="auto"/>
              </w:rPr>
              <w:t>具有易燃、易爆的生产、贮存及装卸设施附近宜种植能减弱爆炸气浪和阻挡火势向外蔓延、枝叶茂密、含水分大、防爆及防火效果好的大乔木及灌木，不得种植含油脂较多的树种。绿化布置应保证消防通道的宽度和净空高度，并应有利于消防扑救。</w:t>
            </w:r>
          </w:p>
        </w:tc>
        <w:tc>
          <w:tcPr>
            <w:tcW w:w="734" w:type="pct"/>
            <w:vAlign w:val="center"/>
          </w:tcPr>
          <w:p w14:paraId="74DEAF7A">
            <w:pPr>
              <w:adjustRightInd w:val="0"/>
              <w:snapToGrid w:val="0"/>
              <w:jc w:val="center"/>
              <w:rPr>
                <w:rFonts w:hint="eastAsia" w:ascii="宋体" w:hAnsi="宋体" w:eastAsia="宋体" w:cs="宋体"/>
                <w:color w:val="auto"/>
                <w:sz w:val="21"/>
                <w:szCs w:val="21"/>
                <w:highlight w:val="none"/>
                <w:lang w:val="zh-CN"/>
              </w:rPr>
            </w:pPr>
            <w:r>
              <w:rPr>
                <w:rFonts w:hint="eastAsia" w:ascii="宋体" w:hAnsi="宋体" w:eastAsia="宋体" w:cs="宋体"/>
                <w:bCs/>
                <w:color w:val="auto"/>
                <w:kern w:val="0"/>
                <w:sz w:val="21"/>
                <w:szCs w:val="21"/>
                <w:highlight w:val="none"/>
              </w:rPr>
              <w:t>GB50187-2012</w:t>
            </w:r>
            <w:r>
              <w:rPr>
                <w:rFonts w:hint="eastAsia" w:ascii="宋体" w:hAnsi="宋体" w:eastAsia="宋体" w:cs="宋体"/>
                <w:bCs/>
                <w:color w:val="auto"/>
                <w:kern w:val="0"/>
                <w:sz w:val="21"/>
                <w:szCs w:val="21"/>
                <w:highlight w:val="none"/>
                <w:lang w:eastAsia="zh-CN"/>
              </w:rPr>
              <w:t>第</w:t>
            </w:r>
            <w:r>
              <w:rPr>
                <w:rFonts w:hint="eastAsia" w:ascii="宋体" w:hAnsi="宋体" w:eastAsia="宋体" w:cs="宋体"/>
                <w:color w:val="auto"/>
                <w:kern w:val="0"/>
                <w:sz w:val="21"/>
                <w:szCs w:val="21"/>
                <w:highlight w:val="none"/>
                <w:shd w:val="clear" w:color="auto" w:fill="auto"/>
              </w:rPr>
              <w:t>9.2.3</w:t>
            </w:r>
            <w:r>
              <w:rPr>
                <w:rFonts w:hint="eastAsia" w:ascii="宋体" w:hAnsi="宋体" w:eastAsia="宋体" w:cs="宋体"/>
                <w:bCs/>
                <w:color w:val="auto"/>
                <w:kern w:val="0"/>
                <w:sz w:val="21"/>
                <w:szCs w:val="21"/>
                <w:highlight w:val="none"/>
                <w:lang w:eastAsia="zh-CN"/>
              </w:rPr>
              <w:t>条</w:t>
            </w:r>
          </w:p>
        </w:tc>
        <w:tc>
          <w:tcPr>
            <w:tcW w:w="1397" w:type="pct"/>
            <w:vAlign w:val="center"/>
          </w:tcPr>
          <w:p w14:paraId="00B232C5">
            <w:pPr>
              <w:adjustRightInd w:val="0"/>
              <w:snapToGrid w:val="0"/>
              <w:spacing w:line="240" w:lineRule="auto"/>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shd w:val="clear" w:color="auto" w:fill="auto"/>
                <w:lang w:eastAsia="zh-CN"/>
              </w:rPr>
              <w:t>危化品仓库附近</w:t>
            </w:r>
            <w:r>
              <w:rPr>
                <w:rFonts w:hint="eastAsia" w:ascii="宋体" w:hAnsi="宋体" w:eastAsia="宋体" w:cs="宋体"/>
                <w:color w:val="auto"/>
                <w:kern w:val="0"/>
                <w:sz w:val="21"/>
                <w:szCs w:val="21"/>
                <w:highlight w:val="none"/>
                <w:shd w:val="clear" w:color="auto" w:fill="auto"/>
              </w:rPr>
              <w:t>种植大乔木及灌木，</w:t>
            </w:r>
            <w:r>
              <w:rPr>
                <w:rFonts w:hint="eastAsia" w:ascii="宋体" w:hAnsi="宋体" w:eastAsia="宋体" w:cs="宋体"/>
                <w:color w:val="auto"/>
                <w:kern w:val="0"/>
                <w:sz w:val="21"/>
                <w:szCs w:val="21"/>
                <w:highlight w:val="none"/>
                <w:shd w:val="clear" w:color="auto" w:fill="auto"/>
                <w:lang w:eastAsia="zh-CN"/>
              </w:rPr>
              <w:t>未</w:t>
            </w:r>
            <w:r>
              <w:rPr>
                <w:rFonts w:hint="eastAsia" w:ascii="宋体" w:hAnsi="宋体" w:eastAsia="宋体" w:cs="宋体"/>
                <w:color w:val="auto"/>
                <w:kern w:val="0"/>
                <w:sz w:val="21"/>
                <w:szCs w:val="21"/>
                <w:highlight w:val="none"/>
                <w:shd w:val="clear" w:color="auto" w:fill="auto"/>
              </w:rPr>
              <w:t>种植含油脂较多的树种。</w:t>
            </w:r>
          </w:p>
        </w:tc>
        <w:tc>
          <w:tcPr>
            <w:tcW w:w="379" w:type="pct"/>
            <w:vAlign w:val="center"/>
          </w:tcPr>
          <w:p w14:paraId="3883CC63">
            <w:pPr>
              <w:adjustRightInd w:val="0"/>
              <w:snapToGrid w:val="0"/>
              <w:spacing w:line="24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62FA8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 w:type="pct"/>
            <w:vAlign w:val="center"/>
          </w:tcPr>
          <w:p w14:paraId="13F2D7C8">
            <w:pPr>
              <w:numPr>
                <w:ilvl w:val="0"/>
                <w:numId w:val="36"/>
              </w:numPr>
              <w:adjustRightInd w:val="0"/>
              <w:snapToGrid w:val="0"/>
              <w:spacing w:line="240" w:lineRule="auto"/>
              <w:ind w:left="425" w:leftChars="0" w:hanging="425" w:firstLineChars="0"/>
              <w:jc w:val="center"/>
              <w:rPr>
                <w:rFonts w:hint="eastAsia" w:ascii="宋体" w:hAnsi="宋体" w:eastAsia="宋体" w:cs="宋体"/>
                <w:color w:val="auto"/>
                <w:sz w:val="21"/>
                <w:szCs w:val="21"/>
                <w:highlight w:val="none"/>
              </w:rPr>
            </w:pPr>
          </w:p>
        </w:tc>
        <w:tc>
          <w:tcPr>
            <w:tcW w:w="2181" w:type="pct"/>
            <w:vAlign w:val="center"/>
          </w:tcPr>
          <w:p w14:paraId="6F617A7E">
            <w:pPr>
              <w:adjustRightInd w:val="0"/>
              <w:snapToGrid w:val="0"/>
              <w:jc w:val="left"/>
              <w:rPr>
                <w:rFonts w:hint="eastAsia" w:ascii="宋体" w:hAnsi="宋体" w:eastAsia="宋体" w:cs="宋体"/>
                <w:color w:val="auto"/>
                <w:kern w:val="0"/>
                <w:sz w:val="21"/>
                <w:szCs w:val="21"/>
                <w:highlight w:val="none"/>
                <w:shd w:val="clear" w:color="auto" w:fill="auto"/>
              </w:rPr>
            </w:pPr>
            <w:r>
              <w:rPr>
                <w:rFonts w:hint="eastAsia" w:ascii="宋体" w:hAnsi="宋体" w:eastAsia="宋体" w:cs="宋体"/>
                <w:color w:val="auto"/>
                <w:kern w:val="0"/>
                <w:sz w:val="21"/>
                <w:szCs w:val="21"/>
                <w:highlight w:val="none"/>
                <w:shd w:val="clear" w:color="auto" w:fill="auto"/>
              </w:rPr>
              <w:t>散发液化石油气及比重大于0.7的可燃气体和可燃蒸气的生产、贮存及装卸设施附近，绿化布置应注意通风，不应布置不利于重气体扩散的绿篱及茂密的灌木丛，可种植含水分多的四季常青的草皮。</w:t>
            </w:r>
          </w:p>
        </w:tc>
        <w:tc>
          <w:tcPr>
            <w:tcW w:w="734" w:type="pct"/>
            <w:vAlign w:val="center"/>
          </w:tcPr>
          <w:p w14:paraId="3153D29E">
            <w:pPr>
              <w:adjustRightInd w:val="0"/>
              <w:snapToGrid w:val="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GB50187-2012</w:t>
            </w:r>
            <w:r>
              <w:rPr>
                <w:rFonts w:hint="eastAsia" w:ascii="宋体" w:hAnsi="宋体" w:eastAsia="宋体" w:cs="宋体"/>
                <w:bCs/>
                <w:color w:val="auto"/>
                <w:kern w:val="0"/>
                <w:sz w:val="21"/>
                <w:szCs w:val="21"/>
                <w:highlight w:val="none"/>
                <w:lang w:eastAsia="zh-CN"/>
              </w:rPr>
              <w:t>第</w:t>
            </w:r>
            <w:r>
              <w:rPr>
                <w:rFonts w:hint="eastAsia" w:ascii="宋体" w:hAnsi="宋体" w:eastAsia="宋体" w:cs="宋体"/>
                <w:color w:val="auto"/>
                <w:kern w:val="0"/>
                <w:sz w:val="21"/>
                <w:szCs w:val="21"/>
                <w:highlight w:val="none"/>
                <w:shd w:val="clear" w:color="auto" w:fill="auto"/>
              </w:rPr>
              <w:t>9.2.</w:t>
            </w:r>
            <w:r>
              <w:rPr>
                <w:rFonts w:hint="eastAsia" w:ascii="宋体" w:hAnsi="宋体" w:eastAsia="宋体" w:cs="宋体"/>
                <w:color w:val="auto"/>
                <w:kern w:val="0"/>
                <w:sz w:val="21"/>
                <w:szCs w:val="21"/>
                <w:highlight w:val="none"/>
                <w:shd w:val="clear" w:color="auto" w:fill="auto"/>
                <w:lang w:val="en-US" w:eastAsia="zh-CN"/>
              </w:rPr>
              <w:t>4</w:t>
            </w:r>
            <w:r>
              <w:rPr>
                <w:rFonts w:hint="eastAsia" w:ascii="宋体" w:hAnsi="宋体" w:eastAsia="宋体" w:cs="宋体"/>
                <w:bCs/>
                <w:color w:val="auto"/>
                <w:kern w:val="0"/>
                <w:sz w:val="21"/>
                <w:szCs w:val="21"/>
                <w:highlight w:val="none"/>
                <w:lang w:eastAsia="zh-CN"/>
              </w:rPr>
              <w:t>条</w:t>
            </w:r>
          </w:p>
        </w:tc>
        <w:tc>
          <w:tcPr>
            <w:tcW w:w="1397" w:type="pct"/>
            <w:vAlign w:val="center"/>
          </w:tcPr>
          <w:p w14:paraId="25078309">
            <w:pPr>
              <w:adjustRightInd w:val="0"/>
              <w:snapToGrid w:val="0"/>
              <w:spacing w:line="240" w:lineRule="auto"/>
              <w:jc w:val="left"/>
              <w:rPr>
                <w:rFonts w:hint="eastAsia" w:ascii="宋体" w:hAnsi="宋体" w:eastAsia="宋体" w:cs="宋体"/>
                <w:color w:val="auto"/>
                <w:sz w:val="21"/>
                <w:szCs w:val="21"/>
                <w:highlight w:val="none"/>
                <w:lang w:eastAsia="zh-CN"/>
              </w:rPr>
            </w:pPr>
            <w:r>
              <w:rPr>
                <w:rFonts w:hint="eastAsia" w:ascii="宋体" w:hAnsi="宋体" w:cs="宋体"/>
                <w:color w:val="auto"/>
                <w:kern w:val="0"/>
                <w:sz w:val="21"/>
                <w:szCs w:val="21"/>
                <w:highlight w:val="none"/>
                <w:lang w:val="en-US" w:eastAsia="zh-CN"/>
              </w:rPr>
              <w:t>2、3、4、6仓储外墙附近无</w:t>
            </w:r>
            <w:r>
              <w:rPr>
                <w:rFonts w:hint="eastAsia" w:ascii="宋体" w:hAnsi="宋体" w:eastAsia="宋体" w:cs="宋体"/>
                <w:color w:val="auto"/>
                <w:kern w:val="0"/>
                <w:sz w:val="21"/>
                <w:szCs w:val="21"/>
                <w:highlight w:val="none"/>
                <w:shd w:val="clear" w:color="auto" w:fill="auto"/>
              </w:rPr>
              <w:t>绿篱及茂密的灌木丛</w:t>
            </w:r>
            <w:r>
              <w:rPr>
                <w:rFonts w:hint="eastAsia" w:ascii="宋体" w:hAnsi="宋体" w:eastAsia="宋体" w:cs="宋体"/>
                <w:color w:val="auto"/>
                <w:kern w:val="0"/>
                <w:sz w:val="21"/>
                <w:szCs w:val="21"/>
                <w:highlight w:val="none"/>
                <w:shd w:val="clear" w:color="auto" w:fill="auto"/>
                <w:lang w:eastAsia="zh-CN"/>
              </w:rPr>
              <w:t>。</w:t>
            </w:r>
          </w:p>
        </w:tc>
        <w:tc>
          <w:tcPr>
            <w:tcW w:w="379" w:type="pct"/>
            <w:vAlign w:val="center"/>
          </w:tcPr>
          <w:p w14:paraId="0CF5FDB5">
            <w:pPr>
              <w:adjustRightInd w:val="0"/>
              <w:snapToGrid w:val="0"/>
              <w:spacing w:line="24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2CA0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 w:type="pct"/>
            <w:vAlign w:val="center"/>
          </w:tcPr>
          <w:p w14:paraId="2342A5AC">
            <w:pPr>
              <w:numPr>
                <w:ilvl w:val="0"/>
                <w:numId w:val="36"/>
              </w:numPr>
              <w:adjustRightInd w:val="0"/>
              <w:snapToGrid w:val="0"/>
              <w:spacing w:line="240" w:lineRule="auto"/>
              <w:ind w:left="425" w:leftChars="0" w:hanging="425" w:firstLineChars="0"/>
              <w:jc w:val="center"/>
              <w:rPr>
                <w:rFonts w:hint="eastAsia" w:ascii="宋体" w:hAnsi="宋体" w:eastAsia="宋体" w:cs="宋体"/>
                <w:color w:val="auto"/>
                <w:sz w:val="21"/>
                <w:szCs w:val="21"/>
                <w:highlight w:val="none"/>
              </w:rPr>
            </w:pPr>
          </w:p>
        </w:tc>
        <w:tc>
          <w:tcPr>
            <w:tcW w:w="2181" w:type="pct"/>
            <w:vAlign w:val="center"/>
          </w:tcPr>
          <w:p w14:paraId="2A6795C1">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shd w:val="clear" w:color="auto" w:fill="auto"/>
              </w:rPr>
              <w:t>树木与建筑物、构筑物及地下管线的最小间距应符合表9.2.15的规定。</w:t>
            </w:r>
          </w:p>
        </w:tc>
        <w:tc>
          <w:tcPr>
            <w:tcW w:w="734" w:type="pct"/>
            <w:vAlign w:val="center"/>
          </w:tcPr>
          <w:p w14:paraId="65488A88">
            <w:pPr>
              <w:adjustRightInd w:val="0"/>
              <w:snapToGrid w:val="0"/>
              <w:jc w:val="center"/>
              <w:rPr>
                <w:rFonts w:hint="eastAsia" w:ascii="宋体" w:hAnsi="宋体" w:eastAsia="宋体" w:cs="宋体"/>
                <w:color w:val="auto"/>
                <w:sz w:val="21"/>
                <w:szCs w:val="21"/>
                <w:highlight w:val="none"/>
                <w:lang w:val="zh-CN"/>
              </w:rPr>
            </w:pPr>
            <w:r>
              <w:rPr>
                <w:rFonts w:hint="eastAsia" w:ascii="宋体" w:hAnsi="宋体" w:eastAsia="宋体" w:cs="宋体"/>
                <w:bCs/>
                <w:color w:val="auto"/>
                <w:kern w:val="0"/>
                <w:sz w:val="21"/>
                <w:szCs w:val="21"/>
                <w:highlight w:val="none"/>
              </w:rPr>
              <w:t>GB50187-2012</w:t>
            </w:r>
            <w:r>
              <w:rPr>
                <w:rFonts w:hint="eastAsia" w:ascii="宋体" w:hAnsi="宋体" w:eastAsia="宋体" w:cs="宋体"/>
                <w:bCs/>
                <w:color w:val="auto"/>
                <w:kern w:val="0"/>
                <w:sz w:val="21"/>
                <w:szCs w:val="21"/>
                <w:highlight w:val="none"/>
                <w:lang w:eastAsia="zh-CN"/>
              </w:rPr>
              <w:t>第</w:t>
            </w:r>
            <w:r>
              <w:rPr>
                <w:rFonts w:hint="eastAsia" w:ascii="宋体" w:hAnsi="宋体" w:eastAsia="宋体" w:cs="宋体"/>
                <w:color w:val="auto"/>
                <w:kern w:val="0"/>
                <w:sz w:val="21"/>
                <w:szCs w:val="21"/>
                <w:highlight w:val="none"/>
                <w:shd w:val="clear" w:color="auto" w:fill="auto"/>
              </w:rPr>
              <w:t>9.2.15</w:t>
            </w:r>
            <w:r>
              <w:rPr>
                <w:rFonts w:hint="eastAsia" w:ascii="宋体" w:hAnsi="宋体" w:eastAsia="宋体" w:cs="宋体"/>
                <w:bCs/>
                <w:color w:val="auto"/>
                <w:kern w:val="0"/>
                <w:sz w:val="21"/>
                <w:szCs w:val="21"/>
                <w:highlight w:val="none"/>
                <w:lang w:eastAsia="zh-CN"/>
              </w:rPr>
              <w:t>条</w:t>
            </w:r>
          </w:p>
        </w:tc>
        <w:tc>
          <w:tcPr>
            <w:tcW w:w="1397" w:type="pct"/>
            <w:vAlign w:val="center"/>
          </w:tcPr>
          <w:p w14:paraId="6A7EB1A8">
            <w:pPr>
              <w:adjustRightInd w:val="0"/>
              <w:snapToGrid w:val="0"/>
              <w:spacing w:line="240" w:lineRule="auto"/>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危化品仓库（有窗）外墙至乔木中心最小间距</w:t>
            </w:r>
            <w:r>
              <w:rPr>
                <w:rFonts w:hint="eastAsia" w:ascii="宋体" w:hAnsi="宋体" w:eastAsia="宋体" w:cs="宋体"/>
                <w:color w:val="auto"/>
                <w:sz w:val="21"/>
                <w:szCs w:val="21"/>
                <w:highlight w:val="none"/>
                <w:lang w:val="en-US" w:eastAsia="zh-CN"/>
              </w:rPr>
              <w:t>3m，至灌木中心最小距离1.5m。</w:t>
            </w:r>
          </w:p>
        </w:tc>
        <w:tc>
          <w:tcPr>
            <w:tcW w:w="379" w:type="pct"/>
            <w:vAlign w:val="center"/>
          </w:tcPr>
          <w:p w14:paraId="209C89D8">
            <w:pPr>
              <w:adjustRightInd w:val="0"/>
              <w:snapToGrid w:val="0"/>
              <w:spacing w:line="24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3A3D3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 w:type="pct"/>
            <w:vAlign w:val="center"/>
          </w:tcPr>
          <w:p w14:paraId="6905FED0">
            <w:pPr>
              <w:numPr>
                <w:ilvl w:val="0"/>
                <w:numId w:val="36"/>
              </w:numPr>
              <w:adjustRightInd w:val="0"/>
              <w:snapToGrid w:val="0"/>
              <w:spacing w:line="240" w:lineRule="auto"/>
              <w:ind w:left="425" w:leftChars="0" w:hanging="425" w:firstLineChars="0"/>
              <w:jc w:val="center"/>
              <w:rPr>
                <w:rFonts w:hint="eastAsia" w:ascii="宋体" w:hAnsi="宋体" w:eastAsia="宋体" w:cs="宋体"/>
                <w:color w:val="auto"/>
                <w:sz w:val="21"/>
                <w:szCs w:val="21"/>
                <w:highlight w:val="none"/>
              </w:rPr>
            </w:pPr>
          </w:p>
        </w:tc>
        <w:tc>
          <w:tcPr>
            <w:tcW w:w="2181" w:type="pct"/>
            <w:vAlign w:val="center"/>
          </w:tcPr>
          <w:p w14:paraId="51C07BF4">
            <w:pPr>
              <w:adjustRightInd w:val="0"/>
              <w:snapToGrid w:val="0"/>
              <w:spacing w:line="24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库区围墙与库区内建筑之间的间距不宜小于5m，且围墙两侧的建筑之间还应满足相应的防火间距要求。</w:t>
            </w:r>
          </w:p>
        </w:tc>
        <w:tc>
          <w:tcPr>
            <w:tcW w:w="734" w:type="pct"/>
            <w:vAlign w:val="center"/>
          </w:tcPr>
          <w:p w14:paraId="4D9ABB00">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GB50016-2014（2018年版）第3.5.5条</w:t>
            </w:r>
          </w:p>
        </w:tc>
        <w:tc>
          <w:tcPr>
            <w:tcW w:w="1397" w:type="pct"/>
            <w:vAlign w:val="center"/>
          </w:tcPr>
          <w:p w14:paraId="53B93B67">
            <w:pPr>
              <w:adjustRightInd w:val="0"/>
              <w:snapToGrid w:val="0"/>
              <w:spacing w:line="240" w:lineRule="auto"/>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仓库与围墙的距离大于5m</w:t>
            </w:r>
            <w:r>
              <w:rPr>
                <w:rFonts w:hint="eastAsia" w:ascii="宋体" w:hAnsi="宋体" w:eastAsia="宋体" w:cs="宋体"/>
                <w:color w:val="auto"/>
                <w:sz w:val="21"/>
                <w:szCs w:val="21"/>
                <w:highlight w:val="none"/>
                <w:lang w:eastAsia="zh-CN"/>
              </w:rPr>
              <w:t>。</w:t>
            </w:r>
          </w:p>
        </w:tc>
        <w:tc>
          <w:tcPr>
            <w:tcW w:w="379" w:type="pct"/>
            <w:vAlign w:val="center"/>
          </w:tcPr>
          <w:p w14:paraId="4E2822C6">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符合</w:t>
            </w:r>
          </w:p>
        </w:tc>
      </w:tr>
      <w:tr w14:paraId="380DA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 w:type="pct"/>
            <w:vAlign w:val="center"/>
          </w:tcPr>
          <w:p w14:paraId="2EF163BC">
            <w:pPr>
              <w:numPr>
                <w:ilvl w:val="0"/>
                <w:numId w:val="36"/>
              </w:numPr>
              <w:adjustRightInd w:val="0"/>
              <w:snapToGrid w:val="0"/>
              <w:spacing w:line="240" w:lineRule="auto"/>
              <w:ind w:left="425" w:leftChars="0" w:hanging="425" w:firstLineChars="0"/>
              <w:jc w:val="center"/>
              <w:rPr>
                <w:rFonts w:hint="eastAsia" w:ascii="宋体" w:hAnsi="宋体" w:eastAsia="宋体" w:cs="宋体"/>
                <w:color w:val="auto"/>
                <w:sz w:val="21"/>
                <w:szCs w:val="21"/>
                <w:highlight w:val="none"/>
              </w:rPr>
            </w:pPr>
          </w:p>
        </w:tc>
        <w:tc>
          <w:tcPr>
            <w:tcW w:w="2181" w:type="pct"/>
            <w:vAlign w:val="center"/>
          </w:tcPr>
          <w:p w14:paraId="5B25019B">
            <w:pPr>
              <w:adjustRightInd w:val="0"/>
              <w:snapToGrid w:val="0"/>
              <w:spacing w:line="24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危化品仓库与架空电力线的最近水平距离不应小于电杆（塔）高度的1.5倍。</w:t>
            </w:r>
          </w:p>
        </w:tc>
        <w:tc>
          <w:tcPr>
            <w:tcW w:w="734" w:type="pct"/>
            <w:vAlign w:val="center"/>
          </w:tcPr>
          <w:p w14:paraId="683DA61A">
            <w:pPr>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GB50016-2014（2018年版）第11.2.1条</w:t>
            </w:r>
          </w:p>
        </w:tc>
        <w:tc>
          <w:tcPr>
            <w:tcW w:w="1397" w:type="pct"/>
            <w:vAlign w:val="center"/>
          </w:tcPr>
          <w:p w14:paraId="08AD8BDA">
            <w:pPr>
              <w:adjustRightInd w:val="0"/>
              <w:snapToGrid w:val="0"/>
              <w:spacing w:line="240" w:lineRule="auto"/>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周边无架空电力线</w:t>
            </w:r>
            <w:r>
              <w:rPr>
                <w:rFonts w:hint="eastAsia" w:ascii="宋体" w:hAnsi="宋体" w:eastAsia="宋体" w:cs="宋体"/>
                <w:color w:val="auto"/>
                <w:sz w:val="21"/>
                <w:szCs w:val="21"/>
                <w:highlight w:val="none"/>
                <w:lang w:eastAsia="zh-CN"/>
              </w:rPr>
              <w:t>。</w:t>
            </w:r>
          </w:p>
        </w:tc>
        <w:tc>
          <w:tcPr>
            <w:tcW w:w="379" w:type="pct"/>
            <w:vAlign w:val="center"/>
          </w:tcPr>
          <w:p w14:paraId="2B4433FA">
            <w:pPr>
              <w:adjustRightInd w:val="0"/>
              <w:snapToGrid w:val="0"/>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符合</w:t>
            </w:r>
          </w:p>
        </w:tc>
      </w:tr>
    </w:tbl>
    <w:p w14:paraId="2AA2927B">
      <w:pPr>
        <w:numPr>
          <w:ilvl w:val="255"/>
          <w:numId w:val="0"/>
        </w:numPr>
        <w:adjustRightInd w:val="0"/>
        <w:snapToGrid w:val="0"/>
        <w:spacing w:before="157" w:beforeLines="50"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依据《建筑设计防火规范》GB50016-2014（2018年版）检查</w:t>
      </w:r>
      <w:r>
        <w:rPr>
          <w:rFonts w:hint="eastAsia" w:ascii="宋体" w:hAnsi="宋体" w:eastAsia="宋体" w:cs="宋体"/>
          <w:bCs/>
          <w:color w:val="auto"/>
          <w:sz w:val="28"/>
          <w:szCs w:val="28"/>
          <w:highlight w:val="none"/>
          <w:lang w:eastAsia="zh-CN"/>
        </w:rPr>
        <w:t>危化品仓库</w:t>
      </w:r>
      <w:r>
        <w:rPr>
          <w:rFonts w:hint="eastAsia" w:ascii="宋体" w:hAnsi="宋体" w:cs="宋体"/>
          <w:bCs/>
          <w:color w:val="auto"/>
          <w:sz w:val="28"/>
          <w:szCs w:val="28"/>
          <w:highlight w:val="none"/>
          <w:lang w:eastAsia="zh-CN"/>
        </w:rPr>
        <w:t>与周边环境的防火间距</w:t>
      </w:r>
      <w:r>
        <w:rPr>
          <w:rFonts w:hint="eastAsia" w:ascii="宋体" w:hAnsi="宋体" w:eastAsia="宋体" w:cs="宋体"/>
          <w:bCs/>
          <w:color w:val="auto"/>
          <w:sz w:val="28"/>
          <w:szCs w:val="28"/>
          <w:highlight w:val="none"/>
        </w:rPr>
        <w:t>，检查情况见下表。</w:t>
      </w:r>
    </w:p>
    <w:p w14:paraId="4F55BA40">
      <w:pPr>
        <w:numPr>
          <w:ilvl w:val="-1"/>
          <w:numId w:val="0"/>
        </w:numPr>
        <w:adjustRightInd w:val="0"/>
        <w:snapToGrid w:val="0"/>
        <w:spacing w:before="0" w:beforeLines="-2147483648" w:line="360" w:lineRule="auto"/>
        <w:jc w:val="center"/>
        <w:rPr>
          <w:rFonts w:hint="eastAsia" w:ascii="黑体" w:hAnsi="黑体" w:eastAsia="黑体"/>
          <w:b/>
          <w:bCs/>
          <w:color w:val="auto"/>
          <w:kern w:val="2"/>
          <w:sz w:val="24"/>
          <w:highlight w:val="none"/>
        </w:rPr>
      </w:pPr>
      <w:r>
        <w:rPr>
          <w:rFonts w:hint="eastAsia" w:ascii="黑体" w:hAnsi="黑体" w:eastAsia="黑体"/>
          <w:b/>
          <w:bCs/>
          <w:color w:val="auto"/>
          <w:sz w:val="24"/>
          <w:szCs w:val="24"/>
          <w:highlight w:val="none"/>
          <w:lang w:val="en-US" w:eastAsia="zh-CN"/>
        </w:rPr>
        <w:t xml:space="preserve">表5.1-3 </w:t>
      </w:r>
      <w:r>
        <w:rPr>
          <w:rFonts w:hint="eastAsia" w:ascii="黑体" w:hAnsi="黑体" w:eastAsia="黑体"/>
          <w:b/>
          <w:bCs/>
          <w:color w:val="auto"/>
          <w:sz w:val="24"/>
          <w:highlight w:val="none"/>
        </w:rPr>
        <w:t>与周边环境的</w:t>
      </w:r>
      <w:r>
        <w:rPr>
          <w:rFonts w:hint="eastAsia" w:ascii="黑体" w:hAnsi="黑体" w:eastAsia="黑体"/>
          <w:b/>
          <w:bCs/>
          <w:color w:val="auto"/>
          <w:kern w:val="2"/>
          <w:sz w:val="24"/>
          <w:highlight w:val="none"/>
        </w:rPr>
        <w:t>防火间距检查表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458"/>
        <w:gridCol w:w="3001"/>
        <w:gridCol w:w="1128"/>
        <w:gridCol w:w="2173"/>
        <w:gridCol w:w="1094"/>
        <w:gridCol w:w="643"/>
      </w:tblGrid>
      <w:tr w14:paraId="222E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76" w:type="pct"/>
            <w:vAlign w:val="center"/>
          </w:tcPr>
          <w:p w14:paraId="0805874D">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本项目建筑物</w:t>
            </w:r>
          </w:p>
        </w:tc>
        <w:tc>
          <w:tcPr>
            <w:tcW w:w="244" w:type="pct"/>
            <w:vAlign w:val="center"/>
          </w:tcPr>
          <w:p w14:paraId="78518081">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方位</w:t>
            </w:r>
          </w:p>
        </w:tc>
        <w:tc>
          <w:tcPr>
            <w:tcW w:w="1597" w:type="pct"/>
            <w:vAlign w:val="center"/>
          </w:tcPr>
          <w:p w14:paraId="024C6CC2">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周边建（构）筑物</w:t>
            </w:r>
          </w:p>
        </w:tc>
        <w:tc>
          <w:tcPr>
            <w:tcW w:w="600" w:type="pct"/>
            <w:vAlign w:val="center"/>
          </w:tcPr>
          <w:p w14:paraId="2BCBA95B">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实际距离</w:t>
            </w:r>
          </w:p>
          <w:p w14:paraId="514DB58B">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（m）</w:t>
            </w:r>
          </w:p>
        </w:tc>
        <w:tc>
          <w:tcPr>
            <w:tcW w:w="1156" w:type="pct"/>
            <w:vAlign w:val="center"/>
          </w:tcPr>
          <w:p w14:paraId="7474A06C">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lang w:eastAsia="zh-CN"/>
              </w:rPr>
            </w:pPr>
            <w:r>
              <w:rPr>
                <w:rFonts w:hint="eastAsia" w:ascii="宋体" w:hAnsi="宋体" w:eastAsia="宋体" w:cs="宋体"/>
                <w:b/>
                <w:bCs w:val="0"/>
                <w:color w:val="auto"/>
                <w:kern w:val="0"/>
                <w:sz w:val="21"/>
                <w:szCs w:val="21"/>
                <w:highlight w:val="none"/>
                <w:lang w:eastAsia="zh-CN"/>
              </w:rPr>
              <w:t>依据条款</w:t>
            </w:r>
          </w:p>
        </w:tc>
        <w:tc>
          <w:tcPr>
            <w:tcW w:w="582" w:type="pct"/>
            <w:vAlign w:val="center"/>
          </w:tcPr>
          <w:p w14:paraId="4463A180">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规范要求</w:t>
            </w:r>
          </w:p>
          <w:p w14:paraId="120F8D7D">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（m）</w:t>
            </w:r>
          </w:p>
        </w:tc>
        <w:tc>
          <w:tcPr>
            <w:tcW w:w="342" w:type="pct"/>
            <w:vAlign w:val="center"/>
          </w:tcPr>
          <w:p w14:paraId="5938B4F2">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检查结果</w:t>
            </w:r>
          </w:p>
        </w:tc>
      </w:tr>
      <w:tr w14:paraId="468B6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6" w:type="pct"/>
            <w:vMerge w:val="restart"/>
            <w:vAlign w:val="center"/>
          </w:tcPr>
          <w:p w14:paraId="3DCFF6F3">
            <w:pPr>
              <w:adjustRightInd w:val="0"/>
              <w:snapToGrid w:val="0"/>
              <w:spacing w:beforeLines="0" w:after="0" w:afterLines="0"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危化品仓库</w:t>
            </w:r>
          </w:p>
          <w:p w14:paraId="7FCA8D47">
            <w:pPr>
              <w:adjustRightInd w:val="0"/>
              <w:snapToGrid w:val="0"/>
              <w:spacing w:beforeLines="0" w:after="0" w:afterLines="0"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甲类</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注1</w:t>
            </w:r>
            <w:r>
              <w:rPr>
                <w:rFonts w:hint="eastAsia" w:ascii="宋体" w:hAnsi="宋体" w:cs="宋体"/>
                <w:color w:val="auto"/>
                <w:sz w:val="21"/>
                <w:szCs w:val="21"/>
                <w:highlight w:val="none"/>
                <w:lang w:eastAsia="zh-CN"/>
              </w:rPr>
              <w:t>）</w:t>
            </w:r>
            <w:r>
              <w:rPr>
                <w:rFonts w:hint="eastAsia" w:ascii="宋体" w:hAnsi="宋体" w:eastAsia="宋体" w:cs="宋体"/>
                <w:bCs/>
                <w:color w:val="auto"/>
                <w:kern w:val="0"/>
                <w:sz w:val="21"/>
                <w:szCs w:val="21"/>
                <w:highlight w:val="none"/>
              </w:rPr>
              <w:t>（</w:t>
            </w:r>
            <w:r>
              <w:rPr>
                <w:rFonts w:hint="eastAsia" w:ascii="宋体" w:hAnsi="宋体" w:eastAsia="宋体" w:cs="宋体"/>
                <w:color w:val="auto"/>
                <w:sz w:val="21"/>
                <w:szCs w:val="21"/>
                <w:highlight w:val="none"/>
              </w:rPr>
              <w:t>二级</w:t>
            </w:r>
            <w:r>
              <w:rPr>
                <w:rFonts w:hint="eastAsia" w:ascii="宋体" w:hAnsi="宋体" w:eastAsia="宋体" w:cs="宋体"/>
                <w:bCs/>
                <w:color w:val="auto"/>
                <w:kern w:val="0"/>
                <w:sz w:val="21"/>
                <w:szCs w:val="21"/>
                <w:highlight w:val="none"/>
              </w:rPr>
              <w:t>）</w:t>
            </w:r>
          </w:p>
        </w:tc>
        <w:tc>
          <w:tcPr>
            <w:tcW w:w="244" w:type="pct"/>
            <w:vAlign w:val="center"/>
          </w:tcPr>
          <w:p w14:paraId="62499D68">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eastAsia="zh-CN"/>
              </w:rPr>
              <w:t>南</w:t>
            </w:r>
          </w:p>
        </w:tc>
        <w:tc>
          <w:tcPr>
            <w:tcW w:w="1597" w:type="pct"/>
            <w:vAlign w:val="center"/>
          </w:tcPr>
          <w:p w14:paraId="3060A053">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义城路（厂外道路）</w:t>
            </w:r>
          </w:p>
        </w:tc>
        <w:tc>
          <w:tcPr>
            <w:tcW w:w="600" w:type="pct"/>
            <w:vAlign w:val="center"/>
          </w:tcPr>
          <w:p w14:paraId="7AD6D0BE">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rPr>
              <w:t>65</w:t>
            </w:r>
          </w:p>
        </w:tc>
        <w:tc>
          <w:tcPr>
            <w:tcW w:w="1156" w:type="pct"/>
            <w:vAlign w:val="center"/>
          </w:tcPr>
          <w:p w14:paraId="3F76BD44">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0"/>
                <w:sz w:val="21"/>
                <w:szCs w:val="21"/>
                <w:highlight w:val="none"/>
                <w:lang w:eastAsia="zh-CN"/>
              </w:rPr>
              <w:t>GB50016-2014（2018年版）表</w:t>
            </w:r>
            <w:r>
              <w:rPr>
                <w:rFonts w:hint="eastAsia" w:ascii="宋体" w:hAnsi="宋体" w:eastAsia="宋体" w:cs="宋体"/>
                <w:bCs/>
                <w:color w:val="auto"/>
                <w:kern w:val="0"/>
                <w:sz w:val="21"/>
                <w:szCs w:val="21"/>
                <w:highlight w:val="none"/>
                <w:lang w:val="en-US" w:eastAsia="zh-CN"/>
              </w:rPr>
              <w:t>3.5.1</w:t>
            </w:r>
          </w:p>
        </w:tc>
        <w:tc>
          <w:tcPr>
            <w:tcW w:w="582" w:type="pct"/>
            <w:vAlign w:val="center"/>
          </w:tcPr>
          <w:p w14:paraId="438A3A45">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20</w:t>
            </w:r>
          </w:p>
        </w:tc>
        <w:tc>
          <w:tcPr>
            <w:tcW w:w="342" w:type="pct"/>
            <w:vAlign w:val="center"/>
          </w:tcPr>
          <w:p w14:paraId="25C52B49">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符合</w:t>
            </w:r>
          </w:p>
        </w:tc>
      </w:tr>
      <w:tr w14:paraId="66A95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6" w:type="pct"/>
            <w:vMerge w:val="continue"/>
            <w:vAlign w:val="center"/>
          </w:tcPr>
          <w:p w14:paraId="30005269">
            <w:pPr>
              <w:adjustRightInd w:val="0"/>
              <w:snapToGrid w:val="0"/>
              <w:spacing w:beforeLines="0" w:afterLines="0" w:line="240" w:lineRule="auto"/>
              <w:jc w:val="center"/>
              <w:rPr>
                <w:rFonts w:hint="eastAsia" w:ascii="宋体" w:hAnsi="宋体" w:eastAsia="宋体" w:cs="宋体"/>
                <w:bCs/>
                <w:color w:val="auto"/>
                <w:kern w:val="0"/>
                <w:sz w:val="21"/>
                <w:szCs w:val="21"/>
                <w:highlight w:val="none"/>
              </w:rPr>
            </w:pPr>
          </w:p>
        </w:tc>
        <w:tc>
          <w:tcPr>
            <w:tcW w:w="244" w:type="pct"/>
            <w:vAlign w:val="center"/>
          </w:tcPr>
          <w:p w14:paraId="41AC8D88">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南</w:t>
            </w:r>
          </w:p>
        </w:tc>
        <w:tc>
          <w:tcPr>
            <w:tcW w:w="1597" w:type="pct"/>
            <w:vAlign w:val="center"/>
          </w:tcPr>
          <w:p w14:paraId="275F4599">
            <w:pPr>
              <w:adjustRightInd w:val="0"/>
              <w:snapToGrid w:val="0"/>
              <w:spacing w:beforeLines="0" w:afterLines="0" w:line="24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左桥村</w:t>
            </w:r>
            <w:r>
              <w:rPr>
                <w:rFonts w:hint="eastAsia" w:ascii="宋体" w:hAnsi="宋体" w:eastAsia="宋体" w:cs="宋体"/>
                <w:color w:val="auto"/>
                <w:sz w:val="21"/>
                <w:szCs w:val="21"/>
                <w:highlight w:val="none"/>
                <w:lang w:eastAsia="zh-CN"/>
              </w:rPr>
              <w:t>民房（民用建筑）</w:t>
            </w:r>
          </w:p>
        </w:tc>
        <w:tc>
          <w:tcPr>
            <w:tcW w:w="600" w:type="pct"/>
            <w:vAlign w:val="center"/>
          </w:tcPr>
          <w:p w14:paraId="70E286D3">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90</w:t>
            </w:r>
          </w:p>
        </w:tc>
        <w:tc>
          <w:tcPr>
            <w:tcW w:w="1156" w:type="pct"/>
            <w:vAlign w:val="center"/>
          </w:tcPr>
          <w:p w14:paraId="5420A168">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Cs/>
                <w:color w:val="auto"/>
                <w:kern w:val="0"/>
                <w:sz w:val="21"/>
                <w:szCs w:val="21"/>
                <w:highlight w:val="none"/>
                <w:lang w:eastAsia="zh-CN"/>
              </w:rPr>
              <w:t>GB50016-2014（2018年版）表</w:t>
            </w:r>
            <w:r>
              <w:rPr>
                <w:rFonts w:hint="eastAsia" w:ascii="宋体" w:hAnsi="宋体" w:eastAsia="宋体" w:cs="宋体"/>
                <w:bCs/>
                <w:color w:val="auto"/>
                <w:kern w:val="0"/>
                <w:sz w:val="21"/>
                <w:szCs w:val="21"/>
                <w:highlight w:val="none"/>
                <w:lang w:val="en-US" w:eastAsia="zh-CN"/>
              </w:rPr>
              <w:t>3.5.1</w:t>
            </w:r>
          </w:p>
        </w:tc>
        <w:tc>
          <w:tcPr>
            <w:tcW w:w="582" w:type="pct"/>
            <w:vAlign w:val="center"/>
          </w:tcPr>
          <w:p w14:paraId="6EA27716">
            <w:pPr>
              <w:adjustRightInd w:val="0"/>
              <w:snapToGrid w:val="0"/>
              <w:spacing w:beforeLines="0" w:afterLines="0"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w:t>
            </w:r>
          </w:p>
        </w:tc>
        <w:tc>
          <w:tcPr>
            <w:tcW w:w="342" w:type="pct"/>
            <w:vAlign w:val="center"/>
          </w:tcPr>
          <w:p w14:paraId="754695AE">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符合</w:t>
            </w:r>
          </w:p>
        </w:tc>
      </w:tr>
      <w:tr w14:paraId="7B8BA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6" w:type="pct"/>
            <w:vMerge w:val="continue"/>
            <w:vAlign w:val="center"/>
          </w:tcPr>
          <w:p w14:paraId="77136631">
            <w:pPr>
              <w:adjustRightInd w:val="0"/>
              <w:snapToGrid w:val="0"/>
              <w:spacing w:beforeLines="0" w:afterLines="0" w:line="240" w:lineRule="auto"/>
              <w:jc w:val="center"/>
              <w:rPr>
                <w:rFonts w:hint="eastAsia" w:ascii="宋体" w:hAnsi="宋体" w:eastAsia="宋体" w:cs="宋体"/>
                <w:bCs/>
                <w:color w:val="auto"/>
                <w:kern w:val="0"/>
                <w:sz w:val="21"/>
                <w:szCs w:val="21"/>
                <w:highlight w:val="none"/>
              </w:rPr>
            </w:pPr>
          </w:p>
        </w:tc>
        <w:tc>
          <w:tcPr>
            <w:tcW w:w="244" w:type="pct"/>
            <w:vAlign w:val="center"/>
          </w:tcPr>
          <w:p w14:paraId="2BA410FB">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eastAsia="zh-CN"/>
              </w:rPr>
              <w:t>西北</w:t>
            </w:r>
          </w:p>
        </w:tc>
        <w:tc>
          <w:tcPr>
            <w:tcW w:w="1597" w:type="pct"/>
            <w:vAlign w:val="center"/>
          </w:tcPr>
          <w:p w14:paraId="79DF8D1B">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尤溪中学</w:t>
            </w:r>
            <w:r>
              <w:rPr>
                <w:rFonts w:hint="eastAsia" w:ascii="宋体" w:hAnsi="宋体" w:eastAsia="宋体" w:cs="宋体"/>
                <w:bCs/>
                <w:color w:val="auto"/>
                <w:kern w:val="0"/>
                <w:sz w:val="21"/>
                <w:szCs w:val="21"/>
                <w:highlight w:val="none"/>
                <w:lang w:eastAsia="zh-CN"/>
              </w:rPr>
              <w:t>教学楼（重要公共建筑）</w:t>
            </w:r>
          </w:p>
        </w:tc>
        <w:tc>
          <w:tcPr>
            <w:tcW w:w="600" w:type="pct"/>
            <w:vAlign w:val="center"/>
          </w:tcPr>
          <w:p w14:paraId="153B2458">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rPr>
              <w:t>210</w:t>
            </w:r>
          </w:p>
        </w:tc>
        <w:tc>
          <w:tcPr>
            <w:tcW w:w="1156" w:type="pct"/>
            <w:vAlign w:val="center"/>
          </w:tcPr>
          <w:p w14:paraId="4992AD02">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eastAsia="zh-CN"/>
              </w:rPr>
              <w:t>GB50016-2014（2018年版）表</w:t>
            </w:r>
            <w:r>
              <w:rPr>
                <w:rFonts w:hint="eastAsia" w:ascii="宋体" w:hAnsi="宋体" w:eastAsia="宋体" w:cs="宋体"/>
                <w:bCs/>
                <w:color w:val="auto"/>
                <w:kern w:val="0"/>
                <w:sz w:val="21"/>
                <w:szCs w:val="21"/>
                <w:highlight w:val="none"/>
                <w:lang w:val="en-US" w:eastAsia="zh-CN"/>
              </w:rPr>
              <w:t>3.5.1</w:t>
            </w:r>
          </w:p>
        </w:tc>
        <w:tc>
          <w:tcPr>
            <w:tcW w:w="582" w:type="pct"/>
            <w:vAlign w:val="center"/>
          </w:tcPr>
          <w:p w14:paraId="01F3813F">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rPr>
              <w:t>50</w:t>
            </w:r>
          </w:p>
        </w:tc>
        <w:tc>
          <w:tcPr>
            <w:tcW w:w="342" w:type="pct"/>
            <w:vAlign w:val="center"/>
          </w:tcPr>
          <w:p w14:paraId="5992EADC">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eastAsia="zh-CN"/>
              </w:rPr>
              <w:t>符合</w:t>
            </w:r>
          </w:p>
        </w:tc>
      </w:tr>
      <w:tr w14:paraId="077F0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6" w:type="pct"/>
            <w:vMerge w:val="continue"/>
            <w:vAlign w:val="center"/>
          </w:tcPr>
          <w:p w14:paraId="4F45237B">
            <w:pPr>
              <w:adjustRightInd w:val="0"/>
              <w:snapToGrid w:val="0"/>
              <w:spacing w:beforeLines="0" w:afterLines="0" w:line="240" w:lineRule="auto"/>
              <w:jc w:val="center"/>
              <w:rPr>
                <w:rFonts w:hint="eastAsia" w:ascii="宋体" w:hAnsi="宋体" w:eastAsia="宋体" w:cs="宋体"/>
                <w:color w:val="auto"/>
                <w:sz w:val="21"/>
                <w:szCs w:val="21"/>
                <w:highlight w:val="none"/>
              </w:rPr>
            </w:pPr>
          </w:p>
        </w:tc>
        <w:tc>
          <w:tcPr>
            <w:tcW w:w="244" w:type="pct"/>
            <w:vAlign w:val="center"/>
          </w:tcPr>
          <w:p w14:paraId="08F05282">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eastAsia="zh-CN"/>
              </w:rPr>
              <w:t>北</w:t>
            </w:r>
          </w:p>
        </w:tc>
        <w:tc>
          <w:tcPr>
            <w:tcW w:w="1597" w:type="pct"/>
            <w:vAlign w:val="center"/>
          </w:tcPr>
          <w:p w14:paraId="60654BCC">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山</w:t>
            </w:r>
          </w:p>
        </w:tc>
        <w:tc>
          <w:tcPr>
            <w:tcW w:w="600" w:type="pct"/>
            <w:vAlign w:val="center"/>
          </w:tcPr>
          <w:p w14:paraId="01343BB3">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28</w:t>
            </w:r>
          </w:p>
        </w:tc>
        <w:tc>
          <w:tcPr>
            <w:tcW w:w="1156" w:type="pct"/>
            <w:vAlign w:val="center"/>
          </w:tcPr>
          <w:p w14:paraId="1838F2E0">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582" w:type="pct"/>
            <w:vAlign w:val="center"/>
          </w:tcPr>
          <w:p w14:paraId="5673B8AC">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c>
          <w:tcPr>
            <w:tcW w:w="342" w:type="pct"/>
            <w:vAlign w:val="center"/>
          </w:tcPr>
          <w:p w14:paraId="53BA7312">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w:t>
            </w:r>
          </w:p>
        </w:tc>
      </w:tr>
    </w:tbl>
    <w:p w14:paraId="145E1B58">
      <w:pPr>
        <w:keepNext w:val="0"/>
        <w:keepLines w:val="0"/>
        <w:pageBreakBefore w:val="0"/>
        <w:widowControl w:val="0"/>
        <w:kinsoku/>
        <w:wordWrap/>
        <w:overflowPunct/>
        <w:topLinePunct w:val="0"/>
        <w:autoSpaceDE/>
        <w:autoSpaceDN/>
        <w:bidi w:val="0"/>
        <w:adjustRightInd w:val="0"/>
        <w:snapToGrid w:val="0"/>
        <w:spacing w:after="0" w:afterLines="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注1：危化品仓库存储的物品为甲类第1、2、5、6项，储量大于10t。</w:t>
      </w:r>
    </w:p>
    <w:p w14:paraId="01C35704">
      <w:pPr>
        <w:keepNext w:val="0"/>
        <w:keepLines w:val="0"/>
        <w:pageBreakBefore w:val="0"/>
        <w:widowControl w:val="0"/>
        <w:kinsoku/>
        <w:wordWrap/>
        <w:overflowPunct/>
        <w:topLinePunct w:val="0"/>
        <w:autoSpaceDE/>
        <w:autoSpaceDN/>
        <w:bidi w:val="0"/>
        <w:adjustRightInd w:val="0"/>
        <w:snapToGrid w:val="0"/>
        <w:spacing w:after="313" w:afterLines="100"/>
        <w:jc w:val="left"/>
        <w:textAlignment w:val="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eastAsia="zh-CN"/>
        </w:rPr>
        <w:t>注</w:t>
      </w:r>
      <w:r>
        <w:rPr>
          <w:rFonts w:hint="eastAsia" w:ascii="宋体" w:hAnsi="宋体" w:eastAsia="宋体" w:cs="宋体"/>
          <w:color w:val="auto"/>
          <w:highlight w:val="none"/>
          <w:lang w:val="en-US" w:eastAsia="zh-CN"/>
        </w:rPr>
        <w:t>2：“</w:t>
      </w:r>
      <w:r>
        <w:rPr>
          <w:rFonts w:hint="eastAsia" w:ascii="宋体" w:hAnsi="宋体" w:cs="宋体"/>
          <w:color w:val="auto"/>
          <w:sz w:val="21"/>
          <w:szCs w:val="21"/>
          <w:highlight w:val="none"/>
          <w:lang w:val="en-US" w:eastAsia="zh-CN"/>
        </w:rPr>
        <w:t>/</w:t>
      </w:r>
      <w:r>
        <w:rPr>
          <w:rFonts w:hint="eastAsia" w:ascii="宋体" w:hAnsi="宋体" w:eastAsia="宋体" w:cs="宋体"/>
          <w:color w:val="auto"/>
          <w:highlight w:val="none"/>
          <w:lang w:val="en-US" w:eastAsia="zh-CN"/>
        </w:rPr>
        <w:t>”表示没有要求。</w:t>
      </w:r>
    </w:p>
    <w:p w14:paraId="2E0EA841">
      <w:pPr>
        <w:numPr>
          <w:ilvl w:val="255"/>
          <w:numId w:val="0"/>
        </w:num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依据《建筑设计防火规范》GB50016-2014（2018年版）检查</w:t>
      </w:r>
      <w:r>
        <w:rPr>
          <w:rFonts w:hint="eastAsia" w:ascii="宋体" w:hAnsi="宋体" w:eastAsia="宋体" w:cs="宋体"/>
          <w:bCs/>
          <w:color w:val="auto"/>
          <w:sz w:val="28"/>
          <w:szCs w:val="28"/>
          <w:highlight w:val="none"/>
          <w:lang w:eastAsia="zh-CN"/>
        </w:rPr>
        <w:t>危化品仓库</w:t>
      </w:r>
      <w:r>
        <w:rPr>
          <w:rFonts w:hint="eastAsia" w:ascii="宋体" w:hAnsi="宋体" w:cs="宋体"/>
          <w:bCs/>
          <w:color w:val="auto"/>
          <w:sz w:val="28"/>
          <w:szCs w:val="28"/>
          <w:highlight w:val="none"/>
          <w:lang w:eastAsia="zh-CN"/>
        </w:rPr>
        <w:t>总平面布置防火间距</w:t>
      </w:r>
      <w:r>
        <w:rPr>
          <w:rFonts w:hint="eastAsia" w:ascii="宋体" w:hAnsi="宋体" w:eastAsia="宋体" w:cs="宋体"/>
          <w:bCs/>
          <w:color w:val="auto"/>
          <w:sz w:val="28"/>
          <w:szCs w:val="28"/>
          <w:highlight w:val="none"/>
        </w:rPr>
        <w:t>，检查情况见下表。</w:t>
      </w:r>
    </w:p>
    <w:p w14:paraId="51B2619E">
      <w:pPr>
        <w:numPr>
          <w:ilvl w:val="-1"/>
          <w:numId w:val="0"/>
        </w:numPr>
        <w:adjustRightInd w:val="0"/>
        <w:snapToGrid w:val="0"/>
        <w:spacing w:before="0" w:beforeLines="-2147483648" w:line="360" w:lineRule="auto"/>
        <w:jc w:val="center"/>
        <w:rPr>
          <w:rFonts w:hint="eastAsia" w:ascii="黑体" w:hAnsi="黑体" w:eastAsia="黑体"/>
          <w:b/>
          <w:bCs/>
          <w:color w:val="auto"/>
          <w:kern w:val="2"/>
          <w:sz w:val="24"/>
          <w:highlight w:val="none"/>
        </w:rPr>
      </w:pPr>
      <w:r>
        <w:rPr>
          <w:rFonts w:hint="eastAsia" w:ascii="黑体" w:hAnsi="黑体" w:eastAsia="黑体"/>
          <w:b/>
          <w:bCs/>
          <w:color w:val="auto"/>
          <w:sz w:val="24"/>
          <w:szCs w:val="24"/>
          <w:highlight w:val="none"/>
          <w:lang w:val="en-US" w:eastAsia="zh-CN"/>
        </w:rPr>
        <w:t>表5.1-4 总平面布置</w:t>
      </w:r>
      <w:r>
        <w:rPr>
          <w:rFonts w:hint="eastAsia" w:ascii="黑体" w:hAnsi="黑体" w:eastAsia="黑体"/>
          <w:b/>
          <w:bCs/>
          <w:color w:val="auto"/>
          <w:kern w:val="2"/>
          <w:sz w:val="24"/>
          <w:highlight w:val="none"/>
        </w:rPr>
        <w:t>防火间距检查表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8"/>
        <w:gridCol w:w="688"/>
        <w:gridCol w:w="2821"/>
        <w:gridCol w:w="1075"/>
        <w:gridCol w:w="2073"/>
        <w:gridCol w:w="1193"/>
        <w:gridCol w:w="643"/>
      </w:tblGrid>
      <w:tr w14:paraId="27F93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78" w:type="pct"/>
            <w:vAlign w:val="center"/>
          </w:tcPr>
          <w:p w14:paraId="70CBB346">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本项目建筑物</w:t>
            </w:r>
          </w:p>
        </w:tc>
        <w:tc>
          <w:tcPr>
            <w:tcW w:w="366" w:type="pct"/>
            <w:vAlign w:val="center"/>
          </w:tcPr>
          <w:p w14:paraId="57D92372">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方位</w:t>
            </w:r>
          </w:p>
        </w:tc>
        <w:tc>
          <w:tcPr>
            <w:tcW w:w="1501" w:type="pct"/>
            <w:vAlign w:val="center"/>
          </w:tcPr>
          <w:p w14:paraId="33F10ABE">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周边建（构）筑物</w:t>
            </w:r>
          </w:p>
        </w:tc>
        <w:tc>
          <w:tcPr>
            <w:tcW w:w="572" w:type="pct"/>
            <w:vAlign w:val="center"/>
          </w:tcPr>
          <w:p w14:paraId="44AA2681">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实际距离</w:t>
            </w:r>
          </w:p>
          <w:p w14:paraId="70F40947">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（m）</w:t>
            </w:r>
          </w:p>
        </w:tc>
        <w:tc>
          <w:tcPr>
            <w:tcW w:w="1103" w:type="pct"/>
            <w:vAlign w:val="center"/>
          </w:tcPr>
          <w:p w14:paraId="1BB8FF9D">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lang w:eastAsia="zh-CN"/>
              </w:rPr>
            </w:pPr>
            <w:r>
              <w:rPr>
                <w:rFonts w:hint="eastAsia" w:ascii="宋体" w:hAnsi="宋体" w:eastAsia="宋体" w:cs="宋体"/>
                <w:b/>
                <w:bCs w:val="0"/>
                <w:color w:val="auto"/>
                <w:kern w:val="0"/>
                <w:sz w:val="21"/>
                <w:szCs w:val="21"/>
                <w:highlight w:val="none"/>
                <w:lang w:eastAsia="zh-CN"/>
              </w:rPr>
              <w:t>依据条款</w:t>
            </w:r>
          </w:p>
        </w:tc>
        <w:tc>
          <w:tcPr>
            <w:tcW w:w="635" w:type="pct"/>
            <w:vAlign w:val="center"/>
          </w:tcPr>
          <w:p w14:paraId="619985D0">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规范要求</w:t>
            </w:r>
          </w:p>
          <w:p w14:paraId="7E32C0AA">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（m）</w:t>
            </w:r>
          </w:p>
        </w:tc>
        <w:tc>
          <w:tcPr>
            <w:tcW w:w="342" w:type="pct"/>
            <w:vAlign w:val="center"/>
          </w:tcPr>
          <w:p w14:paraId="6E1DCE5D">
            <w:pPr>
              <w:adjustRightInd w:val="0"/>
              <w:snapToGrid w:val="0"/>
              <w:spacing w:beforeLines="0" w:afterLines="0"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检查结果</w:t>
            </w:r>
          </w:p>
        </w:tc>
      </w:tr>
      <w:tr w14:paraId="298D1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8" w:type="pct"/>
            <w:vMerge w:val="restart"/>
            <w:vAlign w:val="center"/>
          </w:tcPr>
          <w:p w14:paraId="28D02536">
            <w:pPr>
              <w:adjustRightInd w:val="0"/>
              <w:snapToGrid w:val="0"/>
              <w:spacing w:beforeLines="0" w:afterLines="0"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危化品仓库</w:t>
            </w:r>
          </w:p>
          <w:p w14:paraId="315AD296">
            <w:pPr>
              <w:widowControl w:val="0"/>
              <w:adjustRightInd w:val="0"/>
              <w:snapToGrid w:val="0"/>
              <w:spacing w:beforeLines="0" w:after="0" w:afterLines="0" w:line="240" w:lineRule="auto"/>
              <w:ind w:firstLine="0" w:firstLineChars="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甲</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注1</w:t>
            </w:r>
            <w:r>
              <w:rPr>
                <w:rFonts w:hint="eastAsia" w:ascii="宋体" w:hAnsi="宋体" w:cs="宋体"/>
                <w:color w:val="auto"/>
                <w:sz w:val="21"/>
                <w:szCs w:val="21"/>
                <w:highlight w:val="none"/>
                <w:lang w:eastAsia="zh-CN"/>
              </w:rPr>
              <w:t>）</w:t>
            </w:r>
            <w:r>
              <w:rPr>
                <w:rFonts w:hint="eastAsia" w:ascii="宋体" w:hAnsi="宋体" w:eastAsia="宋体" w:cs="宋体"/>
                <w:bCs/>
                <w:color w:val="auto"/>
                <w:kern w:val="0"/>
                <w:sz w:val="21"/>
                <w:szCs w:val="21"/>
                <w:highlight w:val="none"/>
              </w:rPr>
              <w:t>（</w:t>
            </w:r>
            <w:r>
              <w:rPr>
                <w:rFonts w:hint="eastAsia" w:ascii="宋体" w:hAnsi="宋体" w:eastAsia="宋体" w:cs="宋体"/>
                <w:color w:val="auto"/>
                <w:sz w:val="21"/>
                <w:szCs w:val="21"/>
                <w:highlight w:val="none"/>
              </w:rPr>
              <w:t>二级</w:t>
            </w:r>
            <w:r>
              <w:rPr>
                <w:rFonts w:hint="eastAsia" w:ascii="宋体" w:hAnsi="宋体" w:eastAsia="宋体" w:cs="宋体"/>
                <w:bCs/>
                <w:color w:val="auto"/>
                <w:kern w:val="0"/>
                <w:sz w:val="21"/>
                <w:szCs w:val="21"/>
                <w:highlight w:val="none"/>
              </w:rPr>
              <w:t>）</w:t>
            </w:r>
          </w:p>
          <w:p w14:paraId="792492D8">
            <w:pPr>
              <w:adjustRightInd w:val="0"/>
              <w:snapToGrid w:val="0"/>
              <w:spacing w:beforeLines="0" w:afterLines="0" w:line="240" w:lineRule="auto"/>
              <w:jc w:val="center"/>
              <w:rPr>
                <w:rFonts w:hint="eastAsia" w:ascii="宋体" w:hAnsi="宋体" w:eastAsia="宋体" w:cs="宋体"/>
                <w:bCs/>
                <w:color w:val="auto"/>
                <w:kern w:val="0"/>
                <w:sz w:val="21"/>
                <w:szCs w:val="21"/>
                <w:highlight w:val="none"/>
              </w:rPr>
            </w:pPr>
          </w:p>
        </w:tc>
        <w:tc>
          <w:tcPr>
            <w:tcW w:w="366" w:type="pct"/>
            <w:vAlign w:val="center"/>
          </w:tcPr>
          <w:p w14:paraId="5B8B657A">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eastAsia="zh-CN"/>
              </w:rPr>
            </w:pPr>
            <w:r>
              <w:rPr>
                <w:rFonts w:hint="eastAsia" w:ascii="宋体" w:hAnsi="宋体" w:eastAsia="宋体" w:cs="宋体"/>
                <w:bCs w:val="0"/>
                <w:color w:val="auto"/>
                <w:kern w:val="2"/>
                <w:sz w:val="21"/>
                <w:szCs w:val="21"/>
                <w:highlight w:val="none"/>
                <w:lang w:eastAsia="zh-CN"/>
              </w:rPr>
              <w:t>东</w:t>
            </w:r>
          </w:p>
        </w:tc>
        <w:tc>
          <w:tcPr>
            <w:tcW w:w="1501" w:type="pct"/>
            <w:vAlign w:val="center"/>
          </w:tcPr>
          <w:p w14:paraId="069E51BF">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eastAsia="zh-CN"/>
              </w:rPr>
            </w:pPr>
            <w:r>
              <w:rPr>
                <w:rFonts w:hint="eastAsia" w:ascii="宋体" w:hAnsi="宋体" w:cs="宋体"/>
                <w:color w:val="auto"/>
                <w:sz w:val="21"/>
                <w:szCs w:val="21"/>
                <w:highlight w:val="none"/>
                <w:lang w:eastAsia="zh-CN"/>
              </w:rPr>
              <w:t>厂内次要</w:t>
            </w:r>
            <w:r>
              <w:rPr>
                <w:rFonts w:hint="eastAsia" w:ascii="宋体" w:hAnsi="宋体" w:eastAsia="宋体" w:cs="宋体"/>
                <w:color w:val="auto"/>
                <w:sz w:val="21"/>
                <w:szCs w:val="21"/>
                <w:highlight w:val="none"/>
              </w:rPr>
              <w:t>道路</w:t>
            </w:r>
          </w:p>
        </w:tc>
        <w:tc>
          <w:tcPr>
            <w:tcW w:w="572" w:type="pct"/>
            <w:vAlign w:val="center"/>
          </w:tcPr>
          <w:p w14:paraId="589071B1">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color w:val="auto"/>
                <w:sz w:val="21"/>
                <w:szCs w:val="21"/>
                <w:highlight w:val="none"/>
              </w:rPr>
              <w:t>5</w:t>
            </w:r>
          </w:p>
        </w:tc>
        <w:tc>
          <w:tcPr>
            <w:tcW w:w="1103" w:type="pct"/>
            <w:vAlign w:val="center"/>
          </w:tcPr>
          <w:p w14:paraId="6F86D661">
            <w:pPr>
              <w:numPr>
                <w:ilvl w:val="0"/>
                <w:numId w:val="0"/>
              </w:numPr>
              <w:adjustRightInd w:val="0"/>
              <w:snapToGrid w:val="0"/>
              <w:spacing w:beforeLines="0" w:afterLines="0" w:line="240" w:lineRule="auto"/>
              <w:ind w:left="0" w:firstLine="0"/>
              <w:jc w:val="center"/>
              <w:rPr>
                <w:rFonts w:hint="eastAsia" w:ascii="宋体" w:hAnsi="宋体" w:eastAsia="宋体" w:cs="宋体"/>
                <w:bCs w:val="0"/>
                <w:color w:val="auto"/>
                <w:kern w:val="2"/>
                <w:sz w:val="21"/>
                <w:szCs w:val="21"/>
                <w:highlight w:val="none"/>
                <w:lang w:val="en-US" w:eastAsia="zh-CN"/>
              </w:rPr>
            </w:pPr>
            <w:r>
              <w:rPr>
                <w:rFonts w:hint="eastAsia" w:ascii="宋体" w:hAnsi="宋体" w:eastAsia="宋体" w:cs="宋体"/>
                <w:bCs w:val="0"/>
                <w:color w:val="auto"/>
                <w:kern w:val="2"/>
                <w:sz w:val="21"/>
                <w:szCs w:val="21"/>
                <w:highlight w:val="none"/>
                <w:lang w:eastAsia="zh-CN"/>
              </w:rPr>
              <w:t>GB50016-2014（2018年版）表</w:t>
            </w:r>
            <w:r>
              <w:rPr>
                <w:rFonts w:hint="eastAsia" w:ascii="宋体" w:hAnsi="宋体" w:eastAsia="宋体" w:cs="宋体"/>
                <w:bCs w:val="0"/>
                <w:color w:val="auto"/>
                <w:kern w:val="2"/>
                <w:sz w:val="21"/>
                <w:szCs w:val="21"/>
                <w:highlight w:val="none"/>
                <w:lang w:val="en-US" w:eastAsia="zh-CN"/>
              </w:rPr>
              <w:t>3.5.1</w:t>
            </w:r>
          </w:p>
        </w:tc>
        <w:tc>
          <w:tcPr>
            <w:tcW w:w="635" w:type="pct"/>
            <w:vAlign w:val="center"/>
          </w:tcPr>
          <w:p w14:paraId="3CF95CF7">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color w:val="auto"/>
                <w:sz w:val="21"/>
                <w:szCs w:val="21"/>
                <w:highlight w:val="none"/>
              </w:rPr>
              <w:t>5</w:t>
            </w:r>
          </w:p>
        </w:tc>
        <w:tc>
          <w:tcPr>
            <w:tcW w:w="342" w:type="pct"/>
            <w:vAlign w:val="center"/>
          </w:tcPr>
          <w:p w14:paraId="38F81B62">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rPr>
              <w:t>符合</w:t>
            </w:r>
          </w:p>
        </w:tc>
      </w:tr>
      <w:tr w14:paraId="18C7F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8" w:type="pct"/>
            <w:vMerge w:val="continue"/>
            <w:vAlign w:val="center"/>
          </w:tcPr>
          <w:p w14:paraId="5BBA22E2">
            <w:pPr>
              <w:adjustRightInd w:val="0"/>
              <w:snapToGrid w:val="0"/>
              <w:spacing w:beforeLines="0" w:afterLines="0" w:line="240" w:lineRule="auto"/>
              <w:jc w:val="center"/>
              <w:rPr>
                <w:rFonts w:hint="eastAsia" w:ascii="宋体" w:hAnsi="宋体" w:eastAsia="宋体" w:cs="宋体"/>
                <w:bCs/>
                <w:color w:val="auto"/>
                <w:kern w:val="0"/>
                <w:sz w:val="21"/>
                <w:szCs w:val="21"/>
                <w:highlight w:val="none"/>
              </w:rPr>
            </w:pPr>
          </w:p>
        </w:tc>
        <w:tc>
          <w:tcPr>
            <w:tcW w:w="366" w:type="pct"/>
            <w:vAlign w:val="center"/>
          </w:tcPr>
          <w:p w14:paraId="08221111">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eastAsia="zh-CN"/>
              </w:rPr>
            </w:pPr>
            <w:r>
              <w:rPr>
                <w:rFonts w:hint="eastAsia" w:ascii="宋体" w:hAnsi="宋体" w:eastAsia="宋体" w:cs="宋体"/>
                <w:bCs w:val="0"/>
                <w:color w:val="auto"/>
                <w:kern w:val="2"/>
                <w:sz w:val="21"/>
                <w:szCs w:val="21"/>
                <w:highlight w:val="none"/>
                <w:lang w:eastAsia="zh-CN"/>
              </w:rPr>
              <w:t>东</w:t>
            </w:r>
          </w:p>
        </w:tc>
        <w:tc>
          <w:tcPr>
            <w:tcW w:w="1501" w:type="pct"/>
            <w:vAlign w:val="center"/>
          </w:tcPr>
          <w:p w14:paraId="63C8E93A">
            <w:pPr>
              <w:adjustRightInd w:val="0"/>
              <w:snapToGrid w:val="0"/>
              <w:spacing w:beforeLines="0" w:afterLines="0"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树脂仓库</w:t>
            </w:r>
            <w:r>
              <w:rPr>
                <w:rFonts w:hint="eastAsia" w:ascii="宋体" w:hAnsi="宋体" w:eastAsia="宋体" w:cs="宋体"/>
                <w:color w:val="auto"/>
                <w:sz w:val="21"/>
                <w:szCs w:val="21"/>
                <w:highlight w:val="none"/>
                <w:lang w:eastAsia="zh-CN"/>
              </w:rPr>
              <w:t>（乙，二级）</w:t>
            </w:r>
          </w:p>
        </w:tc>
        <w:tc>
          <w:tcPr>
            <w:tcW w:w="572" w:type="pct"/>
            <w:vAlign w:val="center"/>
          </w:tcPr>
          <w:p w14:paraId="0A65A364">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color w:val="auto"/>
                <w:sz w:val="21"/>
                <w:szCs w:val="21"/>
                <w:highlight w:val="none"/>
              </w:rPr>
              <w:t>15</w:t>
            </w:r>
          </w:p>
        </w:tc>
        <w:tc>
          <w:tcPr>
            <w:tcW w:w="1103" w:type="pct"/>
            <w:vAlign w:val="center"/>
          </w:tcPr>
          <w:p w14:paraId="37FBD31C">
            <w:pPr>
              <w:numPr>
                <w:ilvl w:val="0"/>
                <w:numId w:val="0"/>
              </w:numPr>
              <w:adjustRightInd w:val="0"/>
              <w:snapToGrid w:val="0"/>
              <w:spacing w:beforeLines="0" w:afterLines="0" w:line="240" w:lineRule="auto"/>
              <w:ind w:left="0" w:firstLine="0"/>
              <w:jc w:val="center"/>
              <w:rPr>
                <w:rFonts w:hint="eastAsia" w:ascii="宋体" w:hAnsi="宋体" w:eastAsia="宋体" w:cs="宋体"/>
                <w:color w:val="auto"/>
                <w:sz w:val="21"/>
                <w:szCs w:val="21"/>
                <w:highlight w:val="none"/>
              </w:rPr>
            </w:pPr>
            <w:r>
              <w:rPr>
                <w:rFonts w:hint="eastAsia" w:ascii="宋体" w:hAnsi="宋体" w:eastAsia="宋体" w:cs="宋体"/>
                <w:bCs w:val="0"/>
                <w:color w:val="auto"/>
                <w:kern w:val="2"/>
                <w:sz w:val="21"/>
                <w:szCs w:val="21"/>
                <w:highlight w:val="none"/>
                <w:lang w:eastAsia="zh-CN"/>
              </w:rPr>
              <w:t>GB50016-2014（2018年版）表</w:t>
            </w:r>
            <w:r>
              <w:rPr>
                <w:rFonts w:hint="eastAsia" w:ascii="宋体" w:hAnsi="宋体" w:eastAsia="宋体" w:cs="宋体"/>
                <w:bCs w:val="0"/>
                <w:color w:val="auto"/>
                <w:kern w:val="2"/>
                <w:sz w:val="21"/>
                <w:szCs w:val="21"/>
                <w:highlight w:val="none"/>
                <w:lang w:val="en-US" w:eastAsia="zh-CN"/>
              </w:rPr>
              <w:t>3.5.1</w:t>
            </w:r>
          </w:p>
        </w:tc>
        <w:tc>
          <w:tcPr>
            <w:tcW w:w="635" w:type="pct"/>
            <w:vAlign w:val="center"/>
          </w:tcPr>
          <w:p w14:paraId="6AD16FA2">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color w:val="auto"/>
                <w:sz w:val="21"/>
                <w:szCs w:val="21"/>
                <w:highlight w:val="none"/>
              </w:rPr>
              <w:t>15</w:t>
            </w:r>
          </w:p>
        </w:tc>
        <w:tc>
          <w:tcPr>
            <w:tcW w:w="342" w:type="pct"/>
            <w:vAlign w:val="center"/>
          </w:tcPr>
          <w:p w14:paraId="7B00ACA8">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rPr>
              <w:t>符合</w:t>
            </w:r>
          </w:p>
        </w:tc>
      </w:tr>
      <w:tr w14:paraId="2A698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8" w:type="pct"/>
            <w:vMerge w:val="continue"/>
            <w:vAlign w:val="center"/>
          </w:tcPr>
          <w:p w14:paraId="078B3763">
            <w:pPr>
              <w:adjustRightInd w:val="0"/>
              <w:snapToGrid w:val="0"/>
              <w:spacing w:beforeLines="0" w:afterLines="0" w:line="240" w:lineRule="auto"/>
              <w:jc w:val="center"/>
              <w:rPr>
                <w:rFonts w:hint="eastAsia" w:ascii="宋体" w:hAnsi="宋体" w:eastAsia="宋体" w:cs="宋体"/>
                <w:bCs/>
                <w:color w:val="auto"/>
                <w:kern w:val="0"/>
                <w:sz w:val="21"/>
                <w:szCs w:val="21"/>
                <w:highlight w:val="none"/>
              </w:rPr>
            </w:pPr>
          </w:p>
        </w:tc>
        <w:tc>
          <w:tcPr>
            <w:tcW w:w="366" w:type="pct"/>
            <w:vAlign w:val="center"/>
          </w:tcPr>
          <w:p w14:paraId="0EC0419F">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rPr>
            </w:pPr>
            <w:r>
              <w:rPr>
                <w:rFonts w:hint="eastAsia" w:ascii="宋体" w:hAnsi="宋体" w:cs="宋体"/>
                <w:bCs w:val="0"/>
                <w:color w:val="auto"/>
                <w:kern w:val="2"/>
                <w:sz w:val="21"/>
                <w:szCs w:val="21"/>
                <w:highlight w:val="none"/>
                <w:lang w:val="en-US" w:eastAsia="zh-CN"/>
              </w:rPr>
              <w:t>东南</w:t>
            </w:r>
          </w:p>
        </w:tc>
        <w:tc>
          <w:tcPr>
            <w:tcW w:w="1501" w:type="pct"/>
            <w:vAlign w:val="center"/>
          </w:tcPr>
          <w:p w14:paraId="5F0DAAF1">
            <w:pPr>
              <w:adjustRightInd w:val="0"/>
              <w:snapToGrid w:val="0"/>
              <w:spacing w:beforeLines="0" w:afterLines="0" w:line="240" w:lineRule="auto"/>
              <w:jc w:val="center"/>
              <w:rPr>
                <w:rFonts w:hint="eastAsia" w:ascii="宋体" w:hAnsi="宋体" w:eastAsia="宋体" w:cs="宋体"/>
                <w:color w:val="auto"/>
                <w:sz w:val="21"/>
                <w:szCs w:val="21"/>
                <w:highlight w:val="none"/>
              </w:rPr>
            </w:pPr>
            <w:r>
              <w:rPr>
                <w:rFonts w:hint="eastAsia" w:ascii="宋体" w:hAnsi="宋体" w:cs="宋体"/>
                <w:color w:val="auto"/>
                <w:szCs w:val="21"/>
                <w:highlight w:val="none"/>
              </w:rPr>
              <w:t>应急物资库</w:t>
            </w: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eastAsia="zh-CN"/>
              </w:rPr>
              <w:t>丙</w:t>
            </w:r>
            <w:r>
              <w:rPr>
                <w:rFonts w:hint="eastAsia" w:ascii="宋体" w:hAnsi="宋体" w:eastAsia="宋体" w:cs="宋体"/>
                <w:color w:val="auto"/>
                <w:sz w:val="21"/>
                <w:szCs w:val="21"/>
                <w:highlight w:val="none"/>
                <w:lang w:eastAsia="zh-CN"/>
              </w:rPr>
              <w:t>，二级）</w:t>
            </w:r>
          </w:p>
        </w:tc>
        <w:tc>
          <w:tcPr>
            <w:tcW w:w="572" w:type="pct"/>
            <w:vAlign w:val="center"/>
          </w:tcPr>
          <w:p w14:paraId="4426BBF4">
            <w:pPr>
              <w:adjustRightInd w:val="0"/>
              <w:snapToGrid w:val="0"/>
              <w:spacing w:beforeLines="0" w:afterLines="0" w:line="24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20</w:t>
            </w:r>
          </w:p>
        </w:tc>
        <w:tc>
          <w:tcPr>
            <w:tcW w:w="1103" w:type="pct"/>
            <w:vAlign w:val="center"/>
          </w:tcPr>
          <w:p w14:paraId="3A1C6E02">
            <w:pPr>
              <w:numPr>
                <w:ilvl w:val="0"/>
                <w:numId w:val="0"/>
              </w:numPr>
              <w:adjustRightInd w:val="0"/>
              <w:snapToGrid w:val="0"/>
              <w:spacing w:beforeLines="0" w:afterLines="0" w:line="240" w:lineRule="auto"/>
              <w:ind w:left="0" w:firstLine="0"/>
              <w:jc w:val="center"/>
              <w:rPr>
                <w:rFonts w:hint="eastAsia" w:ascii="宋体" w:hAnsi="宋体" w:eastAsia="宋体" w:cs="宋体"/>
                <w:bCs w:val="0"/>
                <w:color w:val="auto"/>
                <w:kern w:val="2"/>
                <w:sz w:val="21"/>
                <w:szCs w:val="21"/>
                <w:highlight w:val="none"/>
                <w:lang w:eastAsia="zh-CN"/>
              </w:rPr>
            </w:pPr>
            <w:r>
              <w:rPr>
                <w:rFonts w:hint="eastAsia" w:ascii="宋体" w:hAnsi="宋体" w:eastAsia="宋体" w:cs="宋体"/>
                <w:bCs w:val="0"/>
                <w:color w:val="auto"/>
                <w:kern w:val="2"/>
                <w:sz w:val="21"/>
                <w:szCs w:val="21"/>
                <w:highlight w:val="none"/>
                <w:lang w:eastAsia="zh-CN"/>
              </w:rPr>
              <w:t>GB50016-2014（2018年版）表</w:t>
            </w:r>
            <w:r>
              <w:rPr>
                <w:rFonts w:hint="eastAsia" w:ascii="宋体" w:hAnsi="宋体" w:eastAsia="宋体" w:cs="宋体"/>
                <w:bCs w:val="0"/>
                <w:color w:val="auto"/>
                <w:kern w:val="2"/>
                <w:sz w:val="21"/>
                <w:szCs w:val="21"/>
                <w:highlight w:val="none"/>
                <w:lang w:val="en-US" w:eastAsia="zh-CN"/>
              </w:rPr>
              <w:t>3.5.1</w:t>
            </w:r>
          </w:p>
        </w:tc>
        <w:tc>
          <w:tcPr>
            <w:tcW w:w="635" w:type="pct"/>
            <w:vAlign w:val="center"/>
          </w:tcPr>
          <w:p w14:paraId="5E66745A">
            <w:pPr>
              <w:adjustRightInd w:val="0"/>
              <w:snapToGrid w:val="0"/>
              <w:spacing w:beforeLines="0" w:afterLines="0" w:line="24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15</w:t>
            </w:r>
          </w:p>
        </w:tc>
        <w:tc>
          <w:tcPr>
            <w:tcW w:w="342" w:type="pct"/>
            <w:vAlign w:val="center"/>
          </w:tcPr>
          <w:p w14:paraId="55D63EB4">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eastAsia="zh-CN"/>
              </w:rPr>
            </w:pPr>
            <w:r>
              <w:rPr>
                <w:rFonts w:hint="eastAsia" w:ascii="宋体" w:hAnsi="宋体" w:cs="宋体"/>
                <w:bCs w:val="0"/>
                <w:color w:val="auto"/>
                <w:kern w:val="2"/>
                <w:sz w:val="21"/>
                <w:szCs w:val="21"/>
                <w:highlight w:val="none"/>
                <w:lang w:eastAsia="zh-CN"/>
              </w:rPr>
              <w:t>符合</w:t>
            </w:r>
          </w:p>
        </w:tc>
      </w:tr>
      <w:tr w14:paraId="4C36A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8" w:type="pct"/>
            <w:vMerge w:val="continue"/>
            <w:vAlign w:val="center"/>
          </w:tcPr>
          <w:p w14:paraId="08AEF567">
            <w:pPr>
              <w:adjustRightInd w:val="0"/>
              <w:snapToGrid w:val="0"/>
              <w:spacing w:beforeLines="0" w:afterLines="0" w:line="240" w:lineRule="auto"/>
              <w:jc w:val="center"/>
              <w:rPr>
                <w:rFonts w:hint="eastAsia" w:ascii="宋体" w:hAnsi="宋体" w:eastAsia="宋体" w:cs="宋体"/>
                <w:bCs/>
                <w:color w:val="auto"/>
                <w:kern w:val="0"/>
                <w:sz w:val="21"/>
                <w:szCs w:val="21"/>
                <w:highlight w:val="none"/>
              </w:rPr>
            </w:pPr>
          </w:p>
        </w:tc>
        <w:tc>
          <w:tcPr>
            <w:tcW w:w="366" w:type="pct"/>
            <w:vAlign w:val="center"/>
          </w:tcPr>
          <w:p w14:paraId="15BCB36B">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eastAsia="zh-CN"/>
              </w:rPr>
              <w:t>南</w:t>
            </w:r>
          </w:p>
        </w:tc>
        <w:tc>
          <w:tcPr>
            <w:tcW w:w="1501" w:type="pct"/>
            <w:vAlign w:val="center"/>
          </w:tcPr>
          <w:p w14:paraId="57C7B83F">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color w:val="auto"/>
                <w:sz w:val="21"/>
                <w:szCs w:val="21"/>
                <w:highlight w:val="none"/>
              </w:rPr>
              <w:t>污水处理</w:t>
            </w:r>
            <w:r>
              <w:rPr>
                <w:rFonts w:hint="eastAsia" w:ascii="宋体" w:hAnsi="宋体" w:eastAsia="宋体" w:cs="宋体"/>
                <w:color w:val="auto"/>
                <w:sz w:val="21"/>
                <w:szCs w:val="21"/>
                <w:highlight w:val="none"/>
                <w:lang w:eastAsia="zh-CN"/>
              </w:rPr>
              <w:t>设施</w:t>
            </w:r>
            <w:r>
              <w:rPr>
                <w:rFonts w:hint="eastAsia" w:ascii="宋体" w:hAnsi="宋体" w:cs="宋体"/>
                <w:color w:val="auto"/>
                <w:sz w:val="21"/>
                <w:szCs w:val="21"/>
                <w:highlight w:val="none"/>
                <w:lang w:eastAsia="zh-CN"/>
              </w:rPr>
              <w:t>（已停用）</w:t>
            </w:r>
          </w:p>
        </w:tc>
        <w:tc>
          <w:tcPr>
            <w:tcW w:w="572" w:type="pct"/>
            <w:vAlign w:val="center"/>
          </w:tcPr>
          <w:p w14:paraId="3A34EFBE">
            <w:pPr>
              <w:adjustRightInd w:val="0"/>
              <w:snapToGrid w:val="0"/>
              <w:spacing w:beforeLines="0" w:afterLines="0" w:line="240" w:lineRule="auto"/>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cs="宋体"/>
                <w:bCs w:val="0"/>
                <w:color w:val="auto"/>
                <w:kern w:val="2"/>
                <w:sz w:val="21"/>
                <w:szCs w:val="21"/>
                <w:highlight w:val="none"/>
                <w:lang w:val="en-US" w:eastAsia="zh-CN"/>
              </w:rPr>
              <w:t>1</w:t>
            </w:r>
          </w:p>
        </w:tc>
        <w:tc>
          <w:tcPr>
            <w:tcW w:w="1103" w:type="pct"/>
            <w:vAlign w:val="center"/>
          </w:tcPr>
          <w:p w14:paraId="7DB8A367">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color w:val="auto"/>
                <w:sz w:val="21"/>
                <w:szCs w:val="21"/>
                <w:highlight w:val="none"/>
              </w:rPr>
              <w:t>/</w:t>
            </w:r>
          </w:p>
        </w:tc>
        <w:tc>
          <w:tcPr>
            <w:tcW w:w="635" w:type="pct"/>
            <w:vAlign w:val="center"/>
          </w:tcPr>
          <w:p w14:paraId="28B53645">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sz w:val="21"/>
                <w:szCs w:val="21"/>
                <w:highlight w:val="none"/>
              </w:rPr>
              <w:t>/</w:t>
            </w:r>
          </w:p>
        </w:tc>
        <w:tc>
          <w:tcPr>
            <w:tcW w:w="342" w:type="pct"/>
            <w:vAlign w:val="center"/>
          </w:tcPr>
          <w:p w14:paraId="63447B6A">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sz w:val="21"/>
                <w:szCs w:val="21"/>
                <w:highlight w:val="none"/>
              </w:rPr>
              <w:t>/</w:t>
            </w:r>
          </w:p>
        </w:tc>
      </w:tr>
      <w:tr w14:paraId="07FD9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8" w:type="pct"/>
            <w:vMerge w:val="continue"/>
            <w:vAlign w:val="center"/>
          </w:tcPr>
          <w:p w14:paraId="7D51CDF5">
            <w:pPr>
              <w:adjustRightInd w:val="0"/>
              <w:snapToGrid w:val="0"/>
              <w:spacing w:beforeLines="0" w:afterLines="0" w:line="240" w:lineRule="auto"/>
              <w:jc w:val="center"/>
              <w:rPr>
                <w:rFonts w:hint="eastAsia" w:ascii="宋体" w:hAnsi="宋体" w:eastAsia="宋体" w:cs="宋体"/>
                <w:bCs/>
                <w:color w:val="auto"/>
                <w:kern w:val="0"/>
                <w:sz w:val="21"/>
                <w:szCs w:val="21"/>
                <w:highlight w:val="none"/>
              </w:rPr>
            </w:pPr>
          </w:p>
        </w:tc>
        <w:tc>
          <w:tcPr>
            <w:tcW w:w="366" w:type="pct"/>
            <w:vAlign w:val="center"/>
          </w:tcPr>
          <w:p w14:paraId="6B216F99">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西南</w:t>
            </w:r>
          </w:p>
        </w:tc>
        <w:tc>
          <w:tcPr>
            <w:tcW w:w="1501" w:type="pct"/>
            <w:vAlign w:val="center"/>
          </w:tcPr>
          <w:p w14:paraId="5FCED1AC">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宿舍</w:t>
            </w:r>
            <w:r>
              <w:rPr>
                <w:rFonts w:hint="eastAsia" w:ascii="宋体" w:hAnsi="宋体" w:eastAsia="宋体" w:cs="宋体"/>
                <w:color w:val="auto"/>
                <w:sz w:val="21"/>
                <w:szCs w:val="21"/>
                <w:highlight w:val="none"/>
                <w:lang w:eastAsia="zh-CN"/>
              </w:rPr>
              <w:t>（民用，二级</w:t>
            </w:r>
            <w:r>
              <w:rPr>
                <w:rFonts w:hint="eastAsia" w:ascii="宋体" w:hAnsi="宋体" w:cs="宋体"/>
                <w:color w:val="auto"/>
                <w:sz w:val="21"/>
                <w:szCs w:val="21"/>
                <w:highlight w:val="none"/>
                <w:lang w:eastAsia="zh-CN"/>
              </w:rPr>
              <w:t>，</w:t>
            </w:r>
            <w:r>
              <w:rPr>
                <w:rFonts w:hint="eastAsia" w:ascii="宋体" w:hAnsi="宋体" w:cs="宋体"/>
                <w:color w:val="auto"/>
                <w:szCs w:val="21"/>
                <w:highlight w:val="none"/>
              </w:rPr>
              <w:t>高度15.5米</w:t>
            </w:r>
            <w:r>
              <w:rPr>
                <w:rFonts w:hint="eastAsia" w:ascii="宋体" w:hAnsi="宋体" w:eastAsia="宋体" w:cs="宋体"/>
                <w:color w:val="auto"/>
                <w:sz w:val="21"/>
                <w:szCs w:val="21"/>
                <w:highlight w:val="none"/>
                <w:lang w:eastAsia="zh-CN"/>
              </w:rPr>
              <w:t>）</w:t>
            </w:r>
          </w:p>
        </w:tc>
        <w:tc>
          <w:tcPr>
            <w:tcW w:w="572" w:type="pct"/>
            <w:vAlign w:val="center"/>
          </w:tcPr>
          <w:p w14:paraId="2291ED55">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50</w:t>
            </w:r>
          </w:p>
        </w:tc>
        <w:tc>
          <w:tcPr>
            <w:tcW w:w="1103" w:type="pct"/>
            <w:vAlign w:val="center"/>
          </w:tcPr>
          <w:p w14:paraId="4D1B5982">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0"/>
                <w:sz w:val="21"/>
                <w:szCs w:val="21"/>
                <w:highlight w:val="none"/>
                <w:lang w:eastAsia="zh-CN"/>
              </w:rPr>
              <w:t>GB50016-2014（2018年版）表</w:t>
            </w:r>
            <w:r>
              <w:rPr>
                <w:rFonts w:hint="eastAsia" w:ascii="宋体" w:hAnsi="宋体" w:eastAsia="宋体" w:cs="宋体"/>
                <w:bCs/>
                <w:color w:val="auto"/>
                <w:kern w:val="0"/>
                <w:sz w:val="21"/>
                <w:szCs w:val="21"/>
                <w:highlight w:val="none"/>
                <w:lang w:val="en-US" w:eastAsia="zh-CN"/>
              </w:rPr>
              <w:t>3.5.1</w:t>
            </w:r>
          </w:p>
        </w:tc>
        <w:tc>
          <w:tcPr>
            <w:tcW w:w="635" w:type="pct"/>
            <w:vAlign w:val="center"/>
          </w:tcPr>
          <w:p w14:paraId="2435FA05">
            <w:pPr>
              <w:adjustRightInd w:val="0"/>
              <w:snapToGrid w:val="0"/>
              <w:spacing w:beforeLines="0" w:afterLines="0" w:line="240" w:lineRule="auto"/>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30</w:t>
            </w:r>
          </w:p>
        </w:tc>
        <w:tc>
          <w:tcPr>
            <w:tcW w:w="342" w:type="pct"/>
            <w:vAlign w:val="center"/>
          </w:tcPr>
          <w:p w14:paraId="5CAA7D9D">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符合</w:t>
            </w:r>
          </w:p>
        </w:tc>
      </w:tr>
      <w:tr w14:paraId="73CCA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8" w:type="pct"/>
            <w:vMerge w:val="continue"/>
            <w:vAlign w:val="center"/>
          </w:tcPr>
          <w:p w14:paraId="178F17CB">
            <w:pPr>
              <w:adjustRightInd w:val="0"/>
              <w:snapToGrid w:val="0"/>
              <w:spacing w:beforeLines="0" w:afterLines="0" w:line="240" w:lineRule="auto"/>
              <w:jc w:val="center"/>
              <w:rPr>
                <w:rFonts w:hint="eastAsia" w:ascii="宋体" w:hAnsi="宋体" w:eastAsia="宋体" w:cs="宋体"/>
                <w:bCs/>
                <w:color w:val="auto"/>
                <w:kern w:val="0"/>
                <w:sz w:val="21"/>
                <w:szCs w:val="21"/>
                <w:highlight w:val="none"/>
              </w:rPr>
            </w:pPr>
          </w:p>
        </w:tc>
        <w:tc>
          <w:tcPr>
            <w:tcW w:w="366" w:type="pct"/>
            <w:vAlign w:val="center"/>
          </w:tcPr>
          <w:p w14:paraId="005528E2">
            <w:pPr>
              <w:adjustRightInd w:val="0"/>
              <w:snapToGrid w:val="0"/>
              <w:spacing w:beforeLines="0" w:afterLines="0" w:line="240" w:lineRule="auto"/>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西南</w:t>
            </w:r>
          </w:p>
        </w:tc>
        <w:tc>
          <w:tcPr>
            <w:tcW w:w="1501" w:type="pct"/>
            <w:vAlign w:val="center"/>
          </w:tcPr>
          <w:p w14:paraId="6BADE3FB">
            <w:pPr>
              <w:adjustRightInd w:val="0"/>
              <w:snapToGrid w:val="0"/>
              <w:spacing w:beforeLines="0" w:afterLines="0" w:line="240" w:lineRule="auto"/>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值班室</w:t>
            </w:r>
            <w:r>
              <w:rPr>
                <w:rFonts w:hint="eastAsia" w:ascii="宋体" w:hAnsi="宋体" w:eastAsia="宋体" w:cs="宋体"/>
                <w:color w:val="auto"/>
                <w:sz w:val="21"/>
                <w:szCs w:val="21"/>
                <w:highlight w:val="none"/>
                <w:lang w:eastAsia="zh-CN"/>
              </w:rPr>
              <w:t>（民用，二级）</w:t>
            </w:r>
          </w:p>
        </w:tc>
        <w:tc>
          <w:tcPr>
            <w:tcW w:w="572" w:type="pct"/>
            <w:vAlign w:val="center"/>
          </w:tcPr>
          <w:p w14:paraId="3C4CE77B">
            <w:pPr>
              <w:adjustRightInd w:val="0"/>
              <w:snapToGrid w:val="0"/>
              <w:spacing w:beforeLines="0" w:afterLines="0" w:line="24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85</w:t>
            </w:r>
          </w:p>
        </w:tc>
        <w:tc>
          <w:tcPr>
            <w:tcW w:w="1103" w:type="pct"/>
            <w:vAlign w:val="center"/>
          </w:tcPr>
          <w:p w14:paraId="31EEA9D6">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GB50016-2014（2018年版）表</w:t>
            </w:r>
            <w:r>
              <w:rPr>
                <w:rFonts w:hint="eastAsia" w:ascii="宋体" w:hAnsi="宋体" w:eastAsia="宋体" w:cs="宋体"/>
                <w:bCs/>
                <w:color w:val="auto"/>
                <w:kern w:val="0"/>
                <w:sz w:val="21"/>
                <w:szCs w:val="21"/>
                <w:highlight w:val="none"/>
                <w:lang w:val="en-US" w:eastAsia="zh-CN"/>
              </w:rPr>
              <w:t>3.5.1</w:t>
            </w:r>
          </w:p>
        </w:tc>
        <w:tc>
          <w:tcPr>
            <w:tcW w:w="635" w:type="pct"/>
            <w:vAlign w:val="center"/>
          </w:tcPr>
          <w:p w14:paraId="5699F21C">
            <w:pPr>
              <w:adjustRightInd w:val="0"/>
              <w:snapToGrid w:val="0"/>
              <w:spacing w:beforeLines="0" w:afterLines="0" w:line="240" w:lineRule="auto"/>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30</w:t>
            </w:r>
          </w:p>
        </w:tc>
        <w:tc>
          <w:tcPr>
            <w:tcW w:w="342" w:type="pct"/>
            <w:vAlign w:val="center"/>
          </w:tcPr>
          <w:p w14:paraId="0E6CE42E">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符合</w:t>
            </w:r>
          </w:p>
        </w:tc>
      </w:tr>
      <w:tr w14:paraId="7477E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8" w:type="pct"/>
            <w:vMerge w:val="continue"/>
            <w:vAlign w:val="center"/>
          </w:tcPr>
          <w:p w14:paraId="56182BFF">
            <w:pPr>
              <w:adjustRightInd w:val="0"/>
              <w:snapToGrid w:val="0"/>
              <w:spacing w:beforeLines="0" w:afterLines="0" w:line="240" w:lineRule="auto"/>
              <w:jc w:val="center"/>
              <w:rPr>
                <w:rFonts w:hint="eastAsia" w:ascii="宋体" w:hAnsi="宋体" w:eastAsia="宋体" w:cs="宋体"/>
                <w:bCs/>
                <w:color w:val="auto"/>
                <w:kern w:val="0"/>
                <w:sz w:val="21"/>
                <w:szCs w:val="21"/>
                <w:highlight w:val="none"/>
              </w:rPr>
            </w:pPr>
          </w:p>
        </w:tc>
        <w:tc>
          <w:tcPr>
            <w:tcW w:w="366" w:type="pct"/>
            <w:vAlign w:val="center"/>
          </w:tcPr>
          <w:p w14:paraId="70F8669C">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color w:val="auto"/>
                <w:sz w:val="21"/>
                <w:szCs w:val="21"/>
                <w:highlight w:val="none"/>
                <w:lang w:eastAsia="zh-CN"/>
              </w:rPr>
              <w:t>西北</w:t>
            </w:r>
          </w:p>
        </w:tc>
        <w:tc>
          <w:tcPr>
            <w:tcW w:w="1501" w:type="pct"/>
            <w:vAlign w:val="center"/>
          </w:tcPr>
          <w:p w14:paraId="0B290D3D">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办公</w:t>
            </w:r>
            <w:r>
              <w:rPr>
                <w:rFonts w:hint="eastAsia" w:ascii="宋体" w:hAnsi="宋体" w:eastAsia="宋体" w:cs="宋体"/>
                <w:color w:val="auto"/>
                <w:sz w:val="21"/>
                <w:szCs w:val="21"/>
                <w:highlight w:val="none"/>
                <w:lang w:eastAsia="zh-CN"/>
              </w:rPr>
              <w:t>大</w:t>
            </w:r>
            <w:r>
              <w:rPr>
                <w:rFonts w:hint="eastAsia" w:ascii="宋体" w:hAnsi="宋体" w:eastAsia="宋体" w:cs="宋体"/>
                <w:color w:val="auto"/>
                <w:sz w:val="21"/>
                <w:szCs w:val="21"/>
                <w:highlight w:val="none"/>
              </w:rPr>
              <w:t>楼</w:t>
            </w:r>
            <w:r>
              <w:rPr>
                <w:rFonts w:hint="eastAsia" w:ascii="宋体" w:hAnsi="宋体" w:eastAsia="宋体" w:cs="宋体"/>
                <w:color w:val="auto"/>
                <w:sz w:val="21"/>
                <w:szCs w:val="21"/>
                <w:highlight w:val="none"/>
                <w:lang w:eastAsia="zh-CN"/>
              </w:rPr>
              <w:t>（民用，二级</w:t>
            </w:r>
            <w:r>
              <w:rPr>
                <w:rFonts w:hint="eastAsia" w:ascii="宋体" w:hAnsi="宋体" w:cs="宋体"/>
                <w:color w:val="auto"/>
                <w:sz w:val="21"/>
                <w:szCs w:val="21"/>
                <w:highlight w:val="none"/>
                <w:lang w:eastAsia="zh-CN"/>
              </w:rPr>
              <w:t>，</w:t>
            </w:r>
            <w:r>
              <w:rPr>
                <w:rFonts w:hint="eastAsia" w:ascii="宋体" w:hAnsi="宋体" w:cs="宋体"/>
                <w:color w:val="auto"/>
                <w:szCs w:val="21"/>
                <w:highlight w:val="none"/>
                <w:lang w:eastAsia="zh-CN"/>
              </w:rPr>
              <w:t>高度</w:t>
            </w:r>
            <w:r>
              <w:rPr>
                <w:rFonts w:hint="eastAsia" w:ascii="宋体" w:hAnsi="宋体" w:cs="宋体"/>
                <w:color w:val="auto"/>
                <w:szCs w:val="21"/>
                <w:highlight w:val="none"/>
              </w:rPr>
              <w:t>10.5米</w:t>
            </w:r>
            <w:r>
              <w:rPr>
                <w:rFonts w:hint="eastAsia" w:ascii="宋体" w:hAnsi="宋体" w:eastAsia="宋体" w:cs="宋体"/>
                <w:color w:val="auto"/>
                <w:sz w:val="21"/>
                <w:szCs w:val="21"/>
                <w:highlight w:val="none"/>
                <w:lang w:eastAsia="zh-CN"/>
              </w:rPr>
              <w:t>）</w:t>
            </w:r>
          </w:p>
        </w:tc>
        <w:tc>
          <w:tcPr>
            <w:tcW w:w="572" w:type="pct"/>
            <w:vAlign w:val="center"/>
          </w:tcPr>
          <w:p w14:paraId="44B2FC95">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color w:val="auto"/>
                <w:sz w:val="21"/>
                <w:szCs w:val="21"/>
                <w:highlight w:val="none"/>
              </w:rPr>
              <w:t>42</w:t>
            </w:r>
          </w:p>
        </w:tc>
        <w:tc>
          <w:tcPr>
            <w:tcW w:w="1103" w:type="pct"/>
            <w:vAlign w:val="center"/>
          </w:tcPr>
          <w:p w14:paraId="02D44DF7">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0"/>
                <w:sz w:val="21"/>
                <w:szCs w:val="21"/>
                <w:highlight w:val="none"/>
                <w:lang w:eastAsia="zh-CN"/>
              </w:rPr>
              <w:t>GB50016-2014（2018年版）表</w:t>
            </w:r>
            <w:r>
              <w:rPr>
                <w:rFonts w:hint="eastAsia" w:ascii="宋体" w:hAnsi="宋体" w:eastAsia="宋体" w:cs="宋体"/>
                <w:bCs/>
                <w:color w:val="auto"/>
                <w:kern w:val="0"/>
                <w:sz w:val="21"/>
                <w:szCs w:val="21"/>
                <w:highlight w:val="none"/>
                <w:lang w:val="en-US" w:eastAsia="zh-CN"/>
              </w:rPr>
              <w:t>3.5.1</w:t>
            </w:r>
          </w:p>
        </w:tc>
        <w:tc>
          <w:tcPr>
            <w:tcW w:w="635" w:type="pct"/>
            <w:vAlign w:val="center"/>
          </w:tcPr>
          <w:p w14:paraId="220D20FC">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30</w:t>
            </w:r>
          </w:p>
        </w:tc>
        <w:tc>
          <w:tcPr>
            <w:tcW w:w="342" w:type="pct"/>
            <w:vAlign w:val="center"/>
          </w:tcPr>
          <w:p w14:paraId="1C9960A5">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符合</w:t>
            </w:r>
          </w:p>
        </w:tc>
      </w:tr>
      <w:tr w14:paraId="5D5C2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8" w:type="pct"/>
            <w:vMerge w:val="continue"/>
            <w:vAlign w:val="center"/>
          </w:tcPr>
          <w:p w14:paraId="2531275B">
            <w:pPr>
              <w:adjustRightInd w:val="0"/>
              <w:snapToGrid w:val="0"/>
              <w:spacing w:beforeLines="0" w:afterLines="0" w:line="240" w:lineRule="auto"/>
              <w:jc w:val="center"/>
              <w:rPr>
                <w:rFonts w:hint="eastAsia" w:ascii="宋体" w:hAnsi="宋体" w:eastAsia="宋体" w:cs="宋体"/>
                <w:color w:val="auto"/>
                <w:sz w:val="21"/>
                <w:szCs w:val="21"/>
                <w:highlight w:val="none"/>
              </w:rPr>
            </w:pPr>
          </w:p>
        </w:tc>
        <w:tc>
          <w:tcPr>
            <w:tcW w:w="366" w:type="pct"/>
            <w:vAlign w:val="center"/>
          </w:tcPr>
          <w:p w14:paraId="627ABBC7">
            <w:pPr>
              <w:adjustRightInd w:val="0"/>
              <w:snapToGrid w:val="0"/>
              <w:spacing w:beforeLines="0" w:afterLines="0"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color w:val="auto"/>
                <w:sz w:val="21"/>
                <w:szCs w:val="21"/>
                <w:highlight w:val="none"/>
                <w:lang w:eastAsia="zh-CN"/>
              </w:rPr>
              <w:t>北</w:t>
            </w:r>
          </w:p>
        </w:tc>
        <w:tc>
          <w:tcPr>
            <w:tcW w:w="1501" w:type="pct"/>
            <w:vAlign w:val="center"/>
          </w:tcPr>
          <w:p w14:paraId="4BD40504">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发电房</w:t>
            </w:r>
            <w:r>
              <w:rPr>
                <w:rFonts w:hint="eastAsia" w:ascii="宋体" w:hAnsi="宋体" w:eastAsia="宋体" w:cs="宋体"/>
                <w:color w:val="auto"/>
                <w:sz w:val="21"/>
                <w:szCs w:val="21"/>
                <w:highlight w:val="none"/>
                <w:lang w:eastAsia="zh-CN"/>
              </w:rPr>
              <w:t>（空置）（丁，二级）</w:t>
            </w:r>
          </w:p>
        </w:tc>
        <w:tc>
          <w:tcPr>
            <w:tcW w:w="572" w:type="pct"/>
            <w:vAlign w:val="center"/>
          </w:tcPr>
          <w:p w14:paraId="278F1F4F">
            <w:pPr>
              <w:adjustRightInd w:val="0"/>
              <w:snapToGrid w:val="0"/>
              <w:spacing w:beforeLines="0" w:afterLines="0" w:line="240" w:lineRule="auto"/>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17</w:t>
            </w:r>
          </w:p>
        </w:tc>
        <w:tc>
          <w:tcPr>
            <w:tcW w:w="1103" w:type="pct"/>
            <w:vAlign w:val="center"/>
          </w:tcPr>
          <w:p w14:paraId="13A5E26D">
            <w:pPr>
              <w:numPr>
                <w:ilvl w:val="0"/>
                <w:numId w:val="0"/>
              </w:numPr>
              <w:adjustRightInd w:val="0"/>
              <w:snapToGrid w:val="0"/>
              <w:spacing w:beforeLines="0" w:afterLines="0" w:line="240" w:lineRule="auto"/>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0"/>
                <w:sz w:val="21"/>
                <w:szCs w:val="21"/>
                <w:highlight w:val="none"/>
                <w:lang w:eastAsia="zh-CN"/>
              </w:rPr>
              <w:t>GB50016-2014（2018年版）表</w:t>
            </w:r>
            <w:r>
              <w:rPr>
                <w:rFonts w:hint="eastAsia" w:ascii="宋体" w:hAnsi="宋体" w:eastAsia="宋体" w:cs="宋体"/>
                <w:bCs/>
                <w:color w:val="auto"/>
                <w:kern w:val="0"/>
                <w:sz w:val="21"/>
                <w:szCs w:val="21"/>
                <w:highlight w:val="none"/>
                <w:lang w:val="en-US" w:eastAsia="zh-CN"/>
              </w:rPr>
              <w:t>3.5.1</w:t>
            </w:r>
          </w:p>
        </w:tc>
        <w:tc>
          <w:tcPr>
            <w:tcW w:w="635" w:type="pct"/>
            <w:vAlign w:val="center"/>
          </w:tcPr>
          <w:p w14:paraId="2AD56102">
            <w:pPr>
              <w:adjustRightInd w:val="0"/>
              <w:snapToGrid w:val="0"/>
              <w:spacing w:beforeLines="0" w:afterLines="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5</w:t>
            </w:r>
          </w:p>
        </w:tc>
        <w:tc>
          <w:tcPr>
            <w:tcW w:w="342" w:type="pct"/>
            <w:vAlign w:val="center"/>
          </w:tcPr>
          <w:p w14:paraId="1852DAFE">
            <w:pPr>
              <w:numPr>
                <w:ilvl w:val="0"/>
                <w:numId w:val="0"/>
              </w:numPr>
              <w:adjustRightInd w:val="0"/>
              <w:snapToGrid w:val="0"/>
              <w:spacing w:beforeLines="0" w:afterLines="0" w:line="240" w:lineRule="auto"/>
              <w:ind w:left="0" w:leftChars="0"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符合</w:t>
            </w:r>
          </w:p>
        </w:tc>
      </w:tr>
    </w:tbl>
    <w:p w14:paraId="2B0520B2">
      <w:pPr>
        <w:keepNext w:val="0"/>
        <w:keepLines w:val="0"/>
        <w:pageBreakBefore w:val="0"/>
        <w:widowControl w:val="0"/>
        <w:kinsoku/>
        <w:wordWrap/>
        <w:overflowPunct/>
        <w:topLinePunct w:val="0"/>
        <w:autoSpaceDE/>
        <w:autoSpaceDN/>
        <w:bidi w:val="0"/>
        <w:adjustRightInd w:val="0"/>
        <w:snapToGrid w:val="0"/>
        <w:spacing w:after="0" w:afterLines="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注1：危化品仓库存储的物品为甲类第1、2、5、6项，储量大于10t。</w:t>
      </w:r>
    </w:p>
    <w:p w14:paraId="48E0BE3A">
      <w:pPr>
        <w:keepNext w:val="0"/>
        <w:keepLines w:val="0"/>
        <w:pageBreakBefore w:val="0"/>
        <w:widowControl w:val="0"/>
        <w:kinsoku/>
        <w:wordWrap/>
        <w:overflowPunct/>
        <w:topLinePunct w:val="0"/>
        <w:autoSpaceDE/>
        <w:autoSpaceDN/>
        <w:bidi w:val="0"/>
        <w:adjustRightInd w:val="0"/>
        <w:snapToGrid w:val="0"/>
        <w:spacing w:after="313" w:afterLines="100"/>
        <w:jc w:val="left"/>
        <w:textAlignment w:val="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eastAsia="zh-CN"/>
        </w:rPr>
        <w:t>注</w:t>
      </w:r>
      <w:r>
        <w:rPr>
          <w:rFonts w:hint="eastAsia" w:ascii="宋体" w:hAnsi="宋体" w:eastAsia="宋体" w:cs="宋体"/>
          <w:color w:val="auto"/>
          <w:highlight w:val="none"/>
          <w:lang w:val="en-US" w:eastAsia="zh-CN"/>
        </w:rPr>
        <w:t>2：“</w:t>
      </w:r>
      <w:r>
        <w:rPr>
          <w:rFonts w:hint="eastAsia" w:ascii="宋体" w:hAnsi="宋体" w:cs="宋体"/>
          <w:color w:val="auto"/>
          <w:sz w:val="21"/>
          <w:szCs w:val="21"/>
          <w:highlight w:val="none"/>
          <w:lang w:val="en-US" w:eastAsia="zh-CN"/>
        </w:rPr>
        <w:t>/</w:t>
      </w:r>
      <w:r>
        <w:rPr>
          <w:rFonts w:hint="eastAsia" w:ascii="宋体" w:hAnsi="宋体" w:eastAsia="宋体" w:cs="宋体"/>
          <w:color w:val="auto"/>
          <w:highlight w:val="none"/>
          <w:lang w:val="en-US" w:eastAsia="zh-CN"/>
        </w:rPr>
        <w:t>”表示没有要求。</w:t>
      </w:r>
    </w:p>
    <w:p w14:paraId="686F35CC">
      <w:pPr>
        <w:pStyle w:val="690"/>
        <w:ind w:firstLine="560" w:firstLineChars="200"/>
        <w:rPr>
          <w:color w:val="auto"/>
          <w:highlight w:val="none"/>
        </w:rPr>
      </w:pPr>
      <w:r>
        <w:rPr>
          <w:rFonts w:hint="eastAsia"/>
          <w:color w:val="auto"/>
          <w:szCs w:val="28"/>
          <w:highlight w:val="none"/>
        </w:rPr>
        <w:t>评价小结：经检查，</w:t>
      </w:r>
      <w:r>
        <w:rPr>
          <w:rFonts w:hint="eastAsia"/>
          <w:color w:val="auto"/>
          <w:highlight w:val="none"/>
          <w:lang w:eastAsia="zh-CN"/>
        </w:rPr>
        <w:t>危化品</w:t>
      </w:r>
      <w:r>
        <w:rPr>
          <w:rFonts w:hint="eastAsia"/>
          <w:color w:val="auto"/>
          <w:highlight w:val="none"/>
        </w:rPr>
        <w:t>仓库</w:t>
      </w:r>
      <w:r>
        <w:rPr>
          <w:rFonts w:hint="eastAsia"/>
          <w:color w:val="auto"/>
          <w:highlight w:val="none"/>
          <w:lang w:eastAsia="zh-CN"/>
        </w:rPr>
        <w:t>的</w:t>
      </w:r>
      <w:r>
        <w:rPr>
          <w:rFonts w:hint="eastAsia"/>
          <w:color w:val="auto"/>
          <w:highlight w:val="none"/>
        </w:rPr>
        <w:t>建筑物</w:t>
      </w:r>
      <w:r>
        <w:rPr>
          <w:rFonts w:hint="eastAsia"/>
          <w:color w:val="auto"/>
          <w:highlight w:val="none"/>
          <w:lang w:eastAsia="zh-CN"/>
        </w:rPr>
        <w:t>、</w:t>
      </w:r>
      <w:r>
        <w:rPr>
          <w:rFonts w:hint="eastAsia"/>
          <w:color w:val="auto"/>
          <w:highlight w:val="none"/>
        </w:rPr>
        <w:t>总平面布置</w:t>
      </w:r>
      <w:r>
        <w:rPr>
          <w:rFonts w:hint="eastAsia"/>
          <w:color w:val="auto"/>
          <w:highlight w:val="none"/>
          <w:lang w:eastAsia="zh-CN"/>
        </w:rPr>
        <w:t>情况、与周边环境防火间距、</w:t>
      </w:r>
      <w:r>
        <w:rPr>
          <w:rFonts w:hint="eastAsia"/>
          <w:color w:val="auto"/>
          <w:highlight w:val="none"/>
        </w:rPr>
        <w:t>总平面布置</w:t>
      </w:r>
      <w:r>
        <w:rPr>
          <w:rFonts w:hint="eastAsia"/>
          <w:color w:val="auto"/>
          <w:highlight w:val="none"/>
          <w:lang w:eastAsia="zh-CN"/>
        </w:rPr>
        <w:t>防火间距</w:t>
      </w:r>
      <w:r>
        <w:rPr>
          <w:rFonts w:hint="eastAsia" w:cs="宋体"/>
          <w:bCs/>
          <w:color w:val="auto"/>
          <w:sz w:val="28"/>
          <w:szCs w:val="28"/>
          <w:highlight w:val="none"/>
          <w:lang w:eastAsia="zh-CN"/>
        </w:rPr>
        <w:t>符合</w:t>
      </w:r>
      <w:r>
        <w:rPr>
          <w:rFonts w:hint="eastAsia" w:ascii="宋体" w:hAnsi="宋体" w:eastAsia="宋体" w:cs="宋体"/>
          <w:bCs/>
          <w:color w:val="auto"/>
          <w:sz w:val="28"/>
          <w:szCs w:val="28"/>
          <w:highlight w:val="none"/>
        </w:rPr>
        <w:t>《建筑设计防火规范》GB50016-2014（2018年版）</w:t>
      </w:r>
      <w:r>
        <w:rPr>
          <w:rFonts w:hint="eastAsia" w:cs="宋体"/>
          <w:bCs/>
          <w:color w:val="auto"/>
          <w:sz w:val="28"/>
          <w:szCs w:val="28"/>
          <w:highlight w:val="none"/>
          <w:lang w:eastAsia="zh-CN"/>
        </w:rPr>
        <w:t>、</w:t>
      </w:r>
      <w:r>
        <w:rPr>
          <w:color w:val="auto"/>
          <w:highlight w:val="none"/>
        </w:rPr>
        <w:t>《工业企业总平面设计规范》GB50187-2012</w:t>
      </w:r>
      <w:r>
        <w:rPr>
          <w:rFonts w:hint="eastAsia" w:cs="宋体"/>
          <w:bCs/>
          <w:color w:val="auto"/>
          <w:sz w:val="28"/>
          <w:szCs w:val="28"/>
          <w:highlight w:val="none"/>
          <w:lang w:val="en-US" w:eastAsia="zh-CN"/>
        </w:rPr>
        <w:t>的要求</w:t>
      </w:r>
      <w:r>
        <w:rPr>
          <w:rFonts w:hint="eastAsia"/>
          <w:bCs/>
          <w:color w:val="auto"/>
          <w:szCs w:val="28"/>
          <w:highlight w:val="none"/>
        </w:rPr>
        <w:t>。</w:t>
      </w:r>
    </w:p>
    <w:p w14:paraId="6590DD08">
      <w:pPr>
        <w:adjustRightInd w:val="0"/>
        <w:snapToGrid w:val="0"/>
        <w:spacing w:line="360" w:lineRule="auto"/>
        <w:outlineLvl w:val="2"/>
        <w:rPr>
          <w:rFonts w:ascii="黑体" w:eastAsia="黑体"/>
          <w:b/>
          <w:bCs/>
          <w:color w:val="auto"/>
          <w:kern w:val="0"/>
          <w:sz w:val="28"/>
          <w:szCs w:val="28"/>
          <w:highlight w:val="none"/>
          <w:lang w:val="en-GB"/>
        </w:rPr>
      </w:pPr>
      <w:bookmarkStart w:id="1633" w:name="_Toc11887"/>
      <w:bookmarkStart w:id="1634" w:name="_Toc23129"/>
      <w:bookmarkStart w:id="1635" w:name="_Toc23943"/>
      <w:bookmarkStart w:id="1636" w:name="_Toc16343"/>
      <w:bookmarkStart w:id="1637" w:name="_Toc14811"/>
      <w:bookmarkStart w:id="1638" w:name="_Toc25226"/>
      <w:bookmarkStart w:id="1639" w:name="_Toc21965"/>
      <w:bookmarkStart w:id="1640" w:name="_Toc1161"/>
      <w:bookmarkStart w:id="1641" w:name="_Toc26026"/>
      <w:bookmarkStart w:id="1642" w:name="_Toc31694"/>
      <w:bookmarkStart w:id="1643" w:name="_Toc3303"/>
      <w:bookmarkStart w:id="1644" w:name="_Toc11180"/>
      <w:bookmarkStart w:id="1645" w:name="_Toc22487"/>
      <w:bookmarkStart w:id="1646" w:name="_Toc27065"/>
      <w:bookmarkStart w:id="1647" w:name="_Toc11289"/>
      <w:bookmarkStart w:id="1648" w:name="_Toc4169"/>
      <w:bookmarkStart w:id="1649" w:name="_Toc22117"/>
      <w:r>
        <w:rPr>
          <w:rFonts w:hint="eastAsia" w:ascii="黑体" w:eastAsia="黑体"/>
          <w:b/>
          <w:bCs/>
          <w:color w:val="auto"/>
          <w:kern w:val="0"/>
          <w:sz w:val="28"/>
          <w:szCs w:val="28"/>
          <w:highlight w:val="none"/>
          <w:lang w:val="en-GB"/>
        </w:rPr>
        <w:t>5.1.</w:t>
      </w:r>
      <w:r>
        <w:rPr>
          <w:rFonts w:hint="eastAsia" w:ascii="黑体" w:eastAsia="黑体"/>
          <w:b/>
          <w:bCs/>
          <w:color w:val="auto"/>
          <w:kern w:val="0"/>
          <w:sz w:val="28"/>
          <w:szCs w:val="28"/>
          <w:highlight w:val="none"/>
          <w:lang w:val="en-US" w:eastAsia="zh-CN"/>
        </w:rPr>
        <w:t>2</w:t>
      </w:r>
      <w:r>
        <w:rPr>
          <w:rFonts w:hint="eastAsia" w:ascii="黑体" w:eastAsia="黑体"/>
          <w:b/>
          <w:bCs/>
          <w:color w:val="auto"/>
          <w:kern w:val="0"/>
          <w:sz w:val="28"/>
          <w:szCs w:val="28"/>
          <w:highlight w:val="none"/>
          <w:lang w:val="en-GB"/>
        </w:rPr>
        <w:t>工贸企业危险化学品使用安全管理</w:t>
      </w:r>
      <w:bookmarkEnd w:id="1615"/>
      <w:bookmarkEnd w:id="1616"/>
      <w:bookmarkEnd w:id="1617"/>
      <w:bookmarkEnd w:id="1618"/>
      <w:bookmarkEnd w:id="1619"/>
      <w:bookmarkEnd w:id="1620"/>
      <w:bookmarkEnd w:id="1621"/>
      <w:bookmarkEnd w:id="1622"/>
      <w:bookmarkEnd w:id="1623"/>
      <w:r>
        <w:rPr>
          <w:rFonts w:hint="eastAsia" w:ascii="黑体" w:eastAsia="黑体"/>
          <w:b/>
          <w:bCs/>
          <w:color w:val="auto"/>
          <w:kern w:val="0"/>
          <w:sz w:val="28"/>
          <w:szCs w:val="28"/>
          <w:highlight w:val="none"/>
          <w:lang w:val="en-GB"/>
        </w:rPr>
        <w:t>评价</w:t>
      </w:r>
      <w:bookmarkEnd w:id="1624"/>
      <w:bookmarkEnd w:id="1625"/>
      <w:bookmarkEnd w:id="1626"/>
      <w:bookmarkEnd w:id="1627"/>
      <w:bookmarkEnd w:id="1628"/>
      <w:bookmarkEnd w:id="1629"/>
      <w:bookmarkEnd w:id="1630"/>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p>
    <w:p w14:paraId="07804290">
      <w:pPr>
        <w:adjustRightInd w:val="0"/>
        <w:snapToGrid w:val="0"/>
        <w:spacing w:line="360" w:lineRule="auto"/>
        <w:ind w:firstLine="561"/>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依据《建筑设计防火规范》GB50016-2014（2018年版）</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《浙江省应急管理厅关于印发〈浙江省工贸企业危险化学品使用安全管理指南（试行）〉的通知》浙应急基础</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2020</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75号</w:t>
      </w:r>
      <w:r>
        <w:rPr>
          <w:rFonts w:hint="eastAsia" w:ascii="宋体" w:hAnsi="宋体" w:eastAsia="宋体" w:cs="宋体"/>
          <w:color w:val="auto"/>
          <w:kern w:val="0"/>
          <w:sz w:val="28"/>
          <w:szCs w:val="28"/>
          <w:highlight w:val="none"/>
          <w:lang w:eastAsia="zh-CN"/>
        </w:rPr>
        <w:t>、《浙江省安全生产条例》</w:t>
      </w:r>
      <w:r>
        <w:rPr>
          <w:rFonts w:hint="eastAsia" w:ascii="宋体" w:hAnsi="宋体" w:cs="宋体"/>
          <w:color w:val="auto"/>
          <w:kern w:val="0"/>
          <w:sz w:val="28"/>
          <w:szCs w:val="28"/>
          <w:highlight w:val="none"/>
        </w:rPr>
        <w:t>浙江省</w:t>
      </w:r>
      <w:r>
        <w:rPr>
          <w:rFonts w:hint="eastAsia" w:ascii="宋体" w:hAnsi="宋体" w:cs="宋体"/>
          <w:color w:val="auto"/>
          <w:kern w:val="0"/>
          <w:sz w:val="28"/>
          <w:szCs w:val="28"/>
          <w:highlight w:val="none"/>
          <w:lang w:eastAsia="zh-CN"/>
        </w:rPr>
        <w:t>第十三届</w:t>
      </w:r>
      <w:r>
        <w:rPr>
          <w:rFonts w:hint="eastAsia" w:ascii="宋体" w:hAnsi="宋体" w:cs="宋体"/>
          <w:color w:val="auto"/>
          <w:kern w:val="0"/>
          <w:sz w:val="28"/>
          <w:szCs w:val="28"/>
          <w:highlight w:val="none"/>
        </w:rPr>
        <w:t>人民代表大会常务委员会公告</w:t>
      </w:r>
      <w:r>
        <w:rPr>
          <w:rFonts w:hint="eastAsia" w:ascii="宋体" w:hAnsi="宋体" w:cs="宋体"/>
          <w:color w:val="auto"/>
          <w:kern w:val="0"/>
          <w:sz w:val="28"/>
          <w:szCs w:val="28"/>
          <w:highlight w:val="none"/>
          <w:lang w:eastAsia="zh-CN"/>
        </w:rPr>
        <w:t>〔</w:t>
      </w:r>
      <w:r>
        <w:rPr>
          <w:rFonts w:ascii="宋体" w:hAnsi="宋体" w:cs="宋体"/>
          <w:color w:val="auto"/>
          <w:kern w:val="0"/>
          <w:sz w:val="28"/>
          <w:szCs w:val="28"/>
          <w:highlight w:val="none"/>
        </w:rPr>
        <w:t>2022</w:t>
      </w:r>
      <w:r>
        <w:rPr>
          <w:rFonts w:hint="eastAsia" w:ascii="宋体" w:hAnsi="宋体" w:cs="宋体"/>
          <w:color w:val="auto"/>
          <w:kern w:val="0"/>
          <w:sz w:val="28"/>
          <w:szCs w:val="28"/>
          <w:highlight w:val="none"/>
          <w:lang w:eastAsia="zh-CN"/>
        </w:rPr>
        <w:t>〕</w:t>
      </w:r>
      <w:r>
        <w:rPr>
          <w:rFonts w:ascii="宋体" w:hAnsi="宋体" w:cs="宋体"/>
          <w:color w:val="auto"/>
          <w:kern w:val="0"/>
          <w:sz w:val="28"/>
          <w:szCs w:val="28"/>
          <w:highlight w:val="none"/>
        </w:rPr>
        <w:t>第86</w:t>
      </w:r>
      <w:r>
        <w:rPr>
          <w:rFonts w:hint="eastAsia" w:ascii="宋体" w:hAnsi="宋体" w:cs="宋体"/>
          <w:color w:val="auto"/>
          <w:kern w:val="0"/>
          <w:sz w:val="28"/>
          <w:szCs w:val="28"/>
          <w:highlight w:val="none"/>
        </w:rPr>
        <w:t>号</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《个体防护装备配备规范第1部分：总则》GB39800.1-2020的要求对</w:t>
      </w:r>
      <w:r>
        <w:rPr>
          <w:rFonts w:hint="eastAsia" w:ascii="宋体" w:hAnsi="宋体" w:eastAsia="宋体" w:cs="宋体"/>
          <w:color w:val="auto"/>
          <w:kern w:val="0"/>
          <w:sz w:val="28"/>
          <w:szCs w:val="28"/>
          <w:highlight w:val="none"/>
          <w:lang w:eastAsia="zh-CN"/>
        </w:rPr>
        <w:t>危化品仓库危化品储存</w:t>
      </w:r>
      <w:r>
        <w:rPr>
          <w:rFonts w:hint="eastAsia" w:ascii="宋体" w:hAnsi="宋体" w:eastAsia="宋体" w:cs="宋体"/>
          <w:color w:val="auto"/>
          <w:kern w:val="0"/>
          <w:sz w:val="28"/>
          <w:szCs w:val="28"/>
          <w:highlight w:val="none"/>
        </w:rPr>
        <w:t>安全管理情况进行安全评价，检查情况详见下表。</w:t>
      </w:r>
    </w:p>
    <w:p w14:paraId="7983D870">
      <w:pPr>
        <w:numPr>
          <w:ilvl w:val="0"/>
          <w:numId w:val="0"/>
        </w:numPr>
        <w:adjustRightInd w:val="0"/>
        <w:snapToGrid w:val="0"/>
        <w:spacing w:line="360" w:lineRule="auto"/>
        <w:jc w:val="center"/>
        <w:rPr>
          <w:rFonts w:hint="eastAsia" w:ascii="黑体" w:hAnsi="黑体" w:eastAsia="黑体" w:cs="CG Times"/>
          <w:b/>
          <w:bCs/>
          <w:color w:val="auto"/>
          <w:kern w:val="2"/>
          <w:sz w:val="24"/>
          <w:szCs w:val="24"/>
          <w:highlight w:val="none"/>
        </w:rPr>
      </w:pPr>
      <w:r>
        <w:rPr>
          <w:rFonts w:hint="eastAsia" w:ascii="黑体" w:hAnsi="黑体" w:eastAsia="黑体"/>
          <w:b/>
          <w:bCs/>
          <w:color w:val="auto"/>
          <w:kern w:val="2"/>
          <w:sz w:val="24"/>
          <w:szCs w:val="24"/>
          <w:highlight w:val="none"/>
        </w:rPr>
        <w:t>表5.1-</w:t>
      </w:r>
      <w:r>
        <w:rPr>
          <w:rFonts w:hint="eastAsia" w:ascii="黑体" w:hAnsi="黑体" w:eastAsia="黑体"/>
          <w:b/>
          <w:bCs/>
          <w:color w:val="auto"/>
          <w:kern w:val="2"/>
          <w:sz w:val="24"/>
          <w:szCs w:val="24"/>
          <w:highlight w:val="none"/>
          <w:lang w:val="en-US" w:eastAsia="zh-CN"/>
        </w:rPr>
        <w:t>5</w:t>
      </w:r>
      <w:r>
        <w:rPr>
          <w:rFonts w:hint="eastAsia" w:ascii="黑体" w:hAnsi="黑体" w:eastAsia="黑体"/>
          <w:b/>
          <w:bCs/>
          <w:color w:val="auto"/>
          <w:kern w:val="2"/>
          <w:sz w:val="24"/>
          <w:szCs w:val="24"/>
          <w:highlight w:val="none"/>
        </w:rPr>
        <w:t xml:space="preserve"> 工贸企业危险化学品使用安全管理检查表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1477"/>
        <w:gridCol w:w="4187"/>
        <w:gridCol w:w="2286"/>
        <w:gridCol w:w="757"/>
      </w:tblGrid>
      <w:tr w14:paraId="55451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64" w:type="pct"/>
            <w:vAlign w:val="center"/>
          </w:tcPr>
          <w:p w14:paraId="23525AB0">
            <w:pPr>
              <w:adjustRightInd w:val="0"/>
              <w:snapToGrid w:val="0"/>
              <w:spacing w:line="240" w:lineRule="auto"/>
              <w:jc w:val="center"/>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检查项目</w:t>
            </w:r>
          </w:p>
        </w:tc>
        <w:tc>
          <w:tcPr>
            <w:tcW w:w="3015" w:type="pct"/>
            <w:gridSpan w:val="2"/>
            <w:vAlign w:val="center"/>
          </w:tcPr>
          <w:p w14:paraId="63663BC8">
            <w:pPr>
              <w:adjustRightInd w:val="0"/>
              <w:snapToGrid w:val="0"/>
              <w:spacing w:line="240" w:lineRule="auto"/>
              <w:jc w:val="center"/>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检查内容与要求</w:t>
            </w:r>
          </w:p>
        </w:tc>
        <w:tc>
          <w:tcPr>
            <w:tcW w:w="1217" w:type="pct"/>
            <w:vAlign w:val="center"/>
          </w:tcPr>
          <w:p w14:paraId="4BF520D7">
            <w:pPr>
              <w:adjustRightInd w:val="0"/>
              <w:snapToGrid w:val="0"/>
              <w:spacing w:line="240" w:lineRule="auto"/>
              <w:jc w:val="center"/>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检查情况</w:t>
            </w:r>
          </w:p>
        </w:tc>
        <w:tc>
          <w:tcPr>
            <w:tcW w:w="403" w:type="pct"/>
            <w:vAlign w:val="center"/>
          </w:tcPr>
          <w:p w14:paraId="7E904667">
            <w:pPr>
              <w:adjustRightInd w:val="0"/>
              <w:snapToGrid w:val="0"/>
              <w:spacing w:line="240" w:lineRule="auto"/>
              <w:jc w:val="center"/>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检查结果</w:t>
            </w:r>
          </w:p>
        </w:tc>
      </w:tr>
      <w:tr w14:paraId="30506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restart"/>
            <w:vAlign w:val="center"/>
          </w:tcPr>
          <w:p w14:paraId="4B562027">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企业（建设项目）总体安全要求</w:t>
            </w:r>
          </w:p>
        </w:tc>
        <w:tc>
          <w:tcPr>
            <w:tcW w:w="786" w:type="pct"/>
            <w:vAlign w:val="center"/>
          </w:tcPr>
          <w:p w14:paraId="6A3034CC">
            <w:pPr>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第3.3条</w:t>
            </w:r>
          </w:p>
        </w:tc>
        <w:tc>
          <w:tcPr>
            <w:tcW w:w="2229" w:type="pct"/>
            <w:vAlign w:val="center"/>
          </w:tcPr>
          <w:p w14:paraId="0FEDBC1E">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使用危险化学品从事生产，使用和储存量比较大的企业，最好委托具备国家规定资质条件的机构，对企业的安全生产条件进行安全评价，安全评价报告的内容应当包括对安全生产条件存在的问题进行整改的方案，并将安全评价报告及整改方案的落实情况报所在地县级人民政府应急管理部门；其他企业应定期开展安全评价和风险辨识（评估或专家检查），企业应根据安全评价（评估或专家检查）结果改善安全生产条件。</w:t>
            </w:r>
          </w:p>
          <w:p w14:paraId="31A58F16">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企业应按照《危险化学品重大危险源辨识》（GB18218）的规定，进行危险化学品重大危险源辨识，并记录辨识过程与结果。构成危险化学品重大危险源的，应当根据《危险化学品重大危险源监督管理暂行规定》（安监总局令</w:t>
            </w:r>
            <w:r>
              <w:rPr>
                <w:rFonts w:hint="eastAsia" w:ascii="宋体" w:hAnsi="宋体" w:cs="宋体"/>
                <w:color w:val="auto"/>
                <w:kern w:val="0"/>
                <w:szCs w:val="21"/>
                <w:highlight w:val="none"/>
              </w:rPr>
              <w:t>〔2011〕</w:t>
            </w:r>
            <w:r>
              <w:rPr>
                <w:rFonts w:hint="eastAsia" w:ascii="宋体" w:hAnsi="宋体" w:eastAsia="宋体" w:cs="宋体"/>
                <w:color w:val="auto"/>
                <w:kern w:val="0"/>
                <w:sz w:val="21"/>
                <w:szCs w:val="21"/>
                <w:highlight w:val="none"/>
              </w:rPr>
              <w:t>40号</w:t>
            </w:r>
            <w:r>
              <w:rPr>
                <w:rFonts w:hint="eastAsia" w:ascii="宋体" w:hAnsi="宋体" w:cs="宋体"/>
                <w:color w:val="auto"/>
                <w:kern w:val="0"/>
                <w:sz w:val="21"/>
                <w:szCs w:val="21"/>
                <w:highlight w:val="none"/>
                <w:lang w:eastAsia="zh-CN"/>
              </w:rPr>
              <w:t>发布</w:t>
            </w:r>
            <w:r>
              <w:rPr>
                <w:rFonts w:hint="eastAsia" w:ascii="宋体" w:hAnsi="宋体" w:eastAsia="宋体" w:cs="宋体"/>
                <w:color w:val="auto"/>
                <w:kern w:val="0"/>
                <w:sz w:val="21"/>
                <w:szCs w:val="21"/>
                <w:highlight w:val="none"/>
              </w:rPr>
              <w:t>，安监总局令</w:t>
            </w:r>
            <w:r>
              <w:rPr>
                <w:rFonts w:hint="eastAsia" w:ascii="宋体" w:hAnsi="宋体" w:cs="宋体"/>
                <w:color w:val="auto"/>
                <w:kern w:val="0"/>
                <w:szCs w:val="21"/>
                <w:highlight w:val="none"/>
              </w:rPr>
              <w:t>〔2015〕</w:t>
            </w:r>
            <w:r>
              <w:rPr>
                <w:rFonts w:hint="eastAsia" w:ascii="宋体" w:hAnsi="宋体" w:eastAsia="宋体" w:cs="宋体"/>
                <w:color w:val="auto"/>
                <w:kern w:val="0"/>
                <w:sz w:val="21"/>
                <w:szCs w:val="21"/>
                <w:highlight w:val="none"/>
              </w:rPr>
              <w:t>79号修正）的要求，进行重大危险源安全评估，确定重大危险源等级，并采取相应的安全措施，并将重大危险源档案材料报送所在地县级人民政府应急管理部门备案。</w:t>
            </w:r>
          </w:p>
        </w:tc>
        <w:tc>
          <w:tcPr>
            <w:tcW w:w="1217" w:type="pct"/>
            <w:vAlign w:val="center"/>
          </w:tcPr>
          <w:p w14:paraId="371AA53C">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已委托评价，评价报告内容包含危险化学品重大危险源辨识内容。</w:t>
            </w:r>
          </w:p>
        </w:tc>
        <w:tc>
          <w:tcPr>
            <w:tcW w:w="403" w:type="pct"/>
            <w:vAlign w:val="center"/>
          </w:tcPr>
          <w:p w14:paraId="2D83DDB3">
            <w:pPr>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符合</w:t>
            </w:r>
          </w:p>
        </w:tc>
      </w:tr>
      <w:tr w14:paraId="128BD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3D966B63">
            <w:pPr>
              <w:adjustRightInd w:val="0"/>
              <w:snapToGrid w:val="0"/>
              <w:spacing w:line="240" w:lineRule="auto"/>
              <w:jc w:val="center"/>
              <w:rPr>
                <w:rFonts w:hint="eastAsia" w:ascii="宋体" w:hAnsi="宋体" w:eastAsia="宋体" w:cs="宋体"/>
                <w:bCs/>
                <w:color w:val="auto"/>
                <w:kern w:val="0"/>
                <w:sz w:val="21"/>
                <w:szCs w:val="21"/>
                <w:highlight w:val="none"/>
              </w:rPr>
            </w:pPr>
          </w:p>
        </w:tc>
        <w:tc>
          <w:tcPr>
            <w:tcW w:w="786" w:type="pct"/>
            <w:vAlign w:val="center"/>
          </w:tcPr>
          <w:p w14:paraId="4EA1B267">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第3.4条</w:t>
            </w:r>
          </w:p>
        </w:tc>
        <w:tc>
          <w:tcPr>
            <w:tcW w:w="2229" w:type="pct"/>
            <w:vAlign w:val="center"/>
          </w:tcPr>
          <w:p w14:paraId="4CF2904E">
            <w:pPr>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shd w:val="clear" w:color="auto" w:fill="auto"/>
              </w:rPr>
              <w:t>危险化学品使用厂房（装置）、仓库、堆场和储罐的布置应符合《建筑设计防火规范》(GB50016)、《工业企业总平面设计规范》</w:t>
            </w:r>
            <w:r>
              <w:rPr>
                <w:rFonts w:hint="eastAsia" w:ascii="宋体" w:hAnsi="宋体" w:eastAsia="宋体" w:cs="宋体"/>
                <w:color w:val="auto"/>
                <w:kern w:val="0"/>
                <w:sz w:val="21"/>
                <w:szCs w:val="21"/>
                <w:highlight w:val="none"/>
                <w:shd w:val="clear" w:color="auto" w:fill="auto"/>
                <w:lang w:eastAsia="zh-CN"/>
              </w:rPr>
              <w:t>（</w:t>
            </w:r>
            <w:r>
              <w:rPr>
                <w:rFonts w:hint="eastAsia" w:ascii="宋体" w:hAnsi="宋体" w:eastAsia="宋体" w:cs="宋体"/>
                <w:color w:val="auto"/>
                <w:kern w:val="0"/>
                <w:sz w:val="21"/>
                <w:szCs w:val="21"/>
                <w:highlight w:val="none"/>
                <w:shd w:val="clear" w:color="auto" w:fill="auto"/>
              </w:rPr>
              <w:t>GB50187</w:t>
            </w:r>
            <w:r>
              <w:rPr>
                <w:rFonts w:hint="eastAsia" w:ascii="宋体" w:hAnsi="宋体" w:eastAsia="宋体" w:cs="宋体"/>
                <w:color w:val="auto"/>
                <w:kern w:val="0"/>
                <w:sz w:val="21"/>
                <w:szCs w:val="21"/>
                <w:highlight w:val="none"/>
                <w:shd w:val="clear" w:color="auto" w:fill="auto"/>
                <w:lang w:eastAsia="zh-CN"/>
              </w:rPr>
              <w:t>）</w:t>
            </w:r>
            <w:r>
              <w:rPr>
                <w:rFonts w:hint="eastAsia" w:ascii="宋体" w:hAnsi="宋体" w:eastAsia="宋体" w:cs="宋体"/>
                <w:color w:val="auto"/>
                <w:kern w:val="0"/>
                <w:sz w:val="21"/>
                <w:szCs w:val="21"/>
                <w:highlight w:val="none"/>
                <w:shd w:val="clear" w:color="auto" w:fill="auto"/>
              </w:rPr>
              <w:t>等相关标准规定，行业标准有相关规定的，应从其规定</w:t>
            </w:r>
            <w:r>
              <w:rPr>
                <w:rFonts w:hint="eastAsia" w:ascii="宋体" w:hAnsi="宋体" w:eastAsia="宋体" w:cs="宋体"/>
                <w:color w:val="auto"/>
                <w:kern w:val="0"/>
                <w:sz w:val="21"/>
                <w:szCs w:val="21"/>
                <w:highlight w:val="none"/>
                <w:shd w:val="clear" w:color="auto" w:fill="auto"/>
                <w:lang w:eastAsia="zh-CN"/>
              </w:rPr>
              <w:t>。</w:t>
            </w:r>
          </w:p>
        </w:tc>
        <w:tc>
          <w:tcPr>
            <w:tcW w:w="1217" w:type="pct"/>
            <w:vAlign w:val="center"/>
          </w:tcPr>
          <w:p w14:paraId="4E37B358">
            <w:pPr>
              <w:adjustRightInd w:val="0"/>
              <w:snapToGrid w:val="0"/>
              <w:spacing w:line="240" w:lineRule="auto"/>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shd w:val="clear" w:color="auto" w:fill="auto"/>
              </w:rPr>
              <w:t>布置</w:t>
            </w:r>
            <w:r>
              <w:rPr>
                <w:rFonts w:hint="eastAsia" w:ascii="宋体" w:hAnsi="宋体" w:eastAsia="宋体" w:cs="宋体"/>
                <w:color w:val="auto"/>
                <w:kern w:val="0"/>
                <w:sz w:val="21"/>
                <w:szCs w:val="21"/>
                <w:highlight w:val="none"/>
                <w:shd w:val="clear" w:color="auto" w:fill="auto"/>
                <w:lang w:eastAsia="zh-CN"/>
              </w:rPr>
              <w:t>检查情况</w:t>
            </w:r>
            <w:r>
              <w:rPr>
                <w:rFonts w:hint="eastAsia" w:ascii="宋体" w:hAnsi="宋体" w:eastAsia="宋体" w:cs="宋体"/>
                <w:color w:val="auto"/>
                <w:kern w:val="0"/>
                <w:sz w:val="21"/>
                <w:szCs w:val="21"/>
                <w:highlight w:val="none"/>
              </w:rPr>
              <w:t>见表5.1-</w:t>
            </w:r>
            <w:r>
              <w:rPr>
                <w:rFonts w:hint="eastAsia" w:ascii="宋体" w:hAnsi="宋体" w:eastAsia="宋体" w:cs="宋体"/>
                <w:color w:val="auto"/>
                <w:kern w:val="0"/>
                <w:sz w:val="21"/>
                <w:szCs w:val="21"/>
                <w:highlight w:val="none"/>
                <w:lang w:val="en-US" w:eastAsia="zh-CN"/>
              </w:rPr>
              <w:t>2、表</w:t>
            </w:r>
            <w:r>
              <w:rPr>
                <w:rFonts w:hint="eastAsia" w:ascii="宋体" w:hAnsi="宋体" w:eastAsia="宋体" w:cs="宋体"/>
                <w:b w:val="0"/>
                <w:bCs w:val="0"/>
                <w:color w:val="auto"/>
                <w:kern w:val="0"/>
                <w:sz w:val="21"/>
                <w:szCs w:val="21"/>
                <w:highlight w:val="none"/>
                <w:lang w:val="en-US" w:eastAsia="zh-CN"/>
              </w:rPr>
              <w:t>5.1-3。</w:t>
            </w:r>
          </w:p>
        </w:tc>
        <w:tc>
          <w:tcPr>
            <w:tcW w:w="403" w:type="pct"/>
            <w:vAlign w:val="center"/>
          </w:tcPr>
          <w:p w14:paraId="75007B39">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w:t>
            </w:r>
          </w:p>
        </w:tc>
      </w:tr>
      <w:tr w14:paraId="7F0FC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1101F931">
            <w:pPr>
              <w:adjustRightInd w:val="0"/>
              <w:snapToGrid w:val="0"/>
              <w:spacing w:line="240" w:lineRule="auto"/>
              <w:jc w:val="center"/>
              <w:rPr>
                <w:rFonts w:hint="eastAsia" w:ascii="宋体" w:hAnsi="宋体" w:eastAsia="宋体" w:cs="宋体"/>
                <w:bCs/>
                <w:color w:val="auto"/>
                <w:kern w:val="0"/>
                <w:sz w:val="21"/>
                <w:szCs w:val="21"/>
                <w:highlight w:val="none"/>
              </w:rPr>
            </w:pPr>
          </w:p>
        </w:tc>
        <w:tc>
          <w:tcPr>
            <w:tcW w:w="786" w:type="pct"/>
            <w:vAlign w:val="center"/>
          </w:tcPr>
          <w:p w14:paraId="2993E80E">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第3.5条</w:t>
            </w:r>
          </w:p>
        </w:tc>
        <w:tc>
          <w:tcPr>
            <w:tcW w:w="2229" w:type="pct"/>
            <w:vAlign w:val="center"/>
          </w:tcPr>
          <w:p w14:paraId="621E54FF">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shd w:val="clear" w:color="auto" w:fill="auto"/>
              </w:rPr>
              <w:t>危险化学品使用厂房、仓库的火灾危险性分类、耐火等级、层数、面积和设备布置、防火、防爆以及安全疏散等均应符合《建筑设计防火规范》（GB50016）等相关规定，行业标准有相关规定的，应从其规定。</w:t>
            </w:r>
          </w:p>
        </w:tc>
        <w:tc>
          <w:tcPr>
            <w:tcW w:w="1217" w:type="pct"/>
            <w:vAlign w:val="center"/>
          </w:tcPr>
          <w:p w14:paraId="151768A4">
            <w:pPr>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shd w:val="clear" w:color="auto" w:fill="auto"/>
              </w:rPr>
              <w:t>耐火等级、层数、面积</w:t>
            </w:r>
            <w:r>
              <w:rPr>
                <w:rFonts w:hint="eastAsia" w:ascii="宋体" w:hAnsi="宋体" w:cs="宋体"/>
                <w:color w:val="auto"/>
                <w:kern w:val="0"/>
                <w:sz w:val="21"/>
                <w:szCs w:val="21"/>
                <w:highlight w:val="none"/>
                <w:shd w:val="clear" w:color="auto" w:fill="auto"/>
                <w:lang w:eastAsia="zh-CN"/>
              </w:rPr>
              <w:t>、</w:t>
            </w:r>
            <w:r>
              <w:rPr>
                <w:rFonts w:hint="eastAsia" w:ascii="宋体" w:hAnsi="宋体" w:eastAsia="宋体" w:cs="宋体"/>
                <w:color w:val="auto"/>
                <w:kern w:val="0"/>
                <w:sz w:val="21"/>
                <w:szCs w:val="21"/>
                <w:highlight w:val="none"/>
                <w:shd w:val="clear" w:color="auto" w:fill="auto"/>
              </w:rPr>
              <w:t>安全疏散</w:t>
            </w:r>
            <w:r>
              <w:rPr>
                <w:rFonts w:hint="eastAsia" w:ascii="宋体" w:hAnsi="宋体" w:eastAsia="宋体" w:cs="宋体"/>
                <w:color w:val="auto"/>
                <w:kern w:val="0"/>
                <w:sz w:val="21"/>
                <w:szCs w:val="21"/>
                <w:highlight w:val="none"/>
                <w:shd w:val="clear" w:color="auto" w:fill="auto"/>
                <w:lang w:eastAsia="zh-CN"/>
              </w:rPr>
              <w:t>检查情况</w:t>
            </w:r>
            <w:r>
              <w:rPr>
                <w:rFonts w:hint="eastAsia" w:ascii="宋体" w:hAnsi="宋体" w:eastAsia="宋体" w:cs="宋体"/>
                <w:color w:val="auto"/>
                <w:kern w:val="0"/>
                <w:sz w:val="21"/>
                <w:szCs w:val="21"/>
                <w:highlight w:val="none"/>
              </w:rPr>
              <w:t>见表5.1-</w:t>
            </w:r>
            <w:r>
              <w:rPr>
                <w:rFonts w:hint="eastAsia" w:ascii="宋体" w:hAnsi="宋体" w:eastAsia="宋体" w:cs="宋体"/>
                <w:color w:val="auto"/>
                <w:kern w:val="0"/>
                <w:sz w:val="21"/>
                <w:szCs w:val="21"/>
                <w:highlight w:val="none"/>
                <w:lang w:val="en-US" w:eastAsia="zh-CN"/>
              </w:rPr>
              <w:t>1。</w:t>
            </w:r>
          </w:p>
        </w:tc>
        <w:tc>
          <w:tcPr>
            <w:tcW w:w="403" w:type="pct"/>
            <w:vAlign w:val="center"/>
          </w:tcPr>
          <w:p w14:paraId="672B586F">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w:t>
            </w:r>
          </w:p>
        </w:tc>
      </w:tr>
      <w:tr w14:paraId="66E02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62169BA5">
            <w:pPr>
              <w:adjustRightInd w:val="0"/>
              <w:snapToGrid w:val="0"/>
              <w:spacing w:line="240" w:lineRule="auto"/>
              <w:jc w:val="center"/>
              <w:rPr>
                <w:rFonts w:hint="eastAsia" w:ascii="宋体" w:hAnsi="宋体" w:eastAsia="宋体" w:cs="宋体"/>
                <w:bCs/>
                <w:color w:val="auto"/>
                <w:kern w:val="0"/>
                <w:sz w:val="21"/>
                <w:szCs w:val="21"/>
                <w:highlight w:val="none"/>
              </w:rPr>
            </w:pPr>
          </w:p>
        </w:tc>
        <w:tc>
          <w:tcPr>
            <w:tcW w:w="786" w:type="pct"/>
            <w:vAlign w:val="center"/>
          </w:tcPr>
          <w:p w14:paraId="20A856A5">
            <w:pPr>
              <w:adjustRightInd w:val="0"/>
              <w:snapToGrid w:val="0"/>
              <w:spacing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第3.</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条</w:t>
            </w:r>
          </w:p>
        </w:tc>
        <w:tc>
          <w:tcPr>
            <w:tcW w:w="2229" w:type="pct"/>
            <w:vAlign w:val="center"/>
          </w:tcPr>
          <w:p w14:paraId="1797D2BD">
            <w:pPr>
              <w:adjustRightInd w:val="0"/>
              <w:snapToGrid w:val="0"/>
              <w:spacing w:line="240" w:lineRule="auto"/>
              <w:rPr>
                <w:rFonts w:hint="eastAsia" w:ascii="宋体" w:hAnsi="宋体" w:eastAsia="宋体" w:cs="宋体"/>
                <w:color w:val="auto"/>
                <w:kern w:val="0"/>
                <w:sz w:val="21"/>
                <w:szCs w:val="21"/>
                <w:highlight w:val="none"/>
                <w:shd w:val="clear" w:color="auto" w:fill="auto"/>
                <w:lang w:val="en-US" w:eastAsia="zh-CN" w:bidi="ar-SA"/>
              </w:rPr>
            </w:pPr>
            <w:r>
              <w:rPr>
                <w:rFonts w:hint="eastAsia" w:ascii="宋体" w:hAnsi="宋体" w:eastAsia="宋体" w:cs="宋体"/>
                <w:color w:val="auto"/>
                <w:kern w:val="0"/>
                <w:sz w:val="21"/>
                <w:szCs w:val="21"/>
                <w:highlight w:val="none"/>
                <w:shd w:val="clear" w:color="auto" w:fill="auto"/>
              </w:rPr>
              <w:t>危险化学品仓库、堆场应符合</w:t>
            </w:r>
            <w:r>
              <w:rPr>
                <w:rFonts w:hint="eastAsia" w:ascii="宋体" w:hAnsi="宋体" w:cs="宋体"/>
                <w:color w:val="auto"/>
                <w:kern w:val="0"/>
                <w:szCs w:val="21"/>
                <w:highlight w:val="none"/>
                <w:shd w:val="clear" w:color="auto" w:fill="auto"/>
              </w:rPr>
              <w:t>《危险化学品仓库储存通则》GB15603-2022</w:t>
            </w:r>
            <w:r>
              <w:rPr>
                <w:rFonts w:hint="eastAsia" w:ascii="宋体" w:hAnsi="宋体" w:eastAsia="宋体" w:cs="宋体"/>
                <w:color w:val="auto"/>
                <w:kern w:val="0"/>
                <w:sz w:val="21"/>
                <w:szCs w:val="21"/>
                <w:highlight w:val="none"/>
                <w:shd w:val="clear" w:color="auto" w:fill="auto"/>
              </w:rPr>
              <w:t>的相关规定。易燃易爆、腐蚀性和毒害性危险化学品的储存条件还应符合《易燃易爆性商品储存养护技术条件》(GB17914)、《腐蚀性商品储存养护技术条件》（GB17915）、《毒害性商品储存养护技术条件》（GB17916）等标准的规定。</w:t>
            </w:r>
          </w:p>
        </w:tc>
        <w:tc>
          <w:tcPr>
            <w:tcW w:w="1217" w:type="pct"/>
            <w:vAlign w:val="center"/>
          </w:tcPr>
          <w:p w14:paraId="3715CAFE">
            <w:pPr>
              <w:adjustRightInd w:val="0"/>
              <w:snapToGrid w:val="0"/>
              <w:spacing w:line="240" w:lineRule="auto"/>
              <w:rPr>
                <w:rFonts w:hint="eastAsia" w:ascii="宋体" w:hAnsi="宋体" w:eastAsia="宋体" w:cs="宋体"/>
                <w:bCs w:val="0"/>
                <w:color w:val="auto"/>
                <w:kern w:val="0"/>
                <w:sz w:val="21"/>
                <w:szCs w:val="21"/>
                <w:highlight w:val="none"/>
                <w:shd w:val="clear" w:color="auto" w:fill="auto"/>
                <w:vertAlign w:val="baseline"/>
                <w:lang w:val="en-US" w:eastAsia="zh-CN"/>
              </w:rPr>
            </w:pPr>
            <w:r>
              <w:rPr>
                <w:rFonts w:hint="eastAsia" w:ascii="宋体" w:hAnsi="宋体" w:eastAsia="宋体" w:cs="宋体"/>
                <w:color w:val="auto"/>
                <w:kern w:val="0"/>
                <w:sz w:val="21"/>
                <w:szCs w:val="21"/>
                <w:highlight w:val="none"/>
                <w:shd w:val="clear" w:color="auto" w:fill="auto"/>
                <w:lang w:eastAsia="zh-CN"/>
              </w:rPr>
              <w:t>检查情况</w:t>
            </w:r>
            <w:r>
              <w:rPr>
                <w:rFonts w:hint="eastAsia" w:ascii="宋体" w:hAnsi="宋体" w:eastAsia="宋体" w:cs="宋体"/>
                <w:color w:val="auto"/>
                <w:kern w:val="0"/>
                <w:sz w:val="21"/>
                <w:szCs w:val="21"/>
                <w:highlight w:val="none"/>
              </w:rPr>
              <w:t>见表5.1-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kern w:val="0"/>
                <w:sz w:val="21"/>
                <w:szCs w:val="21"/>
                <w:highlight w:val="none"/>
                <w:lang w:val="en-US" w:eastAsia="zh-CN"/>
              </w:rPr>
              <w:t>。</w:t>
            </w:r>
          </w:p>
        </w:tc>
        <w:tc>
          <w:tcPr>
            <w:tcW w:w="403" w:type="pct"/>
            <w:vAlign w:val="center"/>
          </w:tcPr>
          <w:p w14:paraId="62BF423E">
            <w:pPr>
              <w:adjustRightInd w:val="0"/>
              <w:snapToGrid w:val="0"/>
              <w:spacing w:line="24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w:t>
            </w:r>
          </w:p>
        </w:tc>
      </w:tr>
      <w:tr w14:paraId="2DE28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restart"/>
            <w:vAlign w:val="center"/>
          </w:tcPr>
          <w:p w14:paraId="3F62B8B1">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基础安全管理</w:t>
            </w:r>
          </w:p>
        </w:tc>
        <w:tc>
          <w:tcPr>
            <w:tcW w:w="786" w:type="pct"/>
            <w:vAlign w:val="center"/>
          </w:tcPr>
          <w:p w14:paraId="364EAECA">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第4.1条</w:t>
            </w:r>
          </w:p>
        </w:tc>
        <w:tc>
          <w:tcPr>
            <w:tcW w:w="2229" w:type="pct"/>
            <w:vAlign w:val="center"/>
          </w:tcPr>
          <w:p w14:paraId="080D9647">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企业应建立、健全安全生产责任制，加强监督考核，保证安全生产责任制落实。</w:t>
            </w:r>
          </w:p>
        </w:tc>
        <w:tc>
          <w:tcPr>
            <w:tcW w:w="1217" w:type="pct"/>
            <w:vAlign w:val="center"/>
          </w:tcPr>
          <w:p w14:paraId="119D1306">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建立了安全生产责任制。</w:t>
            </w:r>
          </w:p>
        </w:tc>
        <w:tc>
          <w:tcPr>
            <w:tcW w:w="403" w:type="pct"/>
            <w:vAlign w:val="center"/>
          </w:tcPr>
          <w:p w14:paraId="6413E1BD">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1149A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5F8F302A">
            <w:pPr>
              <w:adjustRightInd w:val="0"/>
              <w:snapToGrid w:val="0"/>
              <w:spacing w:line="240" w:lineRule="auto"/>
              <w:jc w:val="center"/>
              <w:rPr>
                <w:rFonts w:hint="eastAsia" w:ascii="宋体" w:hAnsi="宋体" w:eastAsia="宋体" w:cs="宋体"/>
                <w:bCs/>
                <w:color w:val="auto"/>
                <w:kern w:val="0"/>
                <w:sz w:val="21"/>
                <w:szCs w:val="21"/>
                <w:highlight w:val="none"/>
              </w:rPr>
            </w:pPr>
          </w:p>
        </w:tc>
        <w:tc>
          <w:tcPr>
            <w:tcW w:w="786" w:type="pct"/>
            <w:vAlign w:val="center"/>
          </w:tcPr>
          <w:p w14:paraId="04069D22">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第4.3条</w:t>
            </w:r>
          </w:p>
        </w:tc>
        <w:tc>
          <w:tcPr>
            <w:tcW w:w="2229" w:type="pct"/>
            <w:vAlign w:val="center"/>
          </w:tcPr>
          <w:p w14:paraId="423FC36A">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企业应按规定设置安全生产管理机构，配备相应的专业技术人员、专职或兼职的安全生产管理人员。</w:t>
            </w:r>
          </w:p>
        </w:tc>
        <w:tc>
          <w:tcPr>
            <w:tcW w:w="1217" w:type="pct"/>
            <w:vAlign w:val="center"/>
          </w:tcPr>
          <w:p w14:paraId="1434599D">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检查情况见下文。</w:t>
            </w:r>
          </w:p>
        </w:tc>
        <w:tc>
          <w:tcPr>
            <w:tcW w:w="403" w:type="pct"/>
            <w:vAlign w:val="center"/>
          </w:tcPr>
          <w:p w14:paraId="7E960F4C">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w:t>
            </w:r>
          </w:p>
        </w:tc>
      </w:tr>
      <w:tr w14:paraId="4E730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4EB6645A">
            <w:pPr>
              <w:adjustRightInd w:val="0"/>
              <w:snapToGrid w:val="0"/>
              <w:spacing w:line="240" w:lineRule="auto"/>
              <w:jc w:val="center"/>
              <w:rPr>
                <w:rFonts w:hint="eastAsia" w:ascii="宋体" w:hAnsi="宋体" w:eastAsia="宋体" w:cs="宋体"/>
                <w:bCs/>
                <w:color w:val="auto"/>
                <w:kern w:val="0"/>
                <w:sz w:val="21"/>
                <w:szCs w:val="21"/>
                <w:highlight w:val="none"/>
              </w:rPr>
            </w:pPr>
          </w:p>
        </w:tc>
        <w:tc>
          <w:tcPr>
            <w:tcW w:w="786" w:type="pct"/>
            <w:vAlign w:val="center"/>
          </w:tcPr>
          <w:p w14:paraId="1BAB5C15">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《浙江省安全生产条例（2022年修订）》第</w:t>
            </w:r>
            <w:r>
              <w:rPr>
                <w:rFonts w:hint="eastAsia" w:ascii="宋体" w:hAnsi="宋体" w:eastAsia="宋体" w:cs="宋体"/>
                <w:color w:val="auto"/>
                <w:kern w:val="0"/>
                <w:sz w:val="21"/>
                <w:szCs w:val="21"/>
                <w:highlight w:val="none"/>
                <w:lang w:val="en-US" w:eastAsia="zh-CN"/>
              </w:rPr>
              <w:t>14</w:t>
            </w:r>
            <w:r>
              <w:rPr>
                <w:rFonts w:hint="eastAsia" w:ascii="宋体" w:hAnsi="宋体" w:eastAsia="宋体" w:cs="宋体"/>
                <w:color w:val="auto"/>
                <w:kern w:val="0"/>
                <w:sz w:val="21"/>
                <w:szCs w:val="21"/>
                <w:highlight w:val="none"/>
              </w:rPr>
              <w:t>条</w:t>
            </w:r>
          </w:p>
        </w:tc>
        <w:tc>
          <w:tcPr>
            <w:tcW w:w="2229" w:type="pct"/>
            <w:vAlign w:val="center"/>
          </w:tcPr>
          <w:p w14:paraId="59AEEFDE">
            <w:pPr>
              <w:widowControl/>
              <w:adjustRightInd w:val="0"/>
              <w:snapToGrid w:val="0"/>
              <w:spacing w:line="240" w:lineRule="auto"/>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矿山、金属冶炼、建筑施工、船舶修造（拆解）、运输单位，危险物品的生产、经营、储存、装卸单位，以及使用危险化学品数量构成重大危险源的生产单位，应当按照下列规定设置安全生产管理机构、配备专职安全生产管理人员：</w:t>
            </w:r>
          </w:p>
          <w:p w14:paraId="64DC65EC">
            <w:pPr>
              <w:widowControl/>
              <w:adjustRightInd w:val="0"/>
              <w:snapToGrid w:val="0"/>
              <w:spacing w:line="240" w:lineRule="auto"/>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（一）从业人员不足五十人的，应当配备专职安全生产管理人员；</w:t>
            </w:r>
          </w:p>
          <w:p w14:paraId="1E6AD840">
            <w:pPr>
              <w:widowControl/>
              <w:adjustRightInd w:val="0"/>
              <w:snapToGrid w:val="0"/>
              <w:spacing w:line="240" w:lineRule="auto"/>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（二）从业人员五十人以上不足一百人的，应当设置安全生产管理机构，并配备两名以上专职安全生产管理人员；</w:t>
            </w:r>
          </w:p>
          <w:p w14:paraId="5EBDFAF4">
            <w:pPr>
              <w:widowControl/>
              <w:adjustRightInd w:val="0"/>
              <w:snapToGrid w:val="0"/>
              <w:spacing w:line="240" w:lineRule="auto"/>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（三）从业人员一百人以上不足三百人的，应当设置安全生产管理机构，并配备三名以上专职安全生产管理人员；</w:t>
            </w:r>
          </w:p>
          <w:p w14:paraId="0C4F5FEF">
            <w:pPr>
              <w:widowControl/>
              <w:adjustRightInd w:val="0"/>
              <w:snapToGrid w:val="0"/>
              <w:spacing w:line="240" w:lineRule="auto"/>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（四）从业人员三百人以上的，应当设置安全生产管理机构，并按照不低于从业人员</w:t>
            </w:r>
            <w:r>
              <w:rPr>
                <w:rFonts w:hint="eastAsia" w:ascii="宋体" w:hAnsi="宋体" w:cs="宋体"/>
                <w:color w:val="auto"/>
                <w:kern w:val="0"/>
                <w:sz w:val="21"/>
                <w:szCs w:val="21"/>
                <w:highlight w:val="none"/>
                <w:lang w:eastAsia="zh-CN"/>
              </w:rPr>
              <w:t>1%</w:t>
            </w:r>
            <w:r>
              <w:rPr>
                <w:rFonts w:hint="eastAsia" w:ascii="宋体" w:hAnsi="宋体" w:eastAsia="宋体" w:cs="宋体"/>
                <w:color w:val="auto"/>
                <w:kern w:val="0"/>
                <w:sz w:val="21"/>
                <w:szCs w:val="21"/>
                <w:highlight w:val="none"/>
              </w:rPr>
              <w:t>的比例配备专职安全生产管理人员。</w:t>
            </w:r>
          </w:p>
          <w:p w14:paraId="34B3280C">
            <w:pPr>
              <w:widowControl/>
              <w:adjustRightInd w:val="0"/>
              <w:snapToGrid w:val="0"/>
              <w:spacing w:line="240" w:lineRule="auto"/>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前款规定以外的其他生产经营单位，应当按照下列规定设置安全生产管理机构、配备安全生产管理人员：</w:t>
            </w:r>
          </w:p>
          <w:p w14:paraId="7527D3BE">
            <w:pPr>
              <w:widowControl/>
              <w:adjustRightInd w:val="0"/>
              <w:snapToGrid w:val="0"/>
              <w:spacing w:line="240" w:lineRule="auto"/>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（一）从业人员不足一百人的，应当配备专职或者兼职安全生产管理人员；</w:t>
            </w:r>
          </w:p>
          <w:p w14:paraId="37B2E385">
            <w:pPr>
              <w:widowControl/>
              <w:adjustRightInd w:val="0"/>
              <w:snapToGrid w:val="0"/>
              <w:spacing w:line="240" w:lineRule="auto"/>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（二）从业人员一百人以上不足五百人的，应当配备专职安全生产管理人员；</w:t>
            </w:r>
          </w:p>
          <w:p w14:paraId="5FEC012B">
            <w:pPr>
              <w:widowControl/>
              <w:adjustRightInd w:val="0"/>
              <w:snapToGrid w:val="0"/>
              <w:spacing w:line="240" w:lineRule="auto"/>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（三）从业人员五百人以上的，应当设置安全生产管理机构，并配备两名以上专职安全生产管理人员。</w:t>
            </w:r>
          </w:p>
          <w:p w14:paraId="45C5EBF8">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法律法规</w:t>
            </w:r>
            <w:r>
              <w:rPr>
                <w:rFonts w:hint="eastAsia" w:ascii="宋体" w:hAnsi="宋体" w:eastAsia="宋体" w:cs="宋体"/>
                <w:color w:val="auto"/>
                <w:kern w:val="0"/>
                <w:sz w:val="21"/>
                <w:szCs w:val="21"/>
                <w:highlight w:val="none"/>
              </w:rPr>
              <w:t>和国家有关规定严于本条例规定的，从其规定。</w:t>
            </w:r>
          </w:p>
        </w:tc>
        <w:tc>
          <w:tcPr>
            <w:tcW w:w="1217" w:type="pct"/>
            <w:vAlign w:val="center"/>
          </w:tcPr>
          <w:p w14:paraId="25CBC2E2">
            <w:pPr>
              <w:adjustRightInd w:val="0"/>
              <w:snapToGrid w:val="0"/>
              <w:spacing w:line="240" w:lineRule="auto"/>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设置了</w:t>
            </w:r>
            <w:r>
              <w:rPr>
                <w:rFonts w:hint="eastAsia" w:ascii="宋体" w:hAnsi="宋体" w:eastAsia="宋体" w:cs="宋体"/>
                <w:color w:val="auto"/>
                <w:kern w:val="0"/>
                <w:sz w:val="21"/>
                <w:szCs w:val="21"/>
                <w:highlight w:val="none"/>
              </w:rPr>
              <w:t>安全生产管理机构安环部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配备</w:t>
            </w:r>
            <w:r>
              <w:rPr>
                <w:rFonts w:hint="eastAsia" w:ascii="宋体" w:hAnsi="宋体" w:eastAsia="宋体" w:cs="宋体"/>
                <w:color w:val="auto"/>
                <w:kern w:val="0"/>
                <w:sz w:val="21"/>
                <w:szCs w:val="21"/>
                <w:highlight w:val="none"/>
                <w:lang w:eastAsia="zh-CN"/>
              </w:rPr>
              <w:t>了</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名专职安全生产管理人员</w:t>
            </w:r>
            <w:r>
              <w:rPr>
                <w:rFonts w:hint="eastAsia" w:ascii="宋体" w:hAnsi="宋体" w:eastAsia="宋体" w:cs="宋体"/>
                <w:color w:val="auto"/>
                <w:kern w:val="0"/>
                <w:sz w:val="21"/>
                <w:szCs w:val="21"/>
                <w:highlight w:val="none"/>
                <w:lang w:eastAsia="zh-CN"/>
              </w:rPr>
              <w:t>。</w:t>
            </w:r>
          </w:p>
        </w:tc>
        <w:tc>
          <w:tcPr>
            <w:tcW w:w="403" w:type="pct"/>
            <w:vAlign w:val="center"/>
          </w:tcPr>
          <w:p w14:paraId="485D1C15">
            <w:pPr>
              <w:adjustRightInd w:val="0"/>
              <w:snapToGrid w:val="0"/>
              <w:spacing w:line="24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符合</w:t>
            </w:r>
          </w:p>
        </w:tc>
      </w:tr>
      <w:tr w14:paraId="434BB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63925F79">
            <w:pPr>
              <w:adjustRightInd w:val="0"/>
              <w:snapToGrid w:val="0"/>
              <w:spacing w:line="240" w:lineRule="auto"/>
              <w:jc w:val="center"/>
              <w:rPr>
                <w:rFonts w:hint="eastAsia" w:ascii="宋体" w:hAnsi="宋体" w:eastAsia="宋体" w:cs="宋体"/>
                <w:bCs/>
                <w:color w:val="auto"/>
                <w:kern w:val="0"/>
                <w:sz w:val="21"/>
                <w:szCs w:val="21"/>
                <w:highlight w:val="none"/>
              </w:rPr>
            </w:pPr>
          </w:p>
        </w:tc>
        <w:tc>
          <w:tcPr>
            <w:tcW w:w="786" w:type="pct"/>
            <w:vAlign w:val="center"/>
          </w:tcPr>
          <w:p w14:paraId="2A99AF23">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第4.4条</w:t>
            </w:r>
          </w:p>
        </w:tc>
        <w:tc>
          <w:tcPr>
            <w:tcW w:w="2229" w:type="pct"/>
            <w:vAlign w:val="center"/>
          </w:tcPr>
          <w:p w14:paraId="770662D3">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应当对从业人员进行安全生产教育和培训。主要负责人、安全生产管理人员应根据行业要求取证上岗，特种作业人员应经考核合格并取证后方可上岗。从业人员应当接受安全培训，熟悉有关安全生产规章制度和安全操作规程，具备必要的安全生产知识，掌握本岗位的安全操作技能，了解事故应急处理措施。未经安全培训合格的从业人员，不得上岗作业。</w:t>
            </w:r>
          </w:p>
        </w:tc>
        <w:tc>
          <w:tcPr>
            <w:tcW w:w="1217" w:type="pct"/>
            <w:vAlign w:val="center"/>
          </w:tcPr>
          <w:p w14:paraId="09B5E48C">
            <w:pPr>
              <w:adjustRightInd w:val="0"/>
              <w:snapToGrid w:val="0"/>
              <w:spacing w:line="240" w:lineRule="auto"/>
              <w:jc w:val="left"/>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主要负责人、</w:t>
            </w:r>
            <w:r>
              <w:rPr>
                <w:rFonts w:hint="eastAsia" w:ascii="宋体" w:hAnsi="宋体" w:eastAsia="宋体" w:cs="宋体"/>
                <w:color w:val="auto"/>
                <w:kern w:val="0"/>
                <w:sz w:val="21"/>
                <w:szCs w:val="21"/>
                <w:highlight w:val="none"/>
                <w:lang w:eastAsia="zh-CN"/>
              </w:rPr>
              <w:t>安全</w:t>
            </w:r>
            <w:r>
              <w:rPr>
                <w:rFonts w:hint="eastAsia" w:ascii="宋体" w:hAnsi="宋体" w:eastAsia="宋体" w:cs="宋体"/>
                <w:color w:val="auto"/>
                <w:kern w:val="0"/>
                <w:sz w:val="21"/>
                <w:szCs w:val="21"/>
                <w:highlight w:val="none"/>
              </w:rPr>
              <w:t>生产管理人员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特种作业人员</w:t>
            </w:r>
            <w:r>
              <w:rPr>
                <w:rFonts w:hint="eastAsia" w:ascii="宋体" w:hAnsi="宋体" w:eastAsia="宋体" w:cs="宋体"/>
                <w:color w:val="auto"/>
                <w:kern w:val="0"/>
                <w:sz w:val="21"/>
                <w:szCs w:val="21"/>
                <w:highlight w:val="none"/>
                <w:lang w:eastAsia="zh-CN"/>
              </w:rPr>
              <w:t>已取证。</w:t>
            </w:r>
          </w:p>
          <w:p w14:paraId="77372C4D">
            <w:pPr>
              <w:adjustRightInd w:val="0"/>
              <w:snapToGrid w:val="0"/>
              <w:spacing w:line="240" w:lineRule="auto"/>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危化品仓库作业人员经</w:t>
            </w:r>
            <w:r>
              <w:rPr>
                <w:rFonts w:hint="eastAsia" w:ascii="宋体" w:hAnsi="宋体" w:eastAsia="宋体" w:cs="宋体"/>
                <w:color w:val="auto"/>
                <w:kern w:val="0"/>
                <w:sz w:val="21"/>
                <w:szCs w:val="21"/>
                <w:highlight w:val="none"/>
              </w:rPr>
              <w:t>安全培训合格</w:t>
            </w:r>
            <w:r>
              <w:rPr>
                <w:rFonts w:hint="eastAsia" w:ascii="宋体" w:hAnsi="宋体" w:eastAsia="宋体" w:cs="宋体"/>
                <w:color w:val="auto"/>
                <w:kern w:val="0"/>
                <w:sz w:val="21"/>
                <w:szCs w:val="21"/>
                <w:highlight w:val="none"/>
                <w:lang w:eastAsia="zh-CN"/>
              </w:rPr>
              <w:t>。</w:t>
            </w:r>
          </w:p>
        </w:tc>
        <w:tc>
          <w:tcPr>
            <w:tcW w:w="403" w:type="pct"/>
            <w:vAlign w:val="center"/>
          </w:tcPr>
          <w:p w14:paraId="4A750250">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6E2BC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0EC0AD1C">
            <w:pPr>
              <w:adjustRightInd w:val="0"/>
              <w:snapToGrid w:val="0"/>
              <w:spacing w:line="240" w:lineRule="auto"/>
              <w:jc w:val="center"/>
              <w:rPr>
                <w:rFonts w:hint="eastAsia" w:ascii="宋体" w:hAnsi="宋体" w:eastAsia="宋体" w:cs="宋体"/>
                <w:bCs/>
                <w:color w:val="auto"/>
                <w:kern w:val="0"/>
                <w:sz w:val="21"/>
                <w:szCs w:val="21"/>
                <w:highlight w:val="none"/>
              </w:rPr>
            </w:pPr>
          </w:p>
        </w:tc>
        <w:tc>
          <w:tcPr>
            <w:tcW w:w="786" w:type="pct"/>
            <w:vAlign w:val="center"/>
          </w:tcPr>
          <w:p w14:paraId="788194D4">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第4.6条</w:t>
            </w:r>
          </w:p>
        </w:tc>
        <w:tc>
          <w:tcPr>
            <w:tcW w:w="2229" w:type="pct"/>
            <w:vAlign w:val="center"/>
          </w:tcPr>
          <w:p w14:paraId="02038BCD">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储存剧毒化学品、易制爆危险化学品的企业，应当设置治安保卫机构，配备专职治安保卫人员。</w:t>
            </w:r>
          </w:p>
        </w:tc>
        <w:tc>
          <w:tcPr>
            <w:tcW w:w="1217" w:type="pct"/>
            <w:vAlign w:val="center"/>
          </w:tcPr>
          <w:p w14:paraId="286822D3">
            <w:pPr>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设置</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治安保卫机构，配备</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专职治安保卫人员。</w:t>
            </w:r>
          </w:p>
        </w:tc>
        <w:tc>
          <w:tcPr>
            <w:tcW w:w="403" w:type="pct"/>
            <w:vAlign w:val="center"/>
          </w:tcPr>
          <w:p w14:paraId="1AA0DAFE">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61353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56637D5D">
            <w:pPr>
              <w:adjustRightInd w:val="0"/>
              <w:snapToGrid w:val="0"/>
              <w:spacing w:line="240" w:lineRule="auto"/>
              <w:jc w:val="center"/>
              <w:rPr>
                <w:rFonts w:hint="eastAsia" w:ascii="宋体" w:hAnsi="宋体" w:eastAsia="宋体" w:cs="宋体"/>
                <w:bCs/>
                <w:color w:val="auto"/>
                <w:kern w:val="0"/>
                <w:sz w:val="21"/>
                <w:szCs w:val="21"/>
                <w:highlight w:val="none"/>
              </w:rPr>
            </w:pPr>
          </w:p>
        </w:tc>
        <w:tc>
          <w:tcPr>
            <w:tcW w:w="786" w:type="pct"/>
            <w:vAlign w:val="center"/>
          </w:tcPr>
          <w:p w14:paraId="5E19D08F">
            <w:pPr>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第4.7条</w:t>
            </w:r>
          </w:p>
        </w:tc>
        <w:tc>
          <w:tcPr>
            <w:tcW w:w="2229" w:type="pct"/>
            <w:vAlign w:val="center"/>
          </w:tcPr>
          <w:p w14:paraId="5F684347">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危险化学品使用、储存场所的动火作业、受限空间作业等特殊作业应执行《危险化学品企业特殊作业安全规范》GB30871-2022的相关规定，应建立并实施特殊作业管理制度，对动火、进入受限空间、临时用电、高处作业、吊装、动土、断路、盲板抽堵等特殊作业实施作业许可管理，明确工作程序和控制准则，并对作业过程进行监督。</w:t>
            </w:r>
          </w:p>
        </w:tc>
        <w:tc>
          <w:tcPr>
            <w:tcW w:w="1217" w:type="pct"/>
            <w:vAlign w:val="center"/>
          </w:tcPr>
          <w:p w14:paraId="4057C32A">
            <w:pPr>
              <w:adjustRightInd w:val="0"/>
              <w:snapToGrid w:val="0"/>
              <w:spacing w:line="240" w:lineRule="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建立了</w:t>
            </w:r>
            <w:r>
              <w:rPr>
                <w:rFonts w:hint="eastAsia" w:ascii="宋体" w:hAnsi="宋体" w:eastAsia="宋体" w:cs="宋体"/>
                <w:i w:val="0"/>
                <w:iCs w:val="0"/>
                <w:color w:val="auto"/>
                <w:kern w:val="0"/>
                <w:sz w:val="21"/>
                <w:szCs w:val="21"/>
                <w:highlight w:val="none"/>
                <w:u w:val="none"/>
                <w:lang w:val="en-US" w:eastAsia="zh-CN" w:bidi="ar"/>
              </w:rPr>
              <w:t>安全生产动用明火制度、</w:t>
            </w:r>
            <w:r>
              <w:rPr>
                <w:rFonts w:hint="eastAsia" w:ascii="宋体" w:hAnsi="宋体" w:eastAsia="宋体" w:cs="宋体"/>
                <w:color w:val="auto"/>
                <w:kern w:val="0"/>
                <w:sz w:val="21"/>
                <w:szCs w:val="21"/>
                <w:highlight w:val="none"/>
                <w:lang w:val="en-US" w:eastAsia="zh-CN"/>
              </w:rPr>
              <w:t>临时用电安全管理制度、受限空间作业安全管理制度、</w:t>
            </w:r>
            <w:r>
              <w:rPr>
                <w:rFonts w:hint="eastAsia" w:ascii="宋体" w:hAnsi="宋体" w:cs="宋体"/>
                <w:color w:val="auto"/>
                <w:kern w:val="0"/>
                <w:sz w:val="21"/>
                <w:szCs w:val="21"/>
                <w:highlight w:val="none"/>
                <w:lang w:val="en-US" w:eastAsia="zh-CN"/>
              </w:rPr>
              <w:t>吊装</w:t>
            </w:r>
            <w:r>
              <w:rPr>
                <w:rFonts w:hint="eastAsia" w:ascii="宋体" w:hAnsi="宋体" w:eastAsia="宋体" w:cs="宋体"/>
                <w:color w:val="auto"/>
                <w:kern w:val="0"/>
                <w:sz w:val="21"/>
                <w:szCs w:val="21"/>
                <w:highlight w:val="none"/>
                <w:lang w:val="en-US" w:eastAsia="zh-CN"/>
              </w:rPr>
              <w:t>作业安全管理制度、高处作业安全管理制度</w:t>
            </w:r>
          </w:p>
        </w:tc>
        <w:tc>
          <w:tcPr>
            <w:tcW w:w="403" w:type="pct"/>
            <w:vAlign w:val="center"/>
          </w:tcPr>
          <w:p w14:paraId="170883FE">
            <w:pPr>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符合</w:t>
            </w:r>
          </w:p>
        </w:tc>
      </w:tr>
      <w:tr w14:paraId="55EBE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1DDCF56F">
            <w:pPr>
              <w:adjustRightInd w:val="0"/>
              <w:snapToGrid w:val="0"/>
              <w:spacing w:line="240" w:lineRule="auto"/>
              <w:jc w:val="center"/>
              <w:outlineLvl w:val="9"/>
              <w:rPr>
                <w:rFonts w:hint="eastAsia" w:ascii="宋体" w:hAnsi="宋体" w:eastAsia="宋体" w:cs="宋体"/>
                <w:color w:val="auto"/>
                <w:kern w:val="0"/>
                <w:sz w:val="21"/>
                <w:szCs w:val="21"/>
                <w:highlight w:val="none"/>
              </w:rPr>
            </w:pPr>
          </w:p>
        </w:tc>
        <w:tc>
          <w:tcPr>
            <w:tcW w:w="786" w:type="pct"/>
            <w:vAlign w:val="center"/>
          </w:tcPr>
          <w:p w14:paraId="29B168D2">
            <w:pPr>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第4.8条</w:t>
            </w:r>
          </w:p>
        </w:tc>
        <w:tc>
          <w:tcPr>
            <w:tcW w:w="2229" w:type="pct"/>
            <w:vAlign w:val="center"/>
          </w:tcPr>
          <w:p w14:paraId="0ECE830A">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企业应根据</w:t>
            </w:r>
            <w:r>
              <w:rPr>
                <w:rFonts w:hint="eastAsia" w:ascii="宋体" w:hAnsi="宋体" w:cs="宋体"/>
                <w:color w:val="auto"/>
                <w:kern w:val="0"/>
                <w:szCs w:val="21"/>
                <w:highlight w:val="none"/>
              </w:rPr>
              <w:t>《个体防护装备配备规范第1部分：总则》GB39800.1-2020</w:t>
            </w:r>
            <w:r>
              <w:rPr>
                <w:rFonts w:hint="eastAsia" w:ascii="宋体" w:hAnsi="宋体" w:eastAsia="宋体" w:cs="宋体"/>
                <w:color w:val="auto"/>
                <w:kern w:val="0"/>
                <w:sz w:val="21"/>
                <w:szCs w:val="21"/>
                <w:highlight w:val="none"/>
              </w:rPr>
              <w:t>等标准的规定，为危险化学品使用、储存和装卸等岗位作业人员提供必要的个体防护装备。</w:t>
            </w:r>
          </w:p>
        </w:tc>
        <w:tc>
          <w:tcPr>
            <w:tcW w:w="1217" w:type="pct"/>
            <w:vAlign w:val="center"/>
          </w:tcPr>
          <w:p w14:paraId="52C88462">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eastAsia="zh-CN"/>
              </w:rPr>
              <w:t>未为危化品仓库作业人员配备</w:t>
            </w:r>
            <w:r>
              <w:rPr>
                <w:rFonts w:hint="eastAsia" w:ascii="宋体" w:hAnsi="宋体" w:cs="宋体"/>
                <w:color w:val="auto"/>
                <w:szCs w:val="21"/>
                <w:highlight w:val="none"/>
              </w:rPr>
              <w:t>安全帽、</w:t>
            </w:r>
            <w:r>
              <w:rPr>
                <w:rFonts w:hint="eastAsia" w:ascii="宋体" w:hAnsi="宋体" w:eastAsia="宋体" w:cs="宋体"/>
                <w:color w:val="auto"/>
                <w:sz w:val="21"/>
                <w:szCs w:val="21"/>
                <w:highlight w:val="none"/>
                <w:lang w:eastAsia="zh-CN"/>
              </w:rPr>
              <w:t>防护眼镜、防静电服、防化学品手套</w:t>
            </w:r>
            <w:r>
              <w:rPr>
                <w:rFonts w:hint="eastAsia" w:ascii="宋体" w:hAnsi="宋体" w:eastAsia="宋体" w:cs="宋体"/>
                <w:color w:val="auto"/>
                <w:kern w:val="0"/>
                <w:sz w:val="21"/>
                <w:szCs w:val="21"/>
                <w:highlight w:val="none"/>
              </w:rPr>
              <w:t>。</w:t>
            </w:r>
          </w:p>
        </w:tc>
        <w:tc>
          <w:tcPr>
            <w:tcW w:w="403" w:type="pct"/>
            <w:vAlign w:val="center"/>
          </w:tcPr>
          <w:p w14:paraId="0EE15C25">
            <w:pPr>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不符合</w:t>
            </w:r>
          </w:p>
        </w:tc>
      </w:tr>
      <w:tr w14:paraId="7CDEB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restart"/>
            <w:vAlign w:val="center"/>
          </w:tcPr>
          <w:p w14:paraId="75CC2A68">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危险化学品采购</w:t>
            </w:r>
          </w:p>
        </w:tc>
        <w:tc>
          <w:tcPr>
            <w:tcW w:w="786" w:type="pct"/>
            <w:vAlign w:val="center"/>
          </w:tcPr>
          <w:p w14:paraId="232D4FFD">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第6.1条</w:t>
            </w:r>
          </w:p>
        </w:tc>
        <w:tc>
          <w:tcPr>
            <w:tcW w:w="2229" w:type="pct"/>
            <w:vAlign w:val="center"/>
          </w:tcPr>
          <w:p w14:paraId="3C2C170A">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企业应依法向具有相应危险化学品生产或经营资质的企业购买危险化学品；购买剧毒化学品、易制爆危险化学品、易制毒危险化学品的，应按公安机关有关许可要求严格执行。</w:t>
            </w:r>
          </w:p>
        </w:tc>
        <w:tc>
          <w:tcPr>
            <w:tcW w:w="1217" w:type="pct"/>
            <w:vAlign w:val="center"/>
          </w:tcPr>
          <w:p w14:paraId="48E68FBD">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依法向具有相应资质的企业购买危险化学品；按公安机关有关许可要求购买易制爆危险化学品、易制毒危险化学品。</w:t>
            </w:r>
          </w:p>
        </w:tc>
        <w:tc>
          <w:tcPr>
            <w:tcW w:w="403" w:type="pct"/>
            <w:vAlign w:val="center"/>
          </w:tcPr>
          <w:p w14:paraId="2C20E874">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74C5E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1A203F46">
            <w:pPr>
              <w:adjustRightInd w:val="0"/>
              <w:snapToGrid w:val="0"/>
              <w:spacing w:line="240" w:lineRule="auto"/>
              <w:jc w:val="center"/>
              <w:outlineLvl w:val="9"/>
              <w:rPr>
                <w:rFonts w:hint="eastAsia" w:ascii="宋体" w:hAnsi="宋体" w:eastAsia="宋体" w:cs="宋体"/>
                <w:color w:val="auto"/>
                <w:kern w:val="0"/>
                <w:sz w:val="21"/>
                <w:szCs w:val="21"/>
                <w:highlight w:val="none"/>
              </w:rPr>
            </w:pPr>
          </w:p>
        </w:tc>
        <w:tc>
          <w:tcPr>
            <w:tcW w:w="786" w:type="pct"/>
            <w:vAlign w:val="center"/>
          </w:tcPr>
          <w:p w14:paraId="6EA95543">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第6.2条</w:t>
            </w:r>
          </w:p>
        </w:tc>
        <w:tc>
          <w:tcPr>
            <w:tcW w:w="2229" w:type="pct"/>
            <w:vAlign w:val="center"/>
          </w:tcPr>
          <w:p w14:paraId="53E17CA9">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采购危险化学品时，应当向供货方索要与采购的危险化学品相符的化学品安全技术说明书和安全标签。化学品安全技术说明书和安全标签所载明的内容应当符合《化学品安全技术说明书编写指南》（GB/T17519）和《化学品安全标签编写规定》（GB15258）的规定。</w:t>
            </w:r>
          </w:p>
        </w:tc>
        <w:tc>
          <w:tcPr>
            <w:tcW w:w="1217" w:type="pct"/>
            <w:vAlign w:val="center"/>
          </w:tcPr>
          <w:p w14:paraId="04A231EF">
            <w:pPr>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所</w:t>
            </w:r>
            <w:r>
              <w:rPr>
                <w:rFonts w:hint="eastAsia" w:ascii="宋体" w:hAnsi="宋体" w:eastAsia="宋体" w:cs="宋体"/>
                <w:color w:val="auto"/>
                <w:kern w:val="0"/>
                <w:sz w:val="21"/>
                <w:szCs w:val="21"/>
                <w:highlight w:val="none"/>
                <w:lang w:eastAsia="zh-CN"/>
              </w:rPr>
              <w:t>储存</w:t>
            </w:r>
            <w:r>
              <w:rPr>
                <w:rFonts w:hint="eastAsia" w:ascii="宋体" w:hAnsi="宋体" w:eastAsia="宋体" w:cs="宋体"/>
                <w:color w:val="auto"/>
                <w:kern w:val="0"/>
                <w:sz w:val="21"/>
                <w:szCs w:val="21"/>
                <w:highlight w:val="none"/>
              </w:rPr>
              <w:t>的危险化学品具有符合国家标准要求的安全技术说明书和安全标签</w:t>
            </w:r>
            <w:r>
              <w:rPr>
                <w:rFonts w:hint="eastAsia" w:ascii="宋体" w:hAnsi="宋体" w:eastAsia="宋体" w:cs="宋体"/>
                <w:color w:val="auto"/>
                <w:kern w:val="0"/>
                <w:sz w:val="21"/>
                <w:szCs w:val="21"/>
                <w:highlight w:val="none"/>
                <w:lang w:eastAsia="zh-CN"/>
              </w:rPr>
              <w:t>。</w:t>
            </w:r>
          </w:p>
        </w:tc>
        <w:tc>
          <w:tcPr>
            <w:tcW w:w="403" w:type="pct"/>
            <w:vAlign w:val="center"/>
          </w:tcPr>
          <w:p w14:paraId="2BFC0500">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4785D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restart"/>
            <w:vAlign w:val="center"/>
          </w:tcPr>
          <w:p w14:paraId="1D784FF5">
            <w:pPr>
              <w:adjustRightInd w:val="0"/>
              <w:snapToGrid w:val="0"/>
              <w:spacing w:line="240" w:lineRule="auto"/>
              <w:jc w:val="center"/>
              <w:outlineLvl w:val="9"/>
              <w:rPr>
                <w:rFonts w:hint="eastAsia" w:ascii="宋体" w:hAnsi="宋体" w:eastAsia="宋体" w:cs="宋体"/>
                <w:color w:val="auto"/>
                <w:kern w:val="0"/>
                <w:sz w:val="21"/>
                <w:szCs w:val="21"/>
                <w:highlight w:val="none"/>
              </w:rPr>
            </w:pPr>
            <w:bookmarkStart w:id="1650" w:name="_Toc27928"/>
            <w:bookmarkStart w:id="1651" w:name="_Toc31881"/>
            <w:bookmarkStart w:id="1652" w:name="_Toc27278"/>
            <w:bookmarkStart w:id="1653" w:name="_Toc2841"/>
            <w:bookmarkStart w:id="1654" w:name="_Toc3040"/>
            <w:bookmarkStart w:id="1655" w:name="_Toc29887"/>
            <w:bookmarkStart w:id="1656" w:name="_Toc3053"/>
            <w:bookmarkStart w:id="1657" w:name="_Toc16594"/>
            <w:bookmarkStart w:id="1658" w:name="_Toc3352"/>
            <w:bookmarkStart w:id="1659" w:name="_Toc13055"/>
            <w:bookmarkStart w:id="1660" w:name="_Toc31568"/>
            <w:bookmarkStart w:id="1661" w:name="_Toc11588"/>
            <w:bookmarkStart w:id="1662" w:name="_Toc17581"/>
            <w:bookmarkStart w:id="1663" w:name="_Toc15320"/>
            <w:bookmarkStart w:id="1664" w:name="_Toc23977"/>
            <w:bookmarkStart w:id="1665" w:name="_Toc24707"/>
            <w:bookmarkStart w:id="1666" w:name="_Toc4713"/>
            <w:bookmarkStart w:id="1667" w:name="_Toc25523"/>
            <w:r>
              <w:rPr>
                <w:rFonts w:hint="eastAsia" w:ascii="宋体" w:hAnsi="宋体" w:eastAsia="宋体" w:cs="宋体"/>
                <w:color w:val="auto"/>
                <w:kern w:val="0"/>
                <w:sz w:val="21"/>
                <w:szCs w:val="21"/>
                <w:highlight w:val="none"/>
              </w:rPr>
              <w:t>危险化学品装卸</w:t>
            </w:r>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p>
        </w:tc>
        <w:tc>
          <w:tcPr>
            <w:tcW w:w="786" w:type="pct"/>
            <w:vAlign w:val="center"/>
          </w:tcPr>
          <w:p w14:paraId="65682D0A">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第7.1条</w:t>
            </w:r>
          </w:p>
        </w:tc>
        <w:tc>
          <w:tcPr>
            <w:tcW w:w="2229" w:type="pct"/>
            <w:vAlign w:val="center"/>
          </w:tcPr>
          <w:p w14:paraId="54BE6E74">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危险化学品应在专用的卸车场所卸车，卸车场所及其设备设施的布置应符合《建筑设计防火规范》（GB50016）的规定。</w:t>
            </w:r>
          </w:p>
        </w:tc>
        <w:tc>
          <w:tcPr>
            <w:tcW w:w="1217" w:type="pct"/>
            <w:vAlign w:val="center"/>
          </w:tcPr>
          <w:p w14:paraId="04958768">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规定了</w:t>
            </w:r>
            <w:r>
              <w:rPr>
                <w:rFonts w:hint="eastAsia" w:ascii="宋体" w:hAnsi="宋体" w:eastAsia="宋体" w:cs="宋体"/>
                <w:color w:val="auto"/>
                <w:kern w:val="0"/>
                <w:sz w:val="21"/>
                <w:szCs w:val="21"/>
                <w:highlight w:val="none"/>
                <w:lang w:eastAsia="zh-CN"/>
              </w:rPr>
              <w:t>危化品仓库北面空地为</w:t>
            </w:r>
            <w:r>
              <w:rPr>
                <w:rFonts w:hint="eastAsia" w:ascii="宋体" w:hAnsi="宋体" w:eastAsia="宋体" w:cs="宋体"/>
                <w:color w:val="auto"/>
                <w:kern w:val="0"/>
                <w:sz w:val="21"/>
                <w:szCs w:val="21"/>
                <w:highlight w:val="none"/>
              </w:rPr>
              <w:t>危险化学品卸车场所。</w:t>
            </w:r>
          </w:p>
        </w:tc>
        <w:tc>
          <w:tcPr>
            <w:tcW w:w="403" w:type="pct"/>
            <w:vAlign w:val="center"/>
          </w:tcPr>
          <w:p w14:paraId="4A1FC523">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63791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2ACBEE0D">
            <w:pPr>
              <w:adjustRightInd w:val="0"/>
              <w:snapToGrid w:val="0"/>
              <w:spacing w:line="240" w:lineRule="auto"/>
              <w:jc w:val="center"/>
              <w:outlineLvl w:val="9"/>
              <w:rPr>
                <w:rFonts w:hint="eastAsia" w:ascii="宋体" w:hAnsi="宋体" w:eastAsia="宋体" w:cs="宋体"/>
                <w:color w:val="auto"/>
                <w:kern w:val="0"/>
                <w:sz w:val="21"/>
                <w:szCs w:val="21"/>
                <w:highlight w:val="none"/>
              </w:rPr>
            </w:pPr>
          </w:p>
        </w:tc>
        <w:tc>
          <w:tcPr>
            <w:tcW w:w="786" w:type="pct"/>
            <w:vAlign w:val="center"/>
          </w:tcPr>
          <w:p w14:paraId="3067CE1A">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第7.2条</w:t>
            </w:r>
          </w:p>
        </w:tc>
        <w:tc>
          <w:tcPr>
            <w:tcW w:w="2229" w:type="pct"/>
            <w:vAlign w:val="center"/>
          </w:tcPr>
          <w:p w14:paraId="3E2E8BD9">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企业应制定危险化学品装卸安全管理制度、操作规程和专项应急预案（或现场处置方案）。</w:t>
            </w:r>
          </w:p>
        </w:tc>
        <w:tc>
          <w:tcPr>
            <w:tcW w:w="1217" w:type="pct"/>
            <w:vAlign w:val="center"/>
          </w:tcPr>
          <w:p w14:paraId="0BB59448">
            <w:pPr>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制定</w:t>
            </w:r>
            <w:r>
              <w:rPr>
                <w:rFonts w:hint="eastAsia" w:ascii="宋体" w:hAnsi="宋体" w:eastAsia="宋体" w:cs="宋体"/>
                <w:color w:val="auto"/>
                <w:kern w:val="0"/>
                <w:sz w:val="21"/>
                <w:szCs w:val="21"/>
                <w:highlight w:val="none"/>
                <w:lang w:eastAsia="zh-CN"/>
              </w:rPr>
              <w:t>危化品</w:t>
            </w:r>
            <w:r>
              <w:rPr>
                <w:rFonts w:hint="eastAsia" w:ascii="宋体" w:hAnsi="宋体" w:eastAsia="宋体" w:cs="宋体"/>
                <w:color w:val="auto"/>
                <w:kern w:val="0"/>
                <w:sz w:val="21"/>
                <w:szCs w:val="21"/>
                <w:highlight w:val="none"/>
              </w:rPr>
              <w:t>管理制度</w:t>
            </w:r>
            <w:r>
              <w:rPr>
                <w:rFonts w:hint="eastAsia" w:ascii="宋体" w:hAnsi="宋体" w:eastAsia="宋体" w:cs="宋体"/>
                <w:color w:val="auto"/>
                <w:kern w:val="0"/>
                <w:sz w:val="21"/>
                <w:szCs w:val="21"/>
                <w:highlight w:val="none"/>
                <w:lang w:eastAsia="zh-CN"/>
              </w:rPr>
              <w:t>和危险化学品事件应急预案。</w:t>
            </w:r>
          </w:p>
          <w:p w14:paraId="2474B366">
            <w:pPr>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未制定危化品装卸</w:t>
            </w:r>
            <w:r>
              <w:rPr>
                <w:rFonts w:hint="eastAsia" w:ascii="宋体" w:hAnsi="宋体" w:eastAsia="宋体" w:cs="宋体"/>
                <w:color w:val="auto"/>
                <w:kern w:val="0"/>
                <w:sz w:val="21"/>
                <w:szCs w:val="21"/>
                <w:highlight w:val="none"/>
              </w:rPr>
              <w:t>操作规程</w:t>
            </w:r>
            <w:r>
              <w:rPr>
                <w:rFonts w:hint="eastAsia" w:ascii="宋体" w:hAnsi="宋体" w:eastAsia="宋体" w:cs="宋体"/>
                <w:color w:val="auto"/>
                <w:kern w:val="0"/>
                <w:sz w:val="21"/>
                <w:szCs w:val="21"/>
                <w:highlight w:val="none"/>
                <w:lang w:eastAsia="zh-CN"/>
              </w:rPr>
              <w:t>。</w:t>
            </w:r>
          </w:p>
        </w:tc>
        <w:tc>
          <w:tcPr>
            <w:tcW w:w="403" w:type="pct"/>
            <w:vAlign w:val="center"/>
          </w:tcPr>
          <w:p w14:paraId="0B32B697">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不符合</w:t>
            </w:r>
          </w:p>
        </w:tc>
      </w:tr>
      <w:tr w14:paraId="73C2A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3B3C9AA5">
            <w:pPr>
              <w:adjustRightInd w:val="0"/>
              <w:snapToGrid w:val="0"/>
              <w:spacing w:line="240" w:lineRule="auto"/>
              <w:jc w:val="center"/>
              <w:outlineLvl w:val="9"/>
              <w:rPr>
                <w:rFonts w:hint="eastAsia" w:ascii="宋体" w:hAnsi="宋体" w:eastAsia="宋体" w:cs="宋体"/>
                <w:color w:val="auto"/>
                <w:kern w:val="0"/>
                <w:sz w:val="21"/>
                <w:szCs w:val="21"/>
                <w:highlight w:val="none"/>
              </w:rPr>
            </w:pPr>
          </w:p>
        </w:tc>
        <w:tc>
          <w:tcPr>
            <w:tcW w:w="786" w:type="pct"/>
            <w:vAlign w:val="center"/>
          </w:tcPr>
          <w:p w14:paraId="5D0326C2">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第7.3条</w:t>
            </w:r>
          </w:p>
        </w:tc>
        <w:tc>
          <w:tcPr>
            <w:tcW w:w="2229" w:type="pct"/>
            <w:vAlign w:val="center"/>
          </w:tcPr>
          <w:p w14:paraId="5FF2FA9C">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危险化学品的装卸作业应当遵守安全作业标准、规程和制度，并在监护人员现场指挥和全程监护下进行。</w:t>
            </w:r>
          </w:p>
        </w:tc>
        <w:tc>
          <w:tcPr>
            <w:tcW w:w="1217" w:type="pct"/>
            <w:vAlign w:val="center"/>
          </w:tcPr>
          <w:p w14:paraId="2EC092A6">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装卸作业遵守</w:t>
            </w:r>
            <w:r>
              <w:rPr>
                <w:rFonts w:hint="eastAsia" w:ascii="宋体" w:hAnsi="宋体" w:eastAsia="宋体" w:cs="宋体"/>
                <w:color w:val="auto"/>
                <w:kern w:val="0"/>
                <w:sz w:val="21"/>
                <w:szCs w:val="21"/>
                <w:highlight w:val="none"/>
                <w:lang w:eastAsia="zh-CN"/>
              </w:rPr>
              <w:t>危化品</w:t>
            </w:r>
            <w:r>
              <w:rPr>
                <w:rFonts w:hint="eastAsia" w:ascii="宋体" w:hAnsi="宋体" w:eastAsia="宋体" w:cs="宋体"/>
                <w:color w:val="auto"/>
                <w:kern w:val="0"/>
                <w:sz w:val="21"/>
                <w:szCs w:val="21"/>
                <w:highlight w:val="none"/>
              </w:rPr>
              <w:t>管理制度</w:t>
            </w:r>
            <w:r>
              <w:rPr>
                <w:rFonts w:hint="eastAsia" w:ascii="宋体" w:hAnsi="宋体" w:eastAsia="宋体" w:cs="宋体"/>
                <w:color w:val="auto"/>
                <w:kern w:val="0"/>
                <w:sz w:val="21"/>
                <w:szCs w:val="21"/>
                <w:highlight w:val="none"/>
                <w:lang w:eastAsia="zh-CN"/>
              </w:rPr>
              <w:t>，并</w:t>
            </w:r>
            <w:r>
              <w:rPr>
                <w:rFonts w:hint="eastAsia" w:ascii="宋体" w:hAnsi="宋体" w:eastAsia="宋体" w:cs="宋体"/>
                <w:color w:val="auto"/>
                <w:kern w:val="0"/>
                <w:sz w:val="21"/>
                <w:szCs w:val="21"/>
                <w:highlight w:val="none"/>
              </w:rPr>
              <w:t>在监护人员现场指挥和全程监护下进行。</w:t>
            </w:r>
          </w:p>
        </w:tc>
        <w:tc>
          <w:tcPr>
            <w:tcW w:w="403" w:type="pct"/>
            <w:vAlign w:val="center"/>
          </w:tcPr>
          <w:p w14:paraId="6CDD7193">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2709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63C199F2">
            <w:pPr>
              <w:adjustRightInd w:val="0"/>
              <w:snapToGrid w:val="0"/>
              <w:spacing w:line="240" w:lineRule="auto"/>
              <w:jc w:val="center"/>
              <w:outlineLvl w:val="9"/>
              <w:rPr>
                <w:rFonts w:hint="eastAsia" w:ascii="宋体" w:hAnsi="宋体" w:eastAsia="宋体" w:cs="宋体"/>
                <w:color w:val="auto"/>
                <w:kern w:val="0"/>
                <w:sz w:val="21"/>
                <w:szCs w:val="21"/>
                <w:highlight w:val="none"/>
              </w:rPr>
            </w:pPr>
          </w:p>
        </w:tc>
        <w:tc>
          <w:tcPr>
            <w:tcW w:w="786" w:type="pct"/>
            <w:vAlign w:val="center"/>
          </w:tcPr>
          <w:p w14:paraId="29261528">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第7.6条</w:t>
            </w:r>
          </w:p>
        </w:tc>
        <w:tc>
          <w:tcPr>
            <w:tcW w:w="2229" w:type="pct"/>
            <w:vAlign w:val="center"/>
          </w:tcPr>
          <w:p w14:paraId="6448EE60">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甲、乙类危险化学品运输车辆不得在仓库、堆场内装卸。进入甲、乙类易燃易爆物品库房、堆场的机动车辆应符合防爆要求。各种机动车辆装卸物品后，不准在库区、库房、货场内停放或修理。</w:t>
            </w:r>
          </w:p>
        </w:tc>
        <w:tc>
          <w:tcPr>
            <w:tcW w:w="1217" w:type="pct"/>
            <w:vAlign w:val="center"/>
          </w:tcPr>
          <w:p w14:paraId="73A5F1F0">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w:t>
            </w:r>
            <w:r>
              <w:rPr>
                <w:rFonts w:hint="eastAsia" w:ascii="宋体" w:hAnsi="宋体" w:eastAsia="宋体" w:cs="宋体"/>
                <w:color w:val="auto"/>
                <w:kern w:val="0"/>
                <w:sz w:val="21"/>
                <w:szCs w:val="21"/>
                <w:highlight w:val="none"/>
                <w:lang w:eastAsia="zh-CN"/>
              </w:rPr>
              <w:t>危化品仓库北面空地</w:t>
            </w:r>
            <w:r>
              <w:rPr>
                <w:rFonts w:hint="eastAsia" w:ascii="宋体" w:hAnsi="宋体" w:eastAsia="宋体" w:cs="宋体"/>
                <w:color w:val="auto"/>
                <w:kern w:val="0"/>
                <w:sz w:val="21"/>
                <w:szCs w:val="21"/>
                <w:highlight w:val="none"/>
              </w:rPr>
              <w:t>装卸。</w:t>
            </w:r>
            <w:r>
              <w:rPr>
                <w:rFonts w:hint="eastAsia" w:ascii="宋体" w:hAnsi="宋体" w:eastAsia="宋体" w:cs="宋体"/>
                <w:color w:val="auto"/>
                <w:sz w:val="21"/>
                <w:szCs w:val="21"/>
                <w:highlight w:val="none"/>
              </w:rPr>
              <w:t>人工将危化品搬运至危化品仓库内</w:t>
            </w:r>
            <w:r>
              <w:rPr>
                <w:rFonts w:hint="eastAsia" w:ascii="宋体" w:hAnsi="宋体" w:eastAsia="宋体" w:cs="宋体"/>
                <w:color w:val="auto"/>
                <w:kern w:val="0"/>
                <w:sz w:val="21"/>
                <w:szCs w:val="21"/>
                <w:highlight w:val="none"/>
              </w:rPr>
              <w:t>。各种机动车辆装卸物品后，</w:t>
            </w:r>
            <w:r>
              <w:rPr>
                <w:rFonts w:hint="eastAsia" w:ascii="宋体" w:hAnsi="宋体" w:eastAsia="宋体" w:cs="宋体"/>
                <w:color w:val="auto"/>
                <w:kern w:val="0"/>
                <w:sz w:val="21"/>
                <w:szCs w:val="21"/>
                <w:highlight w:val="none"/>
                <w:lang w:eastAsia="zh-CN"/>
              </w:rPr>
              <w:t>未</w:t>
            </w:r>
            <w:r>
              <w:rPr>
                <w:rFonts w:hint="eastAsia" w:ascii="宋体" w:hAnsi="宋体" w:eastAsia="宋体" w:cs="宋体"/>
                <w:color w:val="auto"/>
                <w:kern w:val="0"/>
                <w:sz w:val="21"/>
                <w:szCs w:val="21"/>
                <w:highlight w:val="none"/>
              </w:rPr>
              <w:t>在库区停放或修理。</w:t>
            </w:r>
          </w:p>
        </w:tc>
        <w:tc>
          <w:tcPr>
            <w:tcW w:w="403" w:type="pct"/>
            <w:vAlign w:val="center"/>
          </w:tcPr>
          <w:p w14:paraId="7F008E5F">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76774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2AA9A329">
            <w:pPr>
              <w:adjustRightInd w:val="0"/>
              <w:snapToGrid w:val="0"/>
              <w:spacing w:line="240" w:lineRule="auto"/>
              <w:jc w:val="center"/>
              <w:outlineLvl w:val="9"/>
              <w:rPr>
                <w:rFonts w:hint="eastAsia" w:ascii="宋体" w:hAnsi="宋体" w:eastAsia="宋体" w:cs="宋体"/>
                <w:color w:val="auto"/>
                <w:kern w:val="0"/>
                <w:sz w:val="21"/>
                <w:szCs w:val="21"/>
                <w:highlight w:val="none"/>
              </w:rPr>
            </w:pPr>
          </w:p>
        </w:tc>
        <w:tc>
          <w:tcPr>
            <w:tcW w:w="786" w:type="pct"/>
            <w:vAlign w:val="center"/>
          </w:tcPr>
          <w:p w14:paraId="33CCF875">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第7.7条</w:t>
            </w:r>
          </w:p>
        </w:tc>
        <w:tc>
          <w:tcPr>
            <w:tcW w:w="2229" w:type="pct"/>
            <w:vAlign w:val="center"/>
          </w:tcPr>
          <w:p w14:paraId="138B6471">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卸车时应轻拿轻放，禁止使用铲车、翻斗车等装卸、搬运易燃易爆危险化学品。</w:t>
            </w:r>
          </w:p>
        </w:tc>
        <w:tc>
          <w:tcPr>
            <w:tcW w:w="1217" w:type="pct"/>
            <w:vAlign w:val="center"/>
          </w:tcPr>
          <w:p w14:paraId="6687164B">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卸车时轻拿轻放，</w:t>
            </w:r>
            <w:r>
              <w:rPr>
                <w:rFonts w:hint="eastAsia" w:ascii="宋体" w:hAnsi="宋体" w:eastAsia="宋体" w:cs="宋体"/>
                <w:color w:val="auto"/>
                <w:kern w:val="0"/>
                <w:sz w:val="21"/>
                <w:szCs w:val="21"/>
                <w:highlight w:val="none"/>
                <w:lang w:eastAsia="zh-CN"/>
              </w:rPr>
              <w:t>未</w:t>
            </w:r>
            <w:r>
              <w:rPr>
                <w:rFonts w:hint="eastAsia" w:ascii="宋体" w:hAnsi="宋体" w:eastAsia="宋体" w:cs="宋体"/>
                <w:color w:val="auto"/>
                <w:kern w:val="0"/>
                <w:sz w:val="21"/>
                <w:szCs w:val="21"/>
                <w:highlight w:val="none"/>
              </w:rPr>
              <w:t>使用铲车、翻斗车等装卸、搬运易燃易爆危险化学品。</w:t>
            </w:r>
          </w:p>
        </w:tc>
        <w:tc>
          <w:tcPr>
            <w:tcW w:w="403" w:type="pct"/>
            <w:vAlign w:val="center"/>
          </w:tcPr>
          <w:p w14:paraId="146B11C6">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1E1B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restart"/>
            <w:vAlign w:val="center"/>
          </w:tcPr>
          <w:p w14:paraId="4A336DDE">
            <w:pPr>
              <w:adjustRightInd w:val="0"/>
              <w:snapToGrid w:val="0"/>
              <w:spacing w:line="240" w:lineRule="auto"/>
              <w:jc w:val="center"/>
              <w:outlineLvl w:val="9"/>
              <w:rPr>
                <w:rFonts w:hint="eastAsia" w:ascii="宋体" w:hAnsi="宋体" w:eastAsia="宋体" w:cs="宋体"/>
                <w:color w:val="auto"/>
                <w:kern w:val="0"/>
                <w:sz w:val="21"/>
                <w:szCs w:val="21"/>
                <w:highlight w:val="none"/>
              </w:rPr>
            </w:pPr>
            <w:bookmarkStart w:id="1668" w:name="_Toc11307"/>
            <w:bookmarkStart w:id="1669" w:name="_Toc21817"/>
            <w:bookmarkStart w:id="1670" w:name="_Toc11744"/>
            <w:bookmarkStart w:id="1671" w:name="_Toc8278"/>
            <w:bookmarkStart w:id="1672" w:name="_Toc27106"/>
            <w:bookmarkStart w:id="1673" w:name="_Toc25607"/>
            <w:bookmarkStart w:id="1674" w:name="_Toc3454"/>
            <w:bookmarkStart w:id="1675" w:name="_Toc9437"/>
            <w:bookmarkStart w:id="1676" w:name="_Toc27739"/>
            <w:bookmarkStart w:id="1677" w:name="_Toc25987"/>
            <w:bookmarkStart w:id="1678" w:name="_Toc19781"/>
            <w:bookmarkStart w:id="1679" w:name="_Toc9474"/>
            <w:bookmarkStart w:id="1680" w:name="_Toc22469"/>
            <w:bookmarkStart w:id="1681" w:name="_Toc26551"/>
            <w:bookmarkStart w:id="1682" w:name="_Toc6402"/>
            <w:bookmarkStart w:id="1683" w:name="_Toc30861"/>
            <w:bookmarkStart w:id="1684" w:name="_Toc27402"/>
            <w:bookmarkStart w:id="1685" w:name="_Toc12028"/>
            <w:r>
              <w:rPr>
                <w:rFonts w:hint="eastAsia" w:ascii="宋体" w:hAnsi="宋体" w:eastAsia="宋体" w:cs="宋体"/>
                <w:color w:val="auto"/>
                <w:kern w:val="0"/>
                <w:sz w:val="21"/>
                <w:szCs w:val="21"/>
                <w:highlight w:val="none"/>
              </w:rPr>
              <w:t>应急管理</w:t>
            </w:r>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p>
        </w:tc>
        <w:tc>
          <w:tcPr>
            <w:tcW w:w="786" w:type="pct"/>
            <w:vAlign w:val="center"/>
          </w:tcPr>
          <w:p w14:paraId="1DB986E9">
            <w:pPr>
              <w:adjustRightInd w:val="0"/>
              <w:snapToGrid w:val="0"/>
              <w:spacing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第11.2条</w:t>
            </w:r>
          </w:p>
        </w:tc>
        <w:tc>
          <w:tcPr>
            <w:tcW w:w="2229" w:type="pct"/>
            <w:vAlign w:val="center"/>
          </w:tcPr>
          <w:p w14:paraId="3D01B2AA">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企业应当制定本单位危险化学品事故专项应急预案（或现场处置方案），配备应急救援人员和必要的应急救援器材、设备，并定期组织应急预案演练。</w:t>
            </w:r>
          </w:p>
        </w:tc>
        <w:tc>
          <w:tcPr>
            <w:tcW w:w="1217" w:type="pct"/>
            <w:vAlign w:val="center"/>
          </w:tcPr>
          <w:p w14:paraId="7DBBFA45">
            <w:pPr>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编制有《应急救援预案管理制度》（WXHY过程管理－社会责任2－13），其中包括“火灾应急预案</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危险化学品事件应急预案”等</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配备</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应急救援人员和必要的应急救援器材、设备，并定期组织应急预案演练。</w:t>
            </w:r>
          </w:p>
        </w:tc>
        <w:tc>
          <w:tcPr>
            <w:tcW w:w="403" w:type="pct"/>
            <w:vAlign w:val="center"/>
          </w:tcPr>
          <w:p w14:paraId="4FF536CB">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3242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2C4A4589">
            <w:pPr>
              <w:adjustRightInd w:val="0"/>
              <w:snapToGrid w:val="0"/>
              <w:spacing w:line="240" w:lineRule="auto"/>
              <w:jc w:val="center"/>
              <w:outlineLvl w:val="9"/>
              <w:rPr>
                <w:rFonts w:hint="eastAsia" w:ascii="宋体" w:hAnsi="宋体" w:eastAsia="宋体" w:cs="宋体"/>
                <w:color w:val="auto"/>
                <w:kern w:val="0"/>
                <w:sz w:val="21"/>
                <w:szCs w:val="21"/>
                <w:highlight w:val="none"/>
              </w:rPr>
            </w:pPr>
          </w:p>
        </w:tc>
        <w:tc>
          <w:tcPr>
            <w:tcW w:w="786" w:type="pct"/>
            <w:vAlign w:val="center"/>
          </w:tcPr>
          <w:p w14:paraId="0C666962">
            <w:pPr>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第11.3条</w:t>
            </w:r>
          </w:p>
        </w:tc>
        <w:tc>
          <w:tcPr>
            <w:tcW w:w="2229" w:type="pct"/>
            <w:vAlign w:val="center"/>
          </w:tcPr>
          <w:p w14:paraId="7BB3B08A">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企业应当对从业人员进行应急教育和培训，保证从业人员具备必要的应急知识，掌握事故应急处置技能。</w:t>
            </w:r>
          </w:p>
        </w:tc>
        <w:tc>
          <w:tcPr>
            <w:tcW w:w="1217" w:type="pct"/>
            <w:vAlign w:val="center"/>
          </w:tcPr>
          <w:p w14:paraId="4363CD79">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员工安全培训内容包含应急知识。</w:t>
            </w:r>
          </w:p>
        </w:tc>
        <w:tc>
          <w:tcPr>
            <w:tcW w:w="403" w:type="pct"/>
            <w:vAlign w:val="center"/>
          </w:tcPr>
          <w:p w14:paraId="0F43D760">
            <w:pPr>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符合</w:t>
            </w:r>
          </w:p>
        </w:tc>
      </w:tr>
      <w:tr w14:paraId="25DDC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09029A33">
            <w:pPr>
              <w:adjustRightInd w:val="0"/>
              <w:snapToGrid w:val="0"/>
              <w:spacing w:line="240" w:lineRule="auto"/>
              <w:jc w:val="center"/>
              <w:outlineLvl w:val="9"/>
              <w:rPr>
                <w:rFonts w:hint="eastAsia" w:ascii="宋体" w:hAnsi="宋体" w:eastAsia="宋体" w:cs="宋体"/>
                <w:color w:val="auto"/>
                <w:kern w:val="0"/>
                <w:sz w:val="21"/>
                <w:szCs w:val="21"/>
                <w:highlight w:val="none"/>
              </w:rPr>
            </w:pPr>
          </w:p>
        </w:tc>
        <w:tc>
          <w:tcPr>
            <w:tcW w:w="786" w:type="pct"/>
            <w:vAlign w:val="center"/>
          </w:tcPr>
          <w:p w14:paraId="761077C9">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第11.5条</w:t>
            </w:r>
          </w:p>
        </w:tc>
        <w:tc>
          <w:tcPr>
            <w:tcW w:w="2229" w:type="pct"/>
            <w:vAlign w:val="center"/>
          </w:tcPr>
          <w:p w14:paraId="6B4EEA66">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涉及重点监管危险化学品采取的应急处置措施应符合原国家安全监管总局办公厅《关于印发首批重点监管的危险化学品安全措施和应急处置原则的通知》（安监总</w:t>
            </w:r>
            <w:r>
              <w:rPr>
                <w:rFonts w:hint="eastAsia" w:ascii="宋体" w:hAnsi="宋体" w:cs="宋体"/>
                <w:color w:val="auto"/>
                <w:kern w:val="0"/>
                <w:sz w:val="21"/>
                <w:szCs w:val="21"/>
                <w:highlight w:val="none"/>
                <w:lang w:eastAsia="zh-CN"/>
              </w:rPr>
              <w:t>厅</w:t>
            </w:r>
            <w:r>
              <w:rPr>
                <w:rFonts w:hint="eastAsia" w:ascii="宋体" w:hAnsi="宋体" w:eastAsia="宋体" w:cs="宋体"/>
                <w:color w:val="auto"/>
                <w:kern w:val="0"/>
                <w:sz w:val="21"/>
                <w:szCs w:val="21"/>
                <w:highlight w:val="none"/>
              </w:rPr>
              <w:t>管三〔2011〕142号）和原国家安全监管总局《关于公布第二批重点监管危险化学品名录的通知》（安监总管三〔2013〕12号）相关重点监管危险化学品的应急处置原则。</w:t>
            </w:r>
          </w:p>
        </w:tc>
        <w:tc>
          <w:tcPr>
            <w:tcW w:w="1217" w:type="pct"/>
            <w:vAlign w:val="center"/>
          </w:tcPr>
          <w:p w14:paraId="7171CCEE">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应急救援预案管理制度</w:t>
            </w:r>
            <w:r>
              <w:rPr>
                <w:rFonts w:hint="eastAsia" w:ascii="宋体" w:hAnsi="宋体" w:cs="宋体"/>
                <w:color w:val="auto"/>
                <w:kern w:val="0"/>
                <w:szCs w:val="21"/>
                <w:highlight w:val="none"/>
                <w:lang w:eastAsia="zh-CN"/>
              </w:rPr>
              <w:t>》中无</w:t>
            </w:r>
            <w:r>
              <w:rPr>
                <w:rFonts w:hint="eastAsia" w:ascii="宋体" w:hAnsi="宋体" w:eastAsia="宋体" w:cs="宋体"/>
                <w:color w:val="auto"/>
                <w:kern w:val="0"/>
                <w:sz w:val="21"/>
                <w:szCs w:val="21"/>
                <w:highlight w:val="none"/>
              </w:rPr>
              <w:t>过氧化二苯甲酰</w:t>
            </w:r>
            <w:r>
              <w:rPr>
                <w:rFonts w:hint="eastAsia" w:ascii="宋体" w:hAnsi="宋体" w:cs="宋体"/>
                <w:color w:val="auto"/>
                <w:kern w:val="0"/>
                <w:sz w:val="21"/>
                <w:szCs w:val="21"/>
                <w:highlight w:val="none"/>
                <w:lang w:eastAsia="zh-CN"/>
              </w:rPr>
              <w:t>泄漏</w:t>
            </w:r>
            <w:r>
              <w:rPr>
                <w:rFonts w:hint="eastAsia" w:ascii="宋体" w:hAnsi="宋体" w:eastAsia="宋体" w:cs="宋体"/>
                <w:color w:val="auto"/>
                <w:kern w:val="0"/>
                <w:sz w:val="21"/>
                <w:szCs w:val="21"/>
                <w:highlight w:val="none"/>
              </w:rPr>
              <w:t>应急处置措施。</w:t>
            </w:r>
          </w:p>
        </w:tc>
        <w:tc>
          <w:tcPr>
            <w:tcW w:w="403" w:type="pct"/>
            <w:vAlign w:val="center"/>
          </w:tcPr>
          <w:p w14:paraId="6984B3CC">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不</w:t>
            </w:r>
            <w:r>
              <w:rPr>
                <w:rFonts w:hint="eastAsia" w:ascii="宋体" w:hAnsi="宋体" w:eastAsia="宋体" w:cs="宋体"/>
                <w:color w:val="auto"/>
                <w:kern w:val="0"/>
                <w:sz w:val="21"/>
                <w:szCs w:val="21"/>
                <w:highlight w:val="none"/>
              </w:rPr>
              <w:t>符合</w:t>
            </w:r>
          </w:p>
        </w:tc>
      </w:tr>
      <w:tr w14:paraId="3BC23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restart"/>
            <w:vAlign w:val="center"/>
          </w:tcPr>
          <w:p w14:paraId="33826A8F">
            <w:pPr>
              <w:adjustRightInd w:val="0"/>
              <w:snapToGrid w:val="0"/>
              <w:spacing w:line="240" w:lineRule="auto"/>
              <w:jc w:val="center"/>
              <w:outlineLvl w:val="9"/>
              <w:rPr>
                <w:rFonts w:hint="eastAsia" w:ascii="宋体" w:hAnsi="宋体" w:eastAsia="宋体" w:cs="宋体"/>
                <w:color w:val="auto"/>
                <w:kern w:val="0"/>
                <w:sz w:val="21"/>
                <w:szCs w:val="21"/>
                <w:highlight w:val="none"/>
              </w:rPr>
            </w:pPr>
            <w:bookmarkStart w:id="1686" w:name="_Toc2984"/>
            <w:bookmarkStart w:id="1687" w:name="_Toc19632"/>
            <w:bookmarkStart w:id="1688" w:name="_Toc31075"/>
            <w:bookmarkStart w:id="1689" w:name="_Toc21150"/>
            <w:bookmarkStart w:id="1690" w:name="_Toc31936"/>
            <w:bookmarkStart w:id="1691" w:name="_Toc27887"/>
            <w:bookmarkStart w:id="1692" w:name="_Toc10102"/>
            <w:bookmarkStart w:id="1693" w:name="_Toc4827"/>
            <w:bookmarkStart w:id="1694" w:name="_Toc6763"/>
            <w:bookmarkStart w:id="1695" w:name="_Toc30976"/>
            <w:bookmarkStart w:id="1696" w:name="_Toc29534"/>
            <w:bookmarkStart w:id="1697" w:name="_Toc25554"/>
            <w:bookmarkStart w:id="1698" w:name="_Toc7477"/>
            <w:bookmarkStart w:id="1699" w:name="_Toc17937"/>
            <w:bookmarkStart w:id="1700" w:name="_Toc11297"/>
            <w:bookmarkStart w:id="1701" w:name="_Toc12423"/>
            <w:bookmarkStart w:id="1702" w:name="_Toc7011"/>
            <w:bookmarkStart w:id="1703" w:name="_Toc5762"/>
            <w:r>
              <w:rPr>
                <w:rFonts w:hint="eastAsia" w:ascii="宋体" w:hAnsi="宋体" w:eastAsia="宋体" w:cs="宋体"/>
                <w:color w:val="auto"/>
                <w:kern w:val="0"/>
                <w:sz w:val="21"/>
                <w:szCs w:val="21"/>
                <w:highlight w:val="none"/>
              </w:rPr>
              <w:t>重点行业和领域安全管理要求</w:t>
            </w:r>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p>
        </w:tc>
        <w:tc>
          <w:tcPr>
            <w:tcW w:w="786" w:type="pct"/>
            <w:vAlign w:val="center"/>
          </w:tcPr>
          <w:p w14:paraId="4DC7B686">
            <w:pPr>
              <w:adjustRightInd w:val="0"/>
              <w:snapToGrid w:val="0"/>
              <w:spacing w:line="240" w:lineRule="auto"/>
              <w:jc w:val="both"/>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第12.5.2条</w:t>
            </w:r>
          </w:p>
        </w:tc>
        <w:tc>
          <w:tcPr>
            <w:tcW w:w="2229" w:type="pct"/>
            <w:vAlign w:val="center"/>
          </w:tcPr>
          <w:p w14:paraId="587811ED">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腐蚀性危险化学品仓库（中间仓库）的地面和踢脚线应做防腐蚀处理。</w:t>
            </w:r>
          </w:p>
        </w:tc>
        <w:tc>
          <w:tcPr>
            <w:tcW w:w="1217" w:type="pct"/>
            <w:vAlign w:val="center"/>
          </w:tcPr>
          <w:p w14:paraId="66D14C5C">
            <w:pPr>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1号仓储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用于储存盐酸</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的地面和踢脚线</w:t>
            </w:r>
            <w:r>
              <w:rPr>
                <w:rFonts w:hint="eastAsia" w:ascii="宋体" w:hAnsi="宋体" w:cs="宋体"/>
                <w:color w:val="auto"/>
                <w:kern w:val="0"/>
                <w:sz w:val="21"/>
                <w:szCs w:val="21"/>
                <w:highlight w:val="none"/>
                <w:lang w:eastAsia="zh-CN"/>
              </w:rPr>
              <w:t>已</w:t>
            </w:r>
            <w:r>
              <w:rPr>
                <w:rFonts w:hint="eastAsia" w:ascii="宋体" w:hAnsi="宋体" w:eastAsia="宋体" w:cs="宋体"/>
                <w:color w:val="auto"/>
                <w:kern w:val="0"/>
                <w:sz w:val="21"/>
                <w:szCs w:val="21"/>
                <w:highlight w:val="none"/>
              </w:rPr>
              <w:t>做防腐蚀处理。</w:t>
            </w:r>
          </w:p>
        </w:tc>
        <w:tc>
          <w:tcPr>
            <w:tcW w:w="403" w:type="pct"/>
            <w:vAlign w:val="center"/>
          </w:tcPr>
          <w:p w14:paraId="287D1DC9">
            <w:pPr>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符合</w:t>
            </w:r>
          </w:p>
        </w:tc>
      </w:tr>
      <w:tr w14:paraId="42AA5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vMerge w:val="continue"/>
            <w:vAlign w:val="center"/>
          </w:tcPr>
          <w:p w14:paraId="246DDF1C">
            <w:pPr>
              <w:adjustRightInd w:val="0"/>
              <w:snapToGrid w:val="0"/>
              <w:spacing w:line="240" w:lineRule="auto"/>
              <w:jc w:val="center"/>
              <w:outlineLvl w:val="9"/>
              <w:rPr>
                <w:rFonts w:hint="eastAsia" w:ascii="宋体" w:hAnsi="宋体" w:eastAsia="宋体" w:cs="宋体"/>
                <w:color w:val="auto"/>
                <w:kern w:val="0"/>
                <w:sz w:val="21"/>
                <w:szCs w:val="21"/>
                <w:highlight w:val="none"/>
              </w:rPr>
            </w:pPr>
          </w:p>
        </w:tc>
        <w:tc>
          <w:tcPr>
            <w:tcW w:w="786" w:type="pct"/>
            <w:vAlign w:val="center"/>
          </w:tcPr>
          <w:p w14:paraId="0938DA0B">
            <w:pPr>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第12.</w:t>
            </w:r>
            <w:r>
              <w:rPr>
                <w:rFonts w:hint="eastAsia" w:ascii="宋体" w:hAnsi="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.5条</w:t>
            </w:r>
          </w:p>
        </w:tc>
        <w:tc>
          <w:tcPr>
            <w:tcW w:w="2229" w:type="pct"/>
            <w:vAlign w:val="center"/>
          </w:tcPr>
          <w:p w14:paraId="154C093F">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腐蚀性危险化学品使用、储存场所至少按规定设置一定数量的灭火器，根据使用化学品的腐蚀特性配备防护服、化学安全防护眼镜等必要的个体防护装备，并按要求设置安全标志标识、安全周知卡和安全操作规程。</w:t>
            </w:r>
          </w:p>
        </w:tc>
        <w:tc>
          <w:tcPr>
            <w:tcW w:w="1217" w:type="pct"/>
            <w:vAlign w:val="center"/>
          </w:tcPr>
          <w:p w14:paraId="3769A350">
            <w:pPr>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lang w:eastAsia="zh-CN"/>
              </w:rPr>
              <w:t>未为危化品仓库作业人员配备</w:t>
            </w:r>
            <w:r>
              <w:rPr>
                <w:rFonts w:hint="eastAsia" w:ascii="宋体" w:hAnsi="宋体" w:eastAsia="宋体" w:cs="宋体"/>
                <w:color w:val="auto"/>
                <w:kern w:val="0"/>
                <w:sz w:val="21"/>
                <w:szCs w:val="21"/>
                <w:highlight w:val="none"/>
              </w:rPr>
              <w:t>化学安全防护眼镜，危化品仓库</w:t>
            </w:r>
            <w:r>
              <w:rPr>
                <w:rFonts w:hint="eastAsia" w:ascii="宋体" w:hAnsi="宋体" w:eastAsia="宋体" w:cs="宋体"/>
                <w:color w:val="auto"/>
                <w:kern w:val="0"/>
                <w:sz w:val="21"/>
                <w:szCs w:val="21"/>
                <w:highlight w:val="none"/>
                <w:lang w:eastAsia="zh-CN"/>
              </w:rPr>
              <w:t>未</w:t>
            </w:r>
            <w:r>
              <w:rPr>
                <w:rFonts w:hint="eastAsia" w:ascii="宋体" w:hAnsi="宋体" w:eastAsia="宋体" w:cs="宋体"/>
                <w:color w:val="auto"/>
                <w:kern w:val="0"/>
                <w:sz w:val="21"/>
                <w:szCs w:val="21"/>
                <w:highlight w:val="none"/>
              </w:rPr>
              <w:t>设置安全操作规程</w:t>
            </w:r>
            <w:r>
              <w:rPr>
                <w:rFonts w:hint="eastAsia" w:ascii="宋体" w:hAnsi="宋体" w:eastAsia="宋体" w:cs="宋体"/>
                <w:color w:val="auto"/>
                <w:kern w:val="0"/>
                <w:sz w:val="21"/>
                <w:szCs w:val="21"/>
                <w:highlight w:val="none"/>
                <w:lang w:eastAsia="zh-CN"/>
              </w:rPr>
              <w:t>。</w:t>
            </w:r>
          </w:p>
        </w:tc>
        <w:tc>
          <w:tcPr>
            <w:tcW w:w="403" w:type="pct"/>
            <w:vAlign w:val="center"/>
          </w:tcPr>
          <w:p w14:paraId="36A92133">
            <w:pPr>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不符合</w:t>
            </w:r>
          </w:p>
        </w:tc>
      </w:tr>
    </w:tbl>
    <w:p w14:paraId="1E043ED4">
      <w:pPr>
        <w:numPr>
          <w:ilvl w:val="0"/>
          <w:numId w:val="0"/>
        </w:numPr>
        <w:adjustRightInd w:val="0"/>
        <w:snapToGrid w:val="0"/>
        <w:spacing w:before="157" w:beforeLines="50" w:afterLines="0" w:line="360" w:lineRule="auto"/>
        <w:ind w:firstLine="560" w:firstLineChars="200"/>
        <w:jc w:val="both"/>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评价小结，经检查，存在问题：</w:t>
      </w:r>
    </w:p>
    <w:p w14:paraId="08284947">
      <w:pPr>
        <w:keepNext w:val="0"/>
        <w:keepLines w:val="0"/>
        <w:pageBreakBefore w:val="0"/>
        <w:widowControl w:val="0"/>
        <w:numPr>
          <w:ilvl w:val="0"/>
          <w:numId w:val="37"/>
        </w:numPr>
        <w:kinsoku/>
        <w:wordWrap/>
        <w:overflowPunct/>
        <w:topLinePunct w:val="0"/>
        <w:autoSpaceDE/>
        <w:autoSpaceDN/>
        <w:bidi w:val="0"/>
        <w:adjustRightInd w:val="0"/>
        <w:snapToGrid w:val="0"/>
        <w:spacing w:beforeLines="0" w:afterLines="0" w:line="360" w:lineRule="auto"/>
        <w:ind w:left="0" w:leftChars="0" w:firstLine="560" w:firstLineChars="200"/>
        <w:jc w:val="left"/>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lang w:eastAsia="zh-CN"/>
        </w:rPr>
        <w:t>未为危化品仓库作业人员配备</w:t>
      </w:r>
      <w:r>
        <w:rPr>
          <w:rFonts w:hint="eastAsia" w:ascii="宋体" w:hAnsi="宋体" w:cs="宋体"/>
          <w:color w:val="auto"/>
          <w:kern w:val="0"/>
          <w:sz w:val="28"/>
          <w:szCs w:val="28"/>
          <w:highlight w:val="none"/>
        </w:rPr>
        <w:t>安全帽、</w:t>
      </w:r>
      <w:r>
        <w:rPr>
          <w:rFonts w:hint="eastAsia" w:ascii="宋体" w:hAnsi="宋体" w:eastAsia="宋体" w:cs="宋体"/>
          <w:color w:val="auto"/>
          <w:kern w:val="0"/>
          <w:sz w:val="28"/>
          <w:szCs w:val="28"/>
          <w:highlight w:val="none"/>
          <w:lang w:eastAsia="zh-CN"/>
        </w:rPr>
        <w:t>防护眼镜、防静电服、防化学品手套。</w:t>
      </w:r>
    </w:p>
    <w:p w14:paraId="5E2B75E2">
      <w:pPr>
        <w:keepNext w:val="0"/>
        <w:keepLines w:val="0"/>
        <w:pageBreakBefore w:val="0"/>
        <w:widowControl w:val="0"/>
        <w:numPr>
          <w:ilvl w:val="0"/>
          <w:numId w:val="37"/>
        </w:numPr>
        <w:kinsoku/>
        <w:wordWrap/>
        <w:overflowPunct/>
        <w:topLinePunct w:val="0"/>
        <w:autoSpaceDE/>
        <w:autoSpaceDN/>
        <w:bidi w:val="0"/>
        <w:adjustRightInd w:val="0"/>
        <w:snapToGrid w:val="0"/>
        <w:spacing w:beforeLines="0" w:afterLines="0" w:line="360" w:lineRule="auto"/>
        <w:ind w:left="0" w:leftChars="0" w:firstLine="560" w:firstLineChars="200"/>
        <w:jc w:val="left"/>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lang w:eastAsia="zh-CN"/>
        </w:rPr>
        <w:t>未制定危化品装卸操作规程。</w:t>
      </w:r>
    </w:p>
    <w:p w14:paraId="32EFCE7E">
      <w:pPr>
        <w:keepNext w:val="0"/>
        <w:keepLines w:val="0"/>
        <w:pageBreakBefore w:val="0"/>
        <w:widowControl w:val="0"/>
        <w:numPr>
          <w:ilvl w:val="0"/>
          <w:numId w:val="37"/>
        </w:numPr>
        <w:kinsoku/>
        <w:wordWrap/>
        <w:overflowPunct/>
        <w:topLinePunct w:val="0"/>
        <w:autoSpaceDE/>
        <w:autoSpaceDN/>
        <w:bidi w:val="0"/>
        <w:adjustRightInd w:val="0"/>
        <w:snapToGrid w:val="0"/>
        <w:spacing w:beforeLines="0" w:afterLines="0" w:line="360" w:lineRule="auto"/>
        <w:ind w:left="0" w:leftChars="0" w:firstLine="560" w:firstLineChars="20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rPr>
        <w:t>《应急救援预案管理制度》中无过氧化二苯甲酰泄漏应急处置措施</w:t>
      </w:r>
      <w:r>
        <w:rPr>
          <w:rFonts w:hint="eastAsia" w:ascii="宋体" w:hAnsi="宋体" w:eastAsia="宋体" w:cs="宋体"/>
          <w:color w:val="auto"/>
          <w:kern w:val="0"/>
          <w:sz w:val="28"/>
          <w:szCs w:val="28"/>
          <w:highlight w:val="none"/>
          <w:lang w:val="en-US" w:eastAsia="zh-CN"/>
        </w:rPr>
        <w:t>。</w:t>
      </w:r>
    </w:p>
    <w:p w14:paraId="314F1145">
      <w:pPr>
        <w:keepNext w:val="0"/>
        <w:keepLines w:val="0"/>
        <w:pageBreakBefore w:val="0"/>
        <w:widowControl w:val="0"/>
        <w:numPr>
          <w:ilvl w:val="0"/>
          <w:numId w:val="37"/>
        </w:numPr>
        <w:kinsoku/>
        <w:wordWrap/>
        <w:overflowPunct/>
        <w:topLinePunct w:val="0"/>
        <w:autoSpaceDE/>
        <w:autoSpaceDN/>
        <w:bidi w:val="0"/>
        <w:adjustRightInd w:val="0"/>
        <w:snapToGrid w:val="0"/>
        <w:spacing w:beforeLines="0" w:afterLines="0" w:line="360" w:lineRule="auto"/>
        <w:ind w:left="0" w:leftChars="0" w:firstLine="560" w:firstLineChars="20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危化品仓库未设置安全操作规程。</w:t>
      </w:r>
    </w:p>
    <w:bookmarkEnd w:id="1631"/>
    <w:bookmarkEnd w:id="1632"/>
    <w:p w14:paraId="0D0A17CB">
      <w:pPr>
        <w:keepNext w:val="0"/>
        <w:keepLines w:val="0"/>
        <w:pageBreakBefore w:val="0"/>
        <w:widowControl w:val="0"/>
        <w:kinsoku/>
        <w:wordWrap/>
        <w:overflowPunct/>
        <w:topLinePunct w:val="0"/>
        <w:autoSpaceDE/>
        <w:autoSpaceDN/>
        <w:bidi w:val="0"/>
        <w:adjustRightInd w:val="0"/>
        <w:snapToGrid w:val="0"/>
        <w:spacing w:beforeLines="0" w:afterLines="0" w:line="360" w:lineRule="auto"/>
        <w:textAlignment w:val="auto"/>
        <w:outlineLvl w:val="2"/>
        <w:rPr>
          <w:rFonts w:hint="eastAsia" w:ascii="黑体" w:hAnsi="黑体" w:eastAsia="黑体" w:cs="Times New Roman"/>
          <w:b/>
          <w:color w:val="auto"/>
          <w:sz w:val="28"/>
          <w:szCs w:val="28"/>
          <w:highlight w:val="none"/>
          <w:lang w:val="en-US" w:eastAsia="zh-CN"/>
        </w:rPr>
      </w:pPr>
      <w:bookmarkStart w:id="1704" w:name="_Toc498075623"/>
      <w:bookmarkStart w:id="1705" w:name="_Toc60846642"/>
      <w:bookmarkStart w:id="1706" w:name="_Toc485239905"/>
      <w:bookmarkStart w:id="1707" w:name="_Toc487030534"/>
      <w:bookmarkStart w:id="1708" w:name="_Toc2771"/>
      <w:bookmarkStart w:id="1709" w:name="_Toc1597"/>
      <w:bookmarkStart w:id="1710" w:name="_Toc3869"/>
      <w:bookmarkStart w:id="1711" w:name="_Toc10034"/>
      <w:bookmarkStart w:id="1712" w:name="_Toc5859"/>
      <w:bookmarkStart w:id="1713" w:name="_Toc16263"/>
      <w:bookmarkStart w:id="1714" w:name="_Toc18302"/>
      <w:bookmarkStart w:id="1715" w:name="_Toc29743"/>
      <w:bookmarkStart w:id="1716" w:name="_Toc14011"/>
      <w:bookmarkStart w:id="1717" w:name="_Toc22786"/>
      <w:bookmarkStart w:id="1718" w:name="_Toc20629"/>
      <w:bookmarkStart w:id="1719" w:name="_Toc32484"/>
      <w:bookmarkStart w:id="1720" w:name="_Toc14799"/>
      <w:bookmarkStart w:id="1721" w:name="_Toc26658"/>
      <w:bookmarkStart w:id="1722" w:name="_Toc14569"/>
      <w:bookmarkStart w:id="1723" w:name="_Toc23231"/>
      <w:bookmarkStart w:id="1724" w:name="_Toc32285"/>
      <w:r>
        <w:rPr>
          <w:rFonts w:ascii="黑体" w:hAnsi="黑体" w:eastAsia="黑体" w:cs="Times New Roman"/>
          <w:b/>
          <w:color w:val="auto"/>
          <w:sz w:val="28"/>
          <w:szCs w:val="28"/>
          <w:highlight w:val="none"/>
        </w:rPr>
        <w:t>5.1.</w:t>
      </w:r>
      <w:r>
        <w:rPr>
          <w:rFonts w:hint="eastAsia" w:ascii="黑体" w:hAnsi="黑体" w:eastAsia="黑体" w:cs="Times New Roman"/>
          <w:b/>
          <w:color w:val="auto"/>
          <w:sz w:val="28"/>
          <w:szCs w:val="28"/>
          <w:highlight w:val="none"/>
          <w:lang w:val="en-US" w:eastAsia="zh-CN"/>
        </w:rPr>
        <w:t>3</w:t>
      </w:r>
      <w:r>
        <w:rPr>
          <w:rFonts w:ascii="黑体" w:hAnsi="黑体" w:eastAsia="黑体" w:cs="Times New Roman"/>
          <w:b/>
          <w:color w:val="auto"/>
          <w:sz w:val="28"/>
          <w:szCs w:val="28"/>
          <w:highlight w:val="none"/>
        </w:rPr>
        <w:t xml:space="preserve"> 危险化学品储存</w:t>
      </w:r>
      <w:bookmarkEnd w:id="1704"/>
      <w:bookmarkEnd w:id="1705"/>
      <w:bookmarkEnd w:id="1706"/>
      <w:bookmarkEnd w:id="1707"/>
      <w:r>
        <w:rPr>
          <w:rFonts w:hint="eastAsia" w:ascii="黑体" w:hAnsi="黑体" w:eastAsia="黑体" w:cs="Times New Roman"/>
          <w:b/>
          <w:color w:val="auto"/>
          <w:sz w:val="28"/>
          <w:szCs w:val="28"/>
          <w:highlight w:val="none"/>
          <w:lang w:eastAsia="zh-CN"/>
        </w:rPr>
        <w:t>评价</w:t>
      </w:r>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p>
    <w:p w14:paraId="101C2C5B">
      <w:pPr>
        <w:pStyle w:val="96"/>
        <w:spacing w:beforeLines="0" w:afterLines="0" w:line="360" w:lineRule="auto"/>
        <w:ind w:firstLine="560"/>
        <w:rPr>
          <w:rFonts w:hint="eastAsia"/>
          <w:color w:val="auto"/>
          <w:highlight w:val="none"/>
        </w:rPr>
      </w:pPr>
      <w:r>
        <w:rPr>
          <w:rFonts w:hint="eastAsia"/>
          <w:color w:val="auto"/>
          <w:highlight w:val="none"/>
        </w:rPr>
        <w:t>根据</w:t>
      </w:r>
      <w:r>
        <w:rPr>
          <w:rFonts w:hint="eastAsia" w:ascii="宋体" w:hAnsi="宋体" w:eastAsia="宋体" w:cs="宋体"/>
          <w:color w:val="auto"/>
          <w:kern w:val="0"/>
          <w:sz w:val="28"/>
          <w:szCs w:val="28"/>
          <w:highlight w:val="none"/>
        </w:rPr>
        <w:t>《浙江省应急管理厅关于印发〈浙江省工贸企业危险化学品使用安全管理指南（试行）〉的通知》浙应急基础</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2020</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75号</w:t>
      </w:r>
      <w:r>
        <w:rPr>
          <w:rFonts w:hint="eastAsia"/>
          <w:color w:val="auto"/>
          <w:highlight w:val="none"/>
          <w:lang w:eastAsia="zh-CN"/>
        </w:rPr>
        <w:t>、</w:t>
      </w:r>
      <w:r>
        <w:rPr>
          <w:rFonts w:hint="eastAsia" w:ascii="宋体" w:hAnsi="宋体" w:cs="宋体"/>
          <w:color w:val="auto"/>
          <w:kern w:val="0"/>
          <w:szCs w:val="28"/>
          <w:highlight w:val="none"/>
          <w:lang w:eastAsia="zh-Hans"/>
        </w:rPr>
        <w:t>《危险化学品仓库储存通则》GB15603-2022</w:t>
      </w:r>
      <w:r>
        <w:rPr>
          <w:rFonts w:hint="eastAsia" w:ascii="宋体" w:hAnsi="宋体" w:cs="宋体"/>
          <w:color w:val="auto"/>
          <w:kern w:val="0"/>
          <w:szCs w:val="28"/>
          <w:highlight w:val="none"/>
          <w:lang w:eastAsia="zh-CN"/>
        </w:rPr>
        <w:t>、</w:t>
      </w:r>
      <w:r>
        <w:rPr>
          <w:rFonts w:hint="eastAsia" w:ascii="宋体" w:hAnsi="宋体" w:cs="宋体"/>
          <w:color w:val="auto"/>
          <w:kern w:val="0"/>
          <w:highlight w:val="none"/>
        </w:rPr>
        <w:t>《易燃易爆性商品储存养护技术条件》GB17914-2013、《腐蚀性商品储存养护技术条件》GB17915-2013</w:t>
      </w:r>
      <w:r>
        <w:rPr>
          <w:rFonts w:hint="eastAsia" w:ascii="宋体" w:hAnsi="宋体" w:cs="宋体"/>
          <w:color w:val="auto"/>
          <w:kern w:val="0"/>
          <w:highlight w:val="none"/>
          <w:lang w:eastAsia="zh-CN"/>
        </w:rPr>
        <w:t>、</w:t>
      </w:r>
      <w:r>
        <w:rPr>
          <w:rFonts w:hint="eastAsia" w:ascii="宋体" w:hAnsi="宋体" w:eastAsia="宋体" w:cs="宋体"/>
          <w:color w:val="auto"/>
          <w:kern w:val="0"/>
          <w:sz w:val="28"/>
          <w:szCs w:val="28"/>
          <w:highlight w:val="none"/>
        </w:rPr>
        <w:t>《工业企业设计卫生标准》GBZ1-201</w:t>
      </w:r>
      <w:r>
        <w:rPr>
          <w:rFonts w:hint="eastAsia" w:ascii="宋体" w:hAnsi="宋体" w:eastAsia="宋体" w:cs="宋体"/>
          <w:color w:val="auto"/>
          <w:kern w:val="0"/>
          <w:sz w:val="28"/>
          <w:szCs w:val="28"/>
          <w:highlight w:val="none"/>
          <w:lang w:val="en-US" w:eastAsia="zh-CN"/>
        </w:rPr>
        <w:t>0</w:t>
      </w:r>
      <w:r>
        <w:rPr>
          <w:rFonts w:hint="eastAsia" w:ascii="宋体" w:hAnsi="宋体" w:cs="宋体"/>
          <w:color w:val="auto"/>
          <w:kern w:val="0"/>
          <w:sz w:val="28"/>
          <w:szCs w:val="28"/>
          <w:highlight w:val="none"/>
          <w:lang w:val="en-US" w:eastAsia="zh-CN"/>
        </w:rPr>
        <w:t>、《</w:t>
      </w:r>
      <w:r>
        <w:rPr>
          <w:rFonts w:hint="eastAsia" w:ascii="宋体" w:hAnsi="宋体" w:cs="宋体"/>
          <w:color w:val="auto"/>
          <w:kern w:val="0"/>
          <w:highlight w:val="none"/>
        </w:rPr>
        <w:t>危险化学品单位应急救援物资配备要求</w:t>
      </w:r>
      <w:r>
        <w:rPr>
          <w:rFonts w:hint="eastAsia" w:ascii="宋体" w:hAnsi="宋体" w:cs="宋体"/>
          <w:color w:val="auto"/>
          <w:kern w:val="0"/>
          <w:sz w:val="28"/>
          <w:szCs w:val="28"/>
          <w:highlight w:val="none"/>
          <w:lang w:val="en-US" w:eastAsia="zh-CN"/>
        </w:rPr>
        <w:t>》</w:t>
      </w:r>
      <w:r>
        <w:rPr>
          <w:rFonts w:hint="eastAsia" w:ascii="宋体" w:hAnsi="宋体" w:cs="宋体"/>
          <w:color w:val="auto"/>
          <w:kern w:val="0"/>
          <w:highlight w:val="none"/>
        </w:rPr>
        <w:t>GB30077</w:t>
      </w:r>
      <w:r>
        <w:rPr>
          <w:rFonts w:hint="eastAsia" w:ascii="宋体" w:hAnsi="宋体" w:cs="宋体"/>
          <w:color w:val="auto"/>
          <w:kern w:val="0"/>
          <w:highlight w:val="none"/>
          <w:lang w:eastAsia="zh-CN"/>
        </w:rPr>
        <w:t>-</w:t>
      </w:r>
      <w:r>
        <w:rPr>
          <w:rFonts w:hint="eastAsia" w:ascii="宋体" w:hAnsi="宋体" w:cs="宋体"/>
          <w:color w:val="auto"/>
          <w:kern w:val="0"/>
          <w:highlight w:val="none"/>
        </w:rPr>
        <w:t>2013</w:t>
      </w:r>
      <w:r>
        <w:rPr>
          <w:rFonts w:hint="eastAsia"/>
          <w:color w:val="auto"/>
          <w:highlight w:val="none"/>
        </w:rPr>
        <w:t>对</w:t>
      </w:r>
      <w:r>
        <w:rPr>
          <w:rFonts w:hint="eastAsia"/>
          <w:color w:val="auto"/>
          <w:highlight w:val="none"/>
          <w:lang w:eastAsia="zh-CN"/>
        </w:rPr>
        <w:t>危化品仓库危化品</w:t>
      </w:r>
      <w:r>
        <w:rPr>
          <w:rFonts w:hint="eastAsia"/>
          <w:color w:val="auto"/>
          <w:highlight w:val="none"/>
        </w:rPr>
        <w:t>储存进行检查，检查情况见下表。</w:t>
      </w:r>
    </w:p>
    <w:p w14:paraId="7F9E0045">
      <w:pPr>
        <w:pStyle w:val="96"/>
        <w:spacing w:beforeLines="0" w:afterLines="0" w:line="360" w:lineRule="auto"/>
        <w:ind w:firstLine="0" w:firstLineChars="0"/>
        <w:jc w:val="center"/>
        <w:rPr>
          <w:rFonts w:ascii="黑体" w:hAnsi="黑体" w:eastAsia="黑体"/>
          <w:b/>
          <w:bCs/>
          <w:color w:val="auto"/>
          <w:kern w:val="0"/>
          <w:sz w:val="24"/>
          <w:szCs w:val="24"/>
          <w:highlight w:val="none"/>
        </w:rPr>
      </w:pPr>
    </w:p>
    <w:p w14:paraId="5275BF09">
      <w:pPr>
        <w:pStyle w:val="96"/>
        <w:spacing w:beforeLines="0" w:afterLines="0" w:line="360" w:lineRule="auto"/>
        <w:ind w:firstLine="0" w:firstLineChars="0"/>
        <w:jc w:val="center"/>
        <w:rPr>
          <w:rFonts w:ascii="黑体" w:hAnsi="黑体" w:eastAsia="黑体"/>
          <w:b/>
          <w:bCs/>
          <w:color w:val="auto"/>
          <w:kern w:val="0"/>
          <w:sz w:val="24"/>
          <w:szCs w:val="24"/>
          <w:highlight w:val="none"/>
        </w:rPr>
      </w:pPr>
    </w:p>
    <w:p w14:paraId="115CCA9E">
      <w:pPr>
        <w:pStyle w:val="96"/>
        <w:spacing w:beforeLines="0" w:afterLines="0" w:line="360" w:lineRule="auto"/>
        <w:ind w:firstLine="0" w:firstLineChars="0"/>
        <w:jc w:val="center"/>
        <w:rPr>
          <w:rFonts w:hint="eastAsia"/>
          <w:color w:val="auto"/>
          <w:sz w:val="24"/>
          <w:szCs w:val="24"/>
          <w:highlight w:val="none"/>
        </w:rPr>
      </w:pPr>
      <w:r>
        <w:rPr>
          <w:rFonts w:ascii="黑体" w:hAnsi="黑体" w:eastAsia="黑体"/>
          <w:b/>
          <w:bCs/>
          <w:color w:val="auto"/>
          <w:kern w:val="0"/>
          <w:sz w:val="24"/>
          <w:szCs w:val="24"/>
          <w:highlight w:val="none"/>
        </w:rPr>
        <w:t>表5</w:t>
      </w:r>
      <w:r>
        <w:rPr>
          <w:rFonts w:hint="eastAsia" w:ascii="黑体" w:hAnsi="黑体" w:eastAsia="黑体"/>
          <w:b/>
          <w:bCs/>
          <w:color w:val="auto"/>
          <w:kern w:val="0"/>
          <w:sz w:val="24"/>
          <w:szCs w:val="24"/>
          <w:highlight w:val="none"/>
        </w:rPr>
        <w:t>.1</w:t>
      </w:r>
      <w:r>
        <w:rPr>
          <w:rFonts w:ascii="黑体" w:hAnsi="黑体" w:eastAsia="黑体"/>
          <w:b/>
          <w:bCs/>
          <w:color w:val="auto"/>
          <w:kern w:val="0"/>
          <w:sz w:val="24"/>
          <w:szCs w:val="24"/>
          <w:highlight w:val="none"/>
        </w:rPr>
        <w:t>-</w:t>
      </w:r>
      <w:r>
        <w:rPr>
          <w:rFonts w:hint="eastAsia" w:ascii="黑体" w:hAnsi="黑体" w:eastAsia="黑体"/>
          <w:b/>
          <w:bCs/>
          <w:color w:val="auto"/>
          <w:kern w:val="0"/>
          <w:sz w:val="24"/>
          <w:szCs w:val="24"/>
          <w:highlight w:val="none"/>
          <w:lang w:val="en-US" w:eastAsia="zh-CN"/>
        </w:rPr>
        <w:t>6</w:t>
      </w:r>
      <w:r>
        <w:rPr>
          <w:rFonts w:hint="eastAsia" w:ascii="黑体" w:hAnsi="黑体" w:eastAsia="黑体"/>
          <w:b/>
          <w:bCs/>
          <w:color w:val="auto"/>
          <w:kern w:val="0"/>
          <w:sz w:val="24"/>
          <w:szCs w:val="24"/>
          <w:highlight w:val="none"/>
        </w:rPr>
        <w:t xml:space="preserve"> 危化品仓库危化品储存</w:t>
      </w:r>
      <w:r>
        <w:rPr>
          <w:rFonts w:hint="eastAsia" w:ascii="黑体" w:hAnsi="黑体" w:eastAsia="黑体"/>
          <w:b/>
          <w:bCs/>
          <w:color w:val="auto"/>
          <w:kern w:val="0"/>
          <w:sz w:val="24"/>
          <w:szCs w:val="24"/>
          <w:highlight w:val="none"/>
          <w:lang w:eastAsia="zh-CN"/>
        </w:rPr>
        <w:t>安全</w:t>
      </w:r>
      <w:r>
        <w:rPr>
          <w:rFonts w:hint="eastAsia" w:ascii="黑体" w:hAnsi="黑体" w:eastAsia="黑体"/>
          <w:b/>
          <w:bCs/>
          <w:color w:val="auto"/>
          <w:kern w:val="0"/>
          <w:sz w:val="24"/>
          <w:szCs w:val="24"/>
          <w:highlight w:val="none"/>
        </w:rPr>
        <w:t>检查表</w:t>
      </w:r>
    </w:p>
    <w:tbl>
      <w:tblPr>
        <w:tblStyle w:val="6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4203"/>
        <w:gridCol w:w="1476"/>
        <w:gridCol w:w="2434"/>
        <w:gridCol w:w="703"/>
      </w:tblGrid>
      <w:tr w14:paraId="43800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07" w:type="pct"/>
            <w:noWrap w:val="0"/>
            <w:vAlign w:val="center"/>
          </w:tcPr>
          <w:p w14:paraId="335CFA10">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237" w:type="pct"/>
            <w:noWrap w:val="0"/>
            <w:vAlign w:val="center"/>
          </w:tcPr>
          <w:p w14:paraId="234356BF">
            <w:pPr>
              <w:adjustRightInd w:val="0"/>
              <w:snapToGrid w:val="0"/>
              <w:ind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检查项目及内容</w:t>
            </w:r>
          </w:p>
        </w:tc>
        <w:tc>
          <w:tcPr>
            <w:tcW w:w="785" w:type="pct"/>
            <w:noWrap w:val="0"/>
            <w:vAlign w:val="center"/>
          </w:tcPr>
          <w:p w14:paraId="54443FF0">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检查</w:t>
            </w:r>
            <w:r>
              <w:rPr>
                <w:rFonts w:hint="eastAsia" w:ascii="宋体" w:hAnsi="宋体" w:eastAsia="宋体" w:cs="宋体"/>
                <w:b/>
                <w:bCs/>
                <w:color w:val="auto"/>
                <w:sz w:val="21"/>
                <w:szCs w:val="21"/>
                <w:highlight w:val="none"/>
              </w:rPr>
              <w:t>依据</w:t>
            </w:r>
          </w:p>
        </w:tc>
        <w:tc>
          <w:tcPr>
            <w:tcW w:w="1295" w:type="pct"/>
            <w:noWrap w:val="0"/>
            <w:vAlign w:val="center"/>
          </w:tcPr>
          <w:p w14:paraId="57008670">
            <w:pPr>
              <w:adjustRightInd w:val="0"/>
              <w:snapToGrid w:val="0"/>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实际情况</w:t>
            </w:r>
          </w:p>
        </w:tc>
        <w:tc>
          <w:tcPr>
            <w:tcW w:w="374" w:type="pct"/>
            <w:noWrap w:val="0"/>
            <w:vAlign w:val="center"/>
          </w:tcPr>
          <w:p w14:paraId="47105C26">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检查结果</w:t>
            </w:r>
          </w:p>
        </w:tc>
      </w:tr>
      <w:tr w14:paraId="429E1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7C5AF00E">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EBE4270">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危险化学品应当储存在专用仓库、储存柜、堆场、储罐内，不得与废弃物品同室（同一防火分区）储存。</w:t>
            </w:r>
          </w:p>
        </w:tc>
        <w:tc>
          <w:tcPr>
            <w:tcW w:w="785" w:type="pct"/>
            <w:noWrap w:val="0"/>
            <w:vAlign w:val="center"/>
          </w:tcPr>
          <w:p w14:paraId="77C6CF1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第8条</w:t>
            </w:r>
          </w:p>
        </w:tc>
        <w:tc>
          <w:tcPr>
            <w:tcW w:w="1295" w:type="pct"/>
            <w:noWrap w:val="0"/>
            <w:vAlign w:val="center"/>
          </w:tcPr>
          <w:p w14:paraId="1D577DD1">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rPr>
              <w:t>危化品仓库</w:t>
            </w:r>
            <w:r>
              <w:rPr>
                <w:rFonts w:hint="eastAsia" w:ascii="宋体" w:hAnsi="宋体" w:eastAsia="宋体" w:cs="宋体"/>
                <w:color w:val="auto"/>
                <w:kern w:val="0"/>
                <w:sz w:val="21"/>
                <w:szCs w:val="21"/>
                <w:highlight w:val="none"/>
                <w:lang w:eastAsia="zh-CN"/>
              </w:rPr>
              <w:t>为</w:t>
            </w:r>
            <w:r>
              <w:rPr>
                <w:rFonts w:hint="eastAsia" w:ascii="宋体" w:hAnsi="宋体" w:eastAsia="宋体" w:cs="宋体"/>
                <w:color w:val="auto"/>
                <w:kern w:val="0"/>
                <w:sz w:val="21"/>
                <w:szCs w:val="21"/>
                <w:highlight w:val="none"/>
              </w:rPr>
              <w:t>危险化学品专用仓库</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70406D5E">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F498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CD502C4">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53BBEFC6">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甲类仓库应为单层建筑。甲、乙类危险化学品仓库不得设在地下室。有爆炸危险的危险化学品仓库（中间仓库）或仓库内有爆炸危险的部位宜采取防爆措施，设置泄压设施。</w:t>
            </w:r>
          </w:p>
        </w:tc>
        <w:tc>
          <w:tcPr>
            <w:tcW w:w="785" w:type="pct"/>
            <w:noWrap w:val="0"/>
            <w:vAlign w:val="center"/>
          </w:tcPr>
          <w:p w14:paraId="3D605A7E">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第8.1.1条</w:t>
            </w:r>
          </w:p>
        </w:tc>
        <w:tc>
          <w:tcPr>
            <w:tcW w:w="1295" w:type="pct"/>
            <w:noWrap w:val="0"/>
            <w:vAlign w:val="center"/>
          </w:tcPr>
          <w:p w14:paraId="25070BCB">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危化品仓库所在建筑总层数为</w:t>
            </w:r>
            <w:r>
              <w:rPr>
                <w:rFonts w:hint="eastAsia" w:ascii="宋体" w:hAnsi="宋体" w:eastAsia="宋体" w:cs="宋体"/>
                <w:color w:val="auto"/>
                <w:kern w:val="0"/>
                <w:sz w:val="21"/>
                <w:szCs w:val="21"/>
                <w:highlight w:val="none"/>
                <w:lang w:eastAsia="zh-CN"/>
              </w:rPr>
              <w:t>地上</w:t>
            </w:r>
            <w:r>
              <w:rPr>
                <w:rFonts w:hint="eastAsia" w:ascii="宋体" w:hAnsi="宋体" w:eastAsia="宋体" w:cs="宋体"/>
                <w:color w:val="auto"/>
                <w:kern w:val="0"/>
                <w:sz w:val="21"/>
                <w:szCs w:val="21"/>
                <w:highlight w:val="none"/>
              </w:rPr>
              <w:t>4层，其中1层为危化品仓库，其余空置。仓库内采取防爆措施，设置泄压设施</w:t>
            </w:r>
            <w:r>
              <w:rPr>
                <w:rFonts w:hint="eastAsia" w:ascii="宋体" w:hAnsi="宋体" w:eastAsia="宋体" w:cs="宋体"/>
                <w:color w:val="auto"/>
                <w:kern w:val="0"/>
                <w:sz w:val="21"/>
                <w:szCs w:val="21"/>
                <w:highlight w:val="none"/>
                <w:lang w:eastAsia="zh-CN"/>
              </w:rPr>
              <w:t>（窗户）</w:t>
            </w:r>
            <w:r>
              <w:rPr>
                <w:rFonts w:hint="eastAsia" w:ascii="宋体" w:hAnsi="宋体" w:eastAsia="宋体" w:cs="宋体"/>
                <w:color w:val="auto"/>
                <w:kern w:val="0"/>
                <w:sz w:val="21"/>
                <w:szCs w:val="21"/>
                <w:highlight w:val="none"/>
              </w:rPr>
              <w:t>。</w:t>
            </w:r>
          </w:p>
        </w:tc>
        <w:tc>
          <w:tcPr>
            <w:tcW w:w="374" w:type="pct"/>
            <w:noWrap w:val="0"/>
            <w:vAlign w:val="center"/>
          </w:tcPr>
          <w:p w14:paraId="4AEB012D">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4B1C4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F47D879">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16B43055">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危险化学品仓库应按《建筑设计防火规范》（GB50016）的规定设置安全出口。疏散门应采用向疏散方向开启的平开门，丙、丁、戊类仓库首层靠墙的外侧可采用推拉门或卷帘门。</w:t>
            </w:r>
          </w:p>
        </w:tc>
        <w:tc>
          <w:tcPr>
            <w:tcW w:w="785" w:type="pct"/>
            <w:noWrap w:val="0"/>
            <w:vAlign w:val="center"/>
          </w:tcPr>
          <w:p w14:paraId="60046390">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第8.1.3条</w:t>
            </w:r>
          </w:p>
        </w:tc>
        <w:tc>
          <w:tcPr>
            <w:tcW w:w="1295" w:type="pct"/>
            <w:noWrap w:val="0"/>
            <w:vAlign w:val="center"/>
          </w:tcPr>
          <w:p w14:paraId="3A6430F7">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rPr>
              <w:t>疏散门采用向疏散方向开启的平开门</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73E9AC7E">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23243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51BEFA4B">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0B628116">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员工宿舍严禁设置在仓库内。办公室、休息室严禁设置在甲、乙类仓库（中间仓库）内，也不应贴邻；办公室、休息室设置在丙、丁类仓库（中间仓库）内时，应采用耐火极限不低于2.50h的防火隔墙和1.00h的楼板与其他部位分隔，并设置独立的安全出口，隔墙上开设相互连通的门时，应采用乙级防火门</w:t>
            </w:r>
          </w:p>
        </w:tc>
        <w:tc>
          <w:tcPr>
            <w:tcW w:w="785" w:type="pct"/>
            <w:noWrap w:val="0"/>
            <w:vAlign w:val="center"/>
          </w:tcPr>
          <w:p w14:paraId="3A7BF220">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第8.1.6条</w:t>
            </w:r>
          </w:p>
        </w:tc>
        <w:tc>
          <w:tcPr>
            <w:tcW w:w="1295" w:type="pct"/>
            <w:noWrap w:val="0"/>
            <w:vAlign w:val="center"/>
          </w:tcPr>
          <w:p w14:paraId="1E810CCC">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rPr>
              <w:t>危化品仓库内</w:t>
            </w:r>
            <w:r>
              <w:rPr>
                <w:rFonts w:hint="eastAsia" w:ascii="宋体" w:hAnsi="宋体" w:eastAsia="宋体" w:cs="宋体"/>
                <w:color w:val="auto"/>
                <w:kern w:val="0"/>
                <w:sz w:val="21"/>
                <w:szCs w:val="21"/>
                <w:highlight w:val="none"/>
                <w:lang w:eastAsia="zh-CN"/>
              </w:rPr>
              <w:t>未设置</w:t>
            </w:r>
            <w:r>
              <w:rPr>
                <w:rFonts w:hint="eastAsia" w:ascii="宋体" w:hAnsi="宋体" w:eastAsia="宋体" w:cs="宋体"/>
                <w:color w:val="auto"/>
                <w:kern w:val="0"/>
                <w:sz w:val="21"/>
                <w:szCs w:val="21"/>
                <w:highlight w:val="none"/>
              </w:rPr>
              <w:t>员工宿舍</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办公室、休息室</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也不贴邻</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470CC42D">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26B2B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468AE0E">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43F8B222">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易燃易爆危险化学品仓库（中间仓库）应通风良好，排风系统应设置导除静电的接地装置，排风管应采用金属管道，不得穿越人员密集作业场所、防火墙，并应直接通向室外安全地点，不应暗设。</w:t>
            </w:r>
          </w:p>
        </w:tc>
        <w:tc>
          <w:tcPr>
            <w:tcW w:w="785" w:type="pct"/>
            <w:noWrap w:val="0"/>
            <w:vAlign w:val="center"/>
          </w:tcPr>
          <w:p w14:paraId="6851E95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第8.1.7条</w:t>
            </w:r>
          </w:p>
        </w:tc>
        <w:tc>
          <w:tcPr>
            <w:tcW w:w="1295" w:type="pct"/>
            <w:noWrap w:val="0"/>
            <w:vAlign w:val="center"/>
          </w:tcPr>
          <w:p w14:paraId="0E6B364F">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eastAsia="zh-CN"/>
              </w:rPr>
              <w:t>轴流排风机</w:t>
            </w:r>
            <w:r>
              <w:rPr>
                <w:rFonts w:hint="eastAsia" w:ascii="宋体" w:hAnsi="宋体" w:eastAsia="宋体" w:cs="宋体"/>
                <w:color w:val="auto"/>
                <w:kern w:val="0"/>
                <w:sz w:val="21"/>
                <w:szCs w:val="21"/>
                <w:highlight w:val="none"/>
              </w:rPr>
              <w:t>设置</w:t>
            </w:r>
            <w:r>
              <w:rPr>
                <w:rFonts w:hint="eastAsia" w:ascii="宋体" w:hAnsi="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导除静电的接地装置</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3004778F">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04AFD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DC91EE2">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0DE8C6EE">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危险化学品仓库（中间仓库）应按相关标准的规定设置可燃有毒气体检测报警装置、防雷防静电装置、防爆电气设施、消防设施和冲淋器、洗眼器等。</w:t>
            </w:r>
          </w:p>
        </w:tc>
        <w:tc>
          <w:tcPr>
            <w:tcW w:w="785" w:type="pct"/>
            <w:noWrap w:val="0"/>
            <w:vAlign w:val="center"/>
          </w:tcPr>
          <w:p w14:paraId="4F2AB77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第8.1.8条</w:t>
            </w:r>
          </w:p>
        </w:tc>
        <w:tc>
          <w:tcPr>
            <w:tcW w:w="1295" w:type="pct"/>
            <w:noWrap w:val="0"/>
            <w:vAlign w:val="center"/>
          </w:tcPr>
          <w:p w14:paraId="50FBA795">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rPr>
              <w:t>可燃气体检测报警装置、防雷防静电装置、防爆电气设施</w:t>
            </w:r>
            <w:r>
              <w:rPr>
                <w:rFonts w:hint="eastAsia" w:ascii="宋体" w:hAnsi="宋体" w:eastAsia="宋体" w:cs="宋体"/>
                <w:color w:val="auto"/>
                <w:sz w:val="21"/>
                <w:szCs w:val="21"/>
                <w:highlight w:val="none"/>
                <w:lang w:eastAsia="zh-CN"/>
              </w:rPr>
              <w:t>检查情况见</w:t>
            </w:r>
            <w:r>
              <w:rPr>
                <w:rFonts w:hint="eastAsia" w:ascii="宋体" w:hAnsi="宋体" w:eastAsia="宋体" w:cs="宋体"/>
                <w:color w:val="auto"/>
                <w:sz w:val="21"/>
                <w:szCs w:val="21"/>
                <w:highlight w:val="none"/>
                <w:lang w:val="en-US" w:eastAsia="zh-CN"/>
              </w:rPr>
              <w:t>5.1.4；</w:t>
            </w:r>
            <w:r>
              <w:rPr>
                <w:rFonts w:hint="eastAsia" w:ascii="宋体" w:hAnsi="宋体" w:eastAsia="宋体" w:cs="宋体"/>
                <w:color w:val="auto"/>
                <w:kern w:val="0"/>
                <w:sz w:val="21"/>
                <w:szCs w:val="21"/>
                <w:highlight w:val="none"/>
              </w:rPr>
              <w:t>消防设施</w:t>
            </w:r>
            <w:r>
              <w:rPr>
                <w:rFonts w:hint="eastAsia" w:ascii="宋体" w:hAnsi="宋体" w:eastAsia="宋体" w:cs="宋体"/>
                <w:color w:val="auto"/>
                <w:sz w:val="21"/>
                <w:szCs w:val="21"/>
                <w:highlight w:val="none"/>
                <w:lang w:eastAsia="zh-CN"/>
              </w:rPr>
              <w:t>检查情况见</w:t>
            </w:r>
            <w:r>
              <w:rPr>
                <w:rFonts w:hint="eastAsia" w:ascii="宋体" w:hAnsi="宋体" w:eastAsia="宋体" w:cs="宋体"/>
                <w:color w:val="auto"/>
                <w:sz w:val="21"/>
                <w:szCs w:val="21"/>
                <w:highlight w:val="none"/>
                <w:lang w:val="en-US" w:eastAsia="zh-CN"/>
              </w:rPr>
              <w:t>5.1.5；</w:t>
            </w:r>
            <w:r>
              <w:rPr>
                <w:rFonts w:hint="eastAsia" w:ascii="宋体" w:hAnsi="宋体" w:eastAsia="宋体" w:cs="宋体"/>
                <w:color w:val="auto"/>
                <w:kern w:val="0"/>
                <w:sz w:val="21"/>
                <w:szCs w:val="21"/>
                <w:highlight w:val="none"/>
              </w:rPr>
              <w:t>冲淋器、洗眼器</w:t>
            </w:r>
            <w:r>
              <w:rPr>
                <w:rFonts w:hint="eastAsia" w:ascii="宋体" w:hAnsi="宋体" w:eastAsia="宋体" w:cs="宋体"/>
                <w:color w:val="auto"/>
                <w:sz w:val="21"/>
                <w:szCs w:val="21"/>
                <w:highlight w:val="none"/>
                <w:lang w:eastAsia="zh-CN"/>
              </w:rPr>
              <w:t>检查情况见下文。</w:t>
            </w:r>
          </w:p>
        </w:tc>
        <w:tc>
          <w:tcPr>
            <w:tcW w:w="374" w:type="pct"/>
            <w:noWrap w:val="0"/>
            <w:vAlign w:val="center"/>
          </w:tcPr>
          <w:p w14:paraId="45AE69A0">
            <w:pPr>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50D86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8D0AED2">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5C503AD4">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有可能发生化学性灼伤及经皮肤黏膜吸收引起急性中毒的工作地点或车间，应根据可能产生或存在的职业性有害因素及其危害特点，在工作地点就近设置现场应急处理设施。急救设施应包括：不断水的冲淋、洗眼设施；气体防护柜；个人防护用品；急救包或急救箱以及急救药品；转运病人的担架和装置；急救处理的设施以及应急救援通讯设备等。</w:t>
            </w:r>
          </w:p>
        </w:tc>
        <w:tc>
          <w:tcPr>
            <w:tcW w:w="785" w:type="pct"/>
            <w:noWrap w:val="0"/>
            <w:vAlign w:val="center"/>
          </w:tcPr>
          <w:p w14:paraId="517CC93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《工业企业设计卫生标准》GBZ1-2010第8.3条</w:t>
            </w:r>
          </w:p>
        </w:tc>
        <w:tc>
          <w:tcPr>
            <w:tcW w:w="1295" w:type="pct"/>
            <w:noWrap w:val="0"/>
            <w:vAlign w:val="center"/>
          </w:tcPr>
          <w:p w14:paraId="40612F62">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eastAsia="zh-CN"/>
              </w:rPr>
              <w:t>设置了</w:t>
            </w:r>
            <w:r>
              <w:rPr>
                <w:rFonts w:hint="eastAsia" w:ascii="宋体" w:hAnsi="宋体" w:eastAsia="宋体" w:cs="宋体"/>
                <w:color w:val="auto"/>
                <w:kern w:val="0"/>
                <w:sz w:val="21"/>
                <w:szCs w:val="21"/>
                <w:highlight w:val="none"/>
              </w:rPr>
              <w:t>不断水的冲淋、洗眼设施</w:t>
            </w:r>
            <w:r>
              <w:rPr>
                <w:rFonts w:hint="eastAsia" w:ascii="宋体" w:hAnsi="宋体" w:eastAsia="宋体" w:cs="宋体"/>
                <w:color w:val="auto"/>
                <w:kern w:val="0"/>
                <w:sz w:val="21"/>
                <w:szCs w:val="21"/>
                <w:highlight w:val="none"/>
                <w:lang w:eastAsia="zh-CN"/>
              </w:rPr>
              <w:t>等</w:t>
            </w:r>
            <w:r>
              <w:rPr>
                <w:rFonts w:hint="eastAsia" w:ascii="宋体" w:hAnsi="宋体" w:eastAsia="宋体" w:cs="宋体"/>
                <w:color w:val="auto"/>
                <w:kern w:val="0"/>
                <w:sz w:val="21"/>
                <w:szCs w:val="21"/>
                <w:highlight w:val="none"/>
              </w:rPr>
              <w:t>应急处理设施</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4008CB98">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1B528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44D1DCA9">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5476B9F">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甲、乙类易燃易爆危险化学品仓库入口处外侧应设置人体静电导除装置。</w:t>
            </w:r>
          </w:p>
        </w:tc>
        <w:tc>
          <w:tcPr>
            <w:tcW w:w="785" w:type="pct"/>
            <w:noWrap w:val="0"/>
            <w:vAlign w:val="center"/>
          </w:tcPr>
          <w:p w14:paraId="4E4DEB4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第8.1.9条</w:t>
            </w:r>
          </w:p>
        </w:tc>
        <w:tc>
          <w:tcPr>
            <w:tcW w:w="1295" w:type="pct"/>
            <w:noWrap w:val="0"/>
            <w:vAlign w:val="center"/>
          </w:tcPr>
          <w:p w14:paraId="7D504E13">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CN"/>
              </w:rPr>
              <w:t>危化品</w:t>
            </w:r>
            <w:r>
              <w:rPr>
                <w:rFonts w:hint="eastAsia" w:ascii="宋体" w:hAnsi="宋体" w:eastAsia="宋体" w:cs="宋体"/>
                <w:color w:val="auto"/>
                <w:kern w:val="0"/>
                <w:sz w:val="21"/>
                <w:szCs w:val="21"/>
                <w:highlight w:val="none"/>
              </w:rPr>
              <w:t>仓库入口处外侧设置</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人体静电导除装置。</w:t>
            </w:r>
          </w:p>
        </w:tc>
        <w:tc>
          <w:tcPr>
            <w:tcW w:w="374" w:type="pct"/>
            <w:noWrap w:val="0"/>
            <w:vAlign w:val="center"/>
          </w:tcPr>
          <w:p w14:paraId="77943BD5">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62DCF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45B9130F">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FD3610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危险化学品液体仓库（中间仓库）应设置防止液体流散的设施。储存遇湿会发生燃烧爆炸的危险化学品时，应采取防止水浸渍措施。储存甲、乙类危险化学品和对太阳光敏感的危险化学品时，仓库的门、窗、通风孔等应采取遮光措施。</w:t>
            </w:r>
          </w:p>
        </w:tc>
        <w:tc>
          <w:tcPr>
            <w:tcW w:w="785" w:type="pct"/>
            <w:noWrap w:val="0"/>
            <w:vAlign w:val="center"/>
          </w:tcPr>
          <w:p w14:paraId="24B29C3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第8.1.10条</w:t>
            </w:r>
          </w:p>
        </w:tc>
        <w:tc>
          <w:tcPr>
            <w:tcW w:w="1295" w:type="pct"/>
            <w:noWrap w:val="0"/>
            <w:vAlign w:val="center"/>
          </w:tcPr>
          <w:p w14:paraId="7DDB1086">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CN"/>
              </w:rPr>
              <w:t>设置了</w:t>
            </w:r>
            <w:r>
              <w:rPr>
                <w:rFonts w:hint="eastAsia" w:ascii="宋体" w:hAnsi="宋体" w:eastAsia="宋体" w:cs="宋体"/>
                <w:color w:val="auto"/>
                <w:kern w:val="0"/>
                <w:sz w:val="21"/>
                <w:szCs w:val="21"/>
                <w:highlight w:val="none"/>
              </w:rPr>
              <w:t>防止液体流散的设施</w:t>
            </w:r>
            <w:r>
              <w:rPr>
                <w:rFonts w:hint="eastAsia" w:ascii="宋体" w:hAnsi="宋体" w:eastAsia="宋体" w:cs="宋体"/>
                <w:color w:val="auto"/>
                <w:kern w:val="0"/>
                <w:sz w:val="21"/>
                <w:szCs w:val="21"/>
                <w:highlight w:val="none"/>
                <w:lang w:eastAsia="zh-CN"/>
              </w:rPr>
              <w:t>（围堰、防泄漏托盘、收集沟）。</w:t>
            </w:r>
            <w:r>
              <w:rPr>
                <w:rFonts w:hint="eastAsia" w:ascii="宋体" w:hAnsi="宋体" w:eastAsia="宋体" w:cs="宋体"/>
                <w:color w:val="auto"/>
                <w:kern w:val="0"/>
                <w:sz w:val="21"/>
                <w:szCs w:val="21"/>
                <w:highlight w:val="none"/>
              </w:rPr>
              <w:t>窗</w:t>
            </w:r>
            <w:r>
              <w:rPr>
                <w:rFonts w:hint="eastAsia" w:ascii="宋体" w:hAnsi="宋体" w:eastAsia="宋体" w:cs="宋体"/>
                <w:color w:val="auto"/>
                <w:kern w:val="0"/>
                <w:sz w:val="21"/>
                <w:szCs w:val="21"/>
                <w:highlight w:val="none"/>
                <w:lang w:eastAsia="zh-CN"/>
              </w:rPr>
              <w:t>户</w:t>
            </w:r>
            <w:r>
              <w:rPr>
                <w:rFonts w:hint="eastAsia" w:ascii="宋体" w:hAnsi="宋体" w:eastAsia="宋体" w:cs="宋体"/>
                <w:color w:val="auto"/>
                <w:kern w:val="0"/>
                <w:sz w:val="21"/>
                <w:szCs w:val="21"/>
                <w:highlight w:val="none"/>
              </w:rPr>
              <w:t>采取</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遮光措施</w:t>
            </w:r>
            <w:r>
              <w:rPr>
                <w:rFonts w:hint="eastAsia" w:ascii="宋体" w:hAnsi="宋体" w:eastAsia="宋体" w:cs="宋体"/>
                <w:color w:val="auto"/>
                <w:kern w:val="0"/>
                <w:sz w:val="21"/>
                <w:szCs w:val="21"/>
                <w:highlight w:val="none"/>
                <w:lang w:eastAsia="zh-CN"/>
              </w:rPr>
              <w:t>（窗帘）</w:t>
            </w:r>
            <w:r>
              <w:rPr>
                <w:rFonts w:hint="eastAsia" w:ascii="宋体" w:hAnsi="宋体" w:eastAsia="宋体" w:cs="宋体"/>
                <w:color w:val="auto"/>
                <w:kern w:val="0"/>
                <w:sz w:val="21"/>
                <w:szCs w:val="21"/>
                <w:highlight w:val="none"/>
              </w:rPr>
              <w:t>。</w:t>
            </w:r>
          </w:p>
        </w:tc>
        <w:tc>
          <w:tcPr>
            <w:tcW w:w="374" w:type="pct"/>
            <w:noWrap w:val="0"/>
            <w:vAlign w:val="center"/>
          </w:tcPr>
          <w:p w14:paraId="7E398EF8">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2AAD0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E8105C0">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57D2745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危险化学品应按规范分区分类储存，不得超量、超品种储存，相互禁忌物质不得混存混放。同一库房内隔离储存的危险化学品应设置明显的标志，危险化学品包装上应粘贴或者拴挂与包装内物品相符的化学品安全标签。库房内严禁分（换）装、拆分、开箱（袋）、开桶（瓶）和调配等作业。</w:t>
            </w:r>
          </w:p>
        </w:tc>
        <w:tc>
          <w:tcPr>
            <w:tcW w:w="785" w:type="pct"/>
            <w:noWrap w:val="0"/>
            <w:vAlign w:val="center"/>
          </w:tcPr>
          <w:p w14:paraId="20DA6B2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第8.1.11条</w:t>
            </w:r>
          </w:p>
        </w:tc>
        <w:tc>
          <w:tcPr>
            <w:tcW w:w="1295" w:type="pct"/>
            <w:noWrap w:val="0"/>
            <w:vAlign w:val="center"/>
          </w:tcPr>
          <w:p w14:paraId="63806703">
            <w:pPr>
              <w:adjustRightInd w:val="0"/>
              <w:snapToGrid w:val="0"/>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rPr>
              <w:t>相互禁忌物质</w:t>
            </w:r>
            <w:r>
              <w:rPr>
                <w:rFonts w:hint="eastAsia" w:ascii="宋体" w:hAnsi="宋体" w:cs="宋体"/>
                <w:color w:val="auto"/>
                <w:kern w:val="0"/>
                <w:sz w:val="21"/>
                <w:szCs w:val="21"/>
                <w:highlight w:val="none"/>
                <w:lang w:eastAsia="zh-CN"/>
              </w:rPr>
              <w:t>隔开或分离储存</w:t>
            </w:r>
            <w:r>
              <w:rPr>
                <w:rFonts w:hint="eastAsia" w:ascii="宋体" w:hAnsi="宋体" w:eastAsia="宋体" w:cs="宋体"/>
                <w:color w:val="auto"/>
                <w:kern w:val="0"/>
                <w:sz w:val="21"/>
                <w:szCs w:val="21"/>
                <w:highlight w:val="none"/>
              </w:rPr>
              <w:t>。隔离储存的危险化学品设置</w:t>
            </w:r>
            <w:r>
              <w:rPr>
                <w:rFonts w:hint="eastAsia" w:ascii="宋体" w:hAnsi="宋体" w:eastAsia="宋体" w:cs="宋体"/>
                <w:color w:val="auto"/>
                <w:kern w:val="0"/>
                <w:sz w:val="21"/>
                <w:szCs w:val="21"/>
                <w:highlight w:val="none"/>
                <w:lang w:eastAsia="zh-CN"/>
              </w:rPr>
              <w:t>有</w:t>
            </w:r>
            <w:r>
              <w:rPr>
                <w:rFonts w:hint="eastAsia" w:ascii="宋体" w:hAnsi="宋体" w:eastAsia="宋体" w:cs="宋体"/>
                <w:color w:val="auto"/>
                <w:kern w:val="0"/>
                <w:sz w:val="21"/>
                <w:szCs w:val="21"/>
                <w:highlight w:val="none"/>
              </w:rPr>
              <w:t>明显的标志</w:t>
            </w:r>
            <w:r>
              <w:rPr>
                <w:rFonts w:hint="eastAsia" w:ascii="宋体" w:hAnsi="宋体" w:eastAsia="宋体" w:cs="宋体"/>
                <w:color w:val="auto"/>
                <w:kern w:val="0"/>
                <w:sz w:val="21"/>
                <w:szCs w:val="21"/>
                <w:highlight w:val="none"/>
                <w:lang w:val="en-US" w:eastAsia="zh-CN"/>
              </w:rPr>
              <w:t>。</w:t>
            </w:r>
          </w:p>
          <w:p w14:paraId="48C85285">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eastAsia="zh-CN"/>
              </w:rPr>
              <w:t>丙酮、苯乙烯包装桶上未</w:t>
            </w:r>
            <w:r>
              <w:rPr>
                <w:rFonts w:hint="eastAsia" w:ascii="宋体" w:hAnsi="宋体" w:eastAsia="宋体" w:cs="宋体"/>
                <w:color w:val="auto"/>
                <w:kern w:val="0"/>
                <w:sz w:val="21"/>
                <w:szCs w:val="21"/>
                <w:highlight w:val="none"/>
              </w:rPr>
              <w:t>粘贴或者拴挂化学品安全标签。</w:t>
            </w:r>
          </w:p>
          <w:p w14:paraId="2C3F3F55">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rPr>
              <w:t>库房内</w:t>
            </w:r>
            <w:r>
              <w:rPr>
                <w:rFonts w:hint="eastAsia" w:ascii="宋体" w:hAnsi="宋体" w:eastAsia="宋体" w:cs="宋体"/>
                <w:color w:val="auto"/>
                <w:kern w:val="0"/>
                <w:sz w:val="21"/>
                <w:szCs w:val="21"/>
                <w:highlight w:val="none"/>
                <w:lang w:eastAsia="zh-CN"/>
              </w:rPr>
              <w:t>未进行</w:t>
            </w:r>
            <w:r>
              <w:rPr>
                <w:rFonts w:hint="eastAsia" w:ascii="宋体" w:hAnsi="宋体" w:eastAsia="宋体" w:cs="宋体"/>
                <w:color w:val="auto"/>
                <w:kern w:val="0"/>
                <w:sz w:val="21"/>
                <w:szCs w:val="21"/>
                <w:highlight w:val="none"/>
              </w:rPr>
              <w:t>分（换）装、拆分、开箱（袋）、开桶（瓶）和调配等作业。</w:t>
            </w:r>
          </w:p>
        </w:tc>
        <w:tc>
          <w:tcPr>
            <w:tcW w:w="374" w:type="pct"/>
            <w:noWrap w:val="0"/>
            <w:vAlign w:val="center"/>
          </w:tcPr>
          <w:p w14:paraId="7414A635">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6739E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7EAB5E9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6457FA17">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易产生静电的易燃易爆危险化学品不得使用不符合要求的塑料容器储存。</w:t>
            </w:r>
          </w:p>
        </w:tc>
        <w:tc>
          <w:tcPr>
            <w:tcW w:w="785" w:type="pct"/>
            <w:noWrap w:val="0"/>
            <w:vAlign w:val="center"/>
          </w:tcPr>
          <w:p w14:paraId="3BE9CC5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第8.1.13条</w:t>
            </w:r>
          </w:p>
        </w:tc>
        <w:tc>
          <w:tcPr>
            <w:tcW w:w="1295" w:type="pct"/>
            <w:noWrap w:val="0"/>
            <w:vAlign w:val="center"/>
          </w:tcPr>
          <w:p w14:paraId="01867088">
            <w:pPr>
              <w:adjustRightInd w:val="0"/>
              <w:snapToGrid w:val="0"/>
              <w:rPr>
                <w:rFonts w:hint="eastAsia" w:ascii="宋体" w:hAnsi="宋体" w:eastAsia="宋体" w:cs="宋体"/>
                <w:color w:val="auto"/>
                <w:sz w:val="21"/>
                <w:szCs w:val="21"/>
                <w:highlight w:val="none"/>
              </w:rPr>
            </w:pPr>
            <w:r>
              <w:rPr>
                <w:rFonts w:hint="eastAsia" w:ascii="宋体" w:hAnsi="宋体" w:cs="宋体"/>
                <w:color w:val="auto"/>
                <w:kern w:val="0"/>
                <w:sz w:val="21"/>
                <w:szCs w:val="21"/>
                <w:highlight w:val="none"/>
                <w:lang w:eastAsia="zh-CN"/>
              </w:rPr>
              <w:t>易燃液体未</w:t>
            </w:r>
            <w:r>
              <w:rPr>
                <w:rFonts w:hint="eastAsia" w:ascii="宋体" w:hAnsi="宋体" w:eastAsia="宋体" w:cs="宋体"/>
                <w:color w:val="auto"/>
                <w:kern w:val="0"/>
                <w:sz w:val="21"/>
                <w:szCs w:val="21"/>
                <w:highlight w:val="none"/>
              </w:rPr>
              <w:t>使用不符合要求的塑料容器储存</w:t>
            </w:r>
            <w:r>
              <w:rPr>
                <w:rFonts w:hint="eastAsia" w:ascii="宋体" w:hAnsi="宋体" w:eastAsia="宋体" w:cs="宋体"/>
                <w:color w:val="auto"/>
                <w:sz w:val="21"/>
                <w:szCs w:val="21"/>
                <w:highlight w:val="none"/>
                <w:lang w:eastAsia="zh-CN"/>
              </w:rPr>
              <w:t>。</w:t>
            </w:r>
          </w:p>
        </w:tc>
        <w:tc>
          <w:tcPr>
            <w:tcW w:w="374" w:type="pct"/>
            <w:noWrap w:val="0"/>
            <w:vAlign w:val="center"/>
          </w:tcPr>
          <w:p w14:paraId="2FB59DA8">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2450C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1454EFC9">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645F98EB">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剧毒化学品、易制爆危险化学品仓库（中间仓库）应采用双人双锁管理，并安装机械防盗锁和视频监控装置。</w:t>
            </w:r>
          </w:p>
        </w:tc>
        <w:tc>
          <w:tcPr>
            <w:tcW w:w="785" w:type="pct"/>
            <w:noWrap w:val="0"/>
            <w:vAlign w:val="center"/>
          </w:tcPr>
          <w:p w14:paraId="79F8A56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第8.1.14条</w:t>
            </w:r>
          </w:p>
        </w:tc>
        <w:tc>
          <w:tcPr>
            <w:tcW w:w="1295" w:type="pct"/>
            <w:noWrap w:val="0"/>
            <w:vAlign w:val="center"/>
          </w:tcPr>
          <w:p w14:paraId="44127E20">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5号仓储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用于储存过氧化甲乙酮、过氧化二苯甲酰和双氧水</w:t>
            </w: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号仓储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用于储存</w:t>
            </w:r>
            <w:r>
              <w:rPr>
                <w:rFonts w:hint="eastAsia" w:ascii="宋体" w:hAnsi="宋体" w:cs="宋体"/>
                <w:color w:val="auto"/>
                <w:sz w:val="21"/>
                <w:szCs w:val="21"/>
                <w:highlight w:val="none"/>
                <w:lang w:eastAsia="zh-CN"/>
              </w:rPr>
              <w:t>硝酸银和</w:t>
            </w:r>
            <w:r>
              <w:rPr>
                <w:rFonts w:hint="eastAsia" w:ascii="宋体" w:hAnsi="宋体" w:cs="宋体"/>
                <w:color w:val="auto"/>
                <w:szCs w:val="21"/>
                <w:highlight w:val="none"/>
              </w:rPr>
              <w:t>六亚甲基四胺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kern w:val="0"/>
                <w:sz w:val="21"/>
                <w:szCs w:val="21"/>
                <w:highlight w:val="none"/>
              </w:rPr>
              <w:t>采用双人双锁管理，并安装</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机械防盗锁和视频监控装置。</w:t>
            </w:r>
          </w:p>
        </w:tc>
        <w:tc>
          <w:tcPr>
            <w:tcW w:w="374" w:type="pct"/>
            <w:noWrap w:val="0"/>
            <w:vAlign w:val="center"/>
          </w:tcPr>
          <w:p w14:paraId="561DEB95">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1F8F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E64AB1F">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A129146">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危险化学品仓库（中间仓库）内应设置温湿度计并每日记录，库房内温湿度应保持在规定范围之内。</w:t>
            </w:r>
          </w:p>
        </w:tc>
        <w:tc>
          <w:tcPr>
            <w:tcW w:w="785" w:type="pct"/>
            <w:noWrap w:val="0"/>
            <w:vAlign w:val="center"/>
          </w:tcPr>
          <w:p w14:paraId="1EA9261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第8.1.15条</w:t>
            </w:r>
          </w:p>
        </w:tc>
        <w:tc>
          <w:tcPr>
            <w:tcW w:w="1295" w:type="pct"/>
            <w:noWrap w:val="0"/>
            <w:vAlign w:val="center"/>
          </w:tcPr>
          <w:p w14:paraId="4F172829">
            <w:pPr>
              <w:adjustRightInd w:val="0"/>
              <w:snapToGrid w:val="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1号仓储和5号仓储未设置</w:t>
            </w:r>
            <w:r>
              <w:rPr>
                <w:rFonts w:hint="eastAsia" w:ascii="宋体" w:hAnsi="宋体" w:eastAsia="宋体" w:cs="宋体"/>
                <w:color w:val="auto"/>
                <w:kern w:val="0"/>
                <w:sz w:val="21"/>
                <w:szCs w:val="21"/>
                <w:highlight w:val="none"/>
              </w:rPr>
              <w:t>温湿度计</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30EF7C4C">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181B3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25C85AC1">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45924B85">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危险化学品仓库（中间库）应按要求设置危险化学品安全标志标识、危险化学品安全周知卡、装卸操作规程等。</w:t>
            </w:r>
          </w:p>
        </w:tc>
        <w:tc>
          <w:tcPr>
            <w:tcW w:w="785" w:type="pct"/>
            <w:noWrap w:val="0"/>
            <w:vAlign w:val="center"/>
          </w:tcPr>
          <w:p w14:paraId="71EBA85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第8.1.16条</w:t>
            </w:r>
          </w:p>
        </w:tc>
        <w:tc>
          <w:tcPr>
            <w:tcW w:w="1295" w:type="pct"/>
            <w:noWrap w:val="0"/>
            <w:vAlign w:val="center"/>
          </w:tcPr>
          <w:p w14:paraId="5F95FF17">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eastAsia="zh-CN"/>
              </w:rPr>
              <w:t>危化品仓库未设置</w:t>
            </w:r>
            <w:r>
              <w:rPr>
                <w:rFonts w:hint="eastAsia" w:ascii="宋体" w:hAnsi="宋体" w:eastAsia="宋体" w:cs="宋体"/>
                <w:color w:val="auto"/>
                <w:kern w:val="0"/>
                <w:sz w:val="21"/>
                <w:szCs w:val="21"/>
                <w:highlight w:val="none"/>
              </w:rPr>
              <w:t>装卸操作规程</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56929A04">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1F599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77F7C991">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EAACC69">
            <w:pPr>
              <w:adjustRightInd w:val="0"/>
              <w:snapToGrid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危险化学品仓库应采用隔离储存、隔开储存、分离储存的方式对危险化学品进行储存。</w:t>
            </w:r>
          </w:p>
        </w:tc>
        <w:tc>
          <w:tcPr>
            <w:tcW w:w="785" w:type="pct"/>
            <w:noWrap w:val="0"/>
            <w:vAlign w:val="center"/>
          </w:tcPr>
          <w:p w14:paraId="3FDBBB42">
            <w:pPr>
              <w:adjustRightInd w:val="0"/>
              <w:snapToGrid w:val="0"/>
              <w:jc w:val="center"/>
              <w:rPr>
                <w:rFonts w:hint="eastAsia" w:ascii="宋体" w:hAnsi="宋体" w:eastAsia="宋体" w:cs="宋体"/>
                <w:color w:val="auto"/>
                <w:kern w:val="2"/>
                <w:sz w:val="21"/>
                <w:szCs w:val="21"/>
                <w:highlight w:val="none"/>
                <w:lang w:val="en-US" w:eastAsia="zh-Hans" w:bidi="ar-SA"/>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5.l</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640275E0">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采用隔离储存、隔开储存、分离储存的方式对危险化学品进行储存。</w:t>
            </w:r>
          </w:p>
        </w:tc>
        <w:tc>
          <w:tcPr>
            <w:tcW w:w="374" w:type="pct"/>
            <w:noWrap w:val="0"/>
            <w:vAlign w:val="center"/>
          </w:tcPr>
          <w:p w14:paraId="10D5AAD1">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1AE86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49DB76DE">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6581B1B0">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应选择符合危险化学品的特性、防火要求及化学品安全技术说明书中储存要求的仓储设施进行储存。</w:t>
            </w:r>
          </w:p>
        </w:tc>
        <w:tc>
          <w:tcPr>
            <w:tcW w:w="785" w:type="pct"/>
            <w:noWrap w:val="0"/>
            <w:vAlign w:val="center"/>
          </w:tcPr>
          <w:p w14:paraId="59F8CA6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5.2</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1DA90A80">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储存在危化品仓库中。</w:t>
            </w:r>
          </w:p>
        </w:tc>
        <w:tc>
          <w:tcPr>
            <w:tcW w:w="374" w:type="pct"/>
            <w:noWrap w:val="0"/>
            <w:vAlign w:val="center"/>
          </w:tcPr>
          <w:p w14:paraId="1A78D3B7">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EA6D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76067589">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517308F9">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危险化学品储存应满足危险化学品分类、包装、储存方式及消防要求。</w:t>
            </w:r>
          </w:p>
        </w:tc>
        <w:tc>
          <w:tcPr>
            <w:tcW w:w="785" w:type="pct"/>
            <w:noWrap w:val="0"/>
            <w:vAlign w:val="center"/>
          </w:tcPr>
          <w:p w14:paraId="4F812B0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5.4</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6A43E8BA">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sz w:val="21"/>
                <w:szCs w:val="21"/>
                <w:highlight w:val="none"/>
                <w:lang w:eastAsia="zh-CN"/>
              </w:rPr>
              <w:t>满足要求</w:t>
            </w:r>
            <w:r>
              <w:rPr>
                <w:rFonts w:hint="eastAsia" w:ascii="宋体" w:hAnsi="宋体" w:eastAsia="宋体" w:cs="宋体"/>
                <w:color w:val="auto"/>
                <w:sz w:val="21"/>
                <w:szCs w:val="21"/>
                <w:highlight w:val="none"/>
                <w:lang w:eastAsia="zh-CN"/>
              </w:rPr>
              <w:t>。</w:t>
            </w:r>
          </w:p>
        </w:tc>
        <w:tc>
          <w:tcPr>
            <w:tcW w:w="374" w:type="pct"/>
            <w:noWrap w:val="0"/>
            <w:vAlign w:val="center"/>
          </w:tcPr>
          <w:p w14:paraId="64C4C27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符合</w:t>
            </w:r>
          </w:p>
        </w:tc>
      </w:tr>
      <w:tr w14:paraId="33BA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7EA6EFE4">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3A6741C">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危险化学品的储存配存</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应符合附录A及其化学品安全技术说明书的要求。</w:t>
            </w:r>
          </w:p>
        </w:tc>
        <w:tc>
          <w:tcPr>
            <w:tcW w:w="785" w:type="pct"/>
            <w:noWrap w:val="0"/>
            <w:vAlign w:val="center"/>
          </w:tcPr>
          <w:p w14:paraId="6038534E">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5.5</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76F81002">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危险化学品的储存配存</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符合附录A及其化学品安全技术说明书的要求。</w:t>
            </w:r>
          </w:p>
        </w:tc>
        <w:tc>
          <w:tcPr>
            <w:tcW w:w="374" w:type="pct"/>
            <w:noWrap w:val="0"/>
            <w:vAlign w:val="center"/>
          </w:tcPr>
          <w:p w14:paraId="1AAF44AE">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36113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52CCF713">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47424F56">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剧毒化学品、易燃气体、氧化性气体、急性毒性气体、遇水放出易燃气体的物质和混合物、氯酸盐、高锰酸盐、亚硝酸盐、过氧化钠、过氧化氢、溴素应分离储存。</w:t>
            </w:r>
          </w:p>
        </w:tc>
        <w:tc>
          <w:tcPr>
            <w:tcW w:w="785" w:type="pct"/>
            <w:noWrap w:val="0"/>
            <w:vAlign w:val="center"/>
          </w:tcPr>
          <w:p w14:paraId="1A717DA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5.9</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4261843C">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双氧水未分离储存。</w:t>
            </w:r>
          </w:p>
        </w:tc>
        <w:tc>
          <w:tcPr>
            <w:tcW w:w="374" w:type="pct"/>
            <w:noWrap w:val="0"/>
            <w:vAlign w:val="center"/>
          </w:tcPr>
          <w:p w14:paraId="6BCF3627">
            <w:pPr>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不符合</w:t>
            </w:r>
          </w:p>
        </w:tc>
      </w:tr>
      <w:tr w14:paraId="2ACA8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1A5BFCD8">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1B8CCDF2">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剧毒化学品、监控化学品、易制毒化学品、易制爆危险化学品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应按规定将储存地点、储存数量、流向及管理人员的情况报相关部门备案</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剧毒化学品以及构成重大危险源的危险化学品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应在专用仓库内单独存放</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并实行双人收发、双人保管制度。</w:t>
            </w:r>
          </w:p>
        </w:tc>
        <w:tc>
          <w:tcPr>
            <w:tcW w:w="785" w:type="pct"/>
            <w:noWrap w:val="0"/>
            <w:vAlign w:val="center"/>
          </w:tcPr>
          <w:p w14:paraId="5EBCEAD0">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5.l0</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6E17D07F">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易制毒化学品、易制爆危险化学品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按规定将储存地点、储存数量、流向及管理人员的情况报相关部门备案</w:t>
            </w:r>
            <w:r>
              <w:rPr>
                <w:rFonts w:hint="eastAsia" w:ascii="宋体" w:hAnsi="宋体" w:eastAsia="宋体" w:cs="宋体"/>
                <w:color w:val="auto"/>
                <w:sz w:val="21"/>
                <w:szCs w:val="21"/>
                <w:highlight w:val="none"/>
                <w:lang w:eastAsia="zh-CN"/>
              </w:rPr>
              <w:t>。</w:t>
            </w:r>
          </w:p>
        </w:tc>
        <w:tc>
          <w:tcPr>
            <w:tcW w:w="374" w:type="pct"/>
            <w:noWrap w:val="0"/>
            <w:vAlign w:val="center"/>
          </w:tcPr>
          <w:p w14:paraId="05688E37">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4AF6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1AE7F863">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47789F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应按照化学品安全技术说明书及装卸要求进行作业。</w:t>
            </w:r>
          </w:p>
        </w:tc>
        <w:tc>
          <w:tcPr>
            <w:tcW w:w="785" w:type="pct"/>
            <w:noWrap w:val="0"/>
            <w:vAlign w:val="center"/>
          </w:tcPr>
          <w:p w14:paraId="2FEB51D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6.l.l</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3056E0AA">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按照化学品安全技术说明书及装卸要求进行作业。</w:t>
            </w:r>
          </w:p>
        </w:tc>
        <w:tc>
          <w:tcPr>
            <w:tcW w:w="374" w:type="pct"/>
            <w:noWrap w:val="0"/>
            <w:vAlign w:val="center"/>
          </w:tcPr>
          <w:p w14:paraId="44648C6D">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331B8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4666F35B">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65EB635">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应做到轻拿轻放</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不应拖拉、翻滚、撞击、摩擦、摔扔、挤压等。</w:t>
            </w:r>
          </w:p>
        </w:tc>
        <w:tc>
          <w:tcPr>
            <w:tcW w:w="785" w:type="pct"/>
            <w:noWrap w:val="0"/>
            <w:vAlign w:val="center"/>
          </w:tcPr>
          <w:p w14:paraId="61CBF59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6.l.2</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116BBFC8">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轻拿轻放</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eastAsia="zh-CN"/>
              </w:rPr>
              <w:t>未</w:t>
            </w:r>
            <w:r>
              <w:rPr>
                <w:rFonts w:hint="eastAsia" w:ascii="宋体" w:hAnsi="宋体" w:eastAsia="宋体" w:cs="宋体"/>
                <w:color w:val="auto"/>
                <w:sz w:val="21"/>
                <w:szCs w:val="21"/>
                <w:highlight w:val="none"/>
              </w:rPr>
              <w:t>拖拉、翻滚、撞击、摩擦、摔扔、挤压等。</w:t>
            </w:r>
          </w:p>
        </w:tc>
        <w:tc>
          <w:tcPr>
            <w:tcW w:w="374" w:type="pct"/>
            <w:noWrap w:val="0"/>
            <w:vAlign w:val="center"/>
          </w:tcPr>
          <w:p w14:paraId="284CEDB1">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08397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F893725">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61C82EC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危险化学品堆码应整齐、牢固、无倒置</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不应遮挡消防设备、安全设施、安全标志和通道。</w:t>
            </w:r>
          </w:p>
        </w:tc>
        <w:tc>
          <w:tcPr>
            <w:tcW w:w="785" w:type="pct"/>
            <w:noWrap w:val="0"/>
            <w:vAlign w:val="center"/>
          </w:tcPr>
          <w:p w14:paraId="2F33E5A0">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6.2.l</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744274CE">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堆码整齐、牢固、无倒置</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eastAsia="zh-CN"/>
              </w:rPr>
              <w:t>未</w:t>
            </w:r>
            <w:r>
              <w:rPr>
                <w:rFonts w:hint="eastAsia" w:ascii="宋体" w:hAnsi="宋体" w:eastAsia="宋体" w:cs="宋体"/>
                <w:color w:val="auto"/>
                <w:sz w:val="21"/>
                <w:szCs w:val="21"/>
                <w:highlight w:val="none"/>
              </w:rPr>
              <w:t>遮挡消防设备、安全设施、安全标志和通道。</w:t>
            </w:r>
          </w:p>
        </w:tc>
        <w:tc>
          <w:tcPr>
            <w:tcW w:w="374" w:type="pct"/>
            <w:noWrap w:val="0"/>
            <w:vAlign w:val="center"/>
          </w:tcPr>
          <w:p w14:paraId="6685DA90">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18840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252171AF">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65876F8">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除200L及以上的钢桶、气体钢瓶外</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其他包装的危险化学品不应直接与地面接触</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垫底高度不小于10cm。</w:t>
            </w:r>
          </w:p>
        </w:tc>
        <w:tc>
          <w:tcPr>
            <w:tcW w:w="785" w:type="pct"/>
            <w:noWrap w:val="0"/>
            <w:vAlign w:val="center"/>
          </w:tcPr>
          <w:p w14:paraId="3C4D0B2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6.2.2</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0D83A652">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盐酸、过氧化二苯甲酰、过氧化甲乙酮、双氧水、</w:t>
            </w:r>
            <w:r>
              <w:rPr>
                <w:rFonts w:hint="eastAsia" w:ascii="宋体" w:hAnsi="宋体" w:eastAsia="宋体" w:cs="宋体"/>
                <w:color w:val="auto"/>
                <w:kern w:val="0"/>
                <w:sz w:val="21"/>
                <w:szCs w:val="21"/>
                <w:highlight w:val="none"/>
                <w:lang w:eastAsia="zh-CN"/>
              </w:rPr>
              <w:t>钴盐、</w:t>
            </w:r>
            <w:r>
              <w:rPr>
                <w:rFonts w:hint="eastAsia" w:ascii="宋体" w:hAnsi="宋体" w:eastAsia="宋体" w:cs="宋体"/>
                <w:color w:val="auto"/>
                <w:kern w:val="0"/>
                <w:sz w:val="21"/>
                <w:szCs w:val="21"/>
                <w:highlight w:val="none"/>
              </w:rPr>
              <w:t>油漆、稀释剂、固化剂</w:t>
            </w:r>
            <w:r>
              <w:rPr>
                <w:rFonts w:hint="eastAsia" w:ascii="宋体" w:hAnsi="宋体" w:eastAsia="宋体" w:cs="宋体"/>
                <w:color w:val="auto"/>
                <w:sz w:val="21"/>
                <w:szCs w:val="21"/>
                <w:highlight w:val="none"/>
              </w:rPr>
              <w:t>直接与地面接触</w:t>
            </w:r>
            <w:r>
              <w:rPr>
                <w:rFonts w:hint="eastAsia" w:ascii="宋体" w:hAnsi="宋体" w:eastAsia="宋体" w:cs="宋体"/>
                <w:color w:val="auto"/>
                <w:sz w:val="21"/>
                <w:szCs w:val="21"/>
                <w:highlight w:val="none"/>
                <w:lang w:eastAsia="zh-CN"/>
              </w:rPr>
              <w:t>。</w:t>
            </w:r>
          </w:p>
        </w:tc>
        <w:tc>
          <w:tcPr>
            <w:tcW w:w="374" w:type="pct"/>
            <w:noWrap w:val="0"/>
            <w:vAlign w:val="center"/>
          </w:tcPr>
          <w:p w14:paraId="3B44AABA">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不</w:t>
            </w:r>
            <w:r>
              <w:rPr>
                <w:rFonts w:hint="eastAsia" w:ascii="宋体" w:hAnsi="宋体" w:eastAsia="宋体" w:cs="宋体"/>
                <w:color w:val="auto"/>
                <w:sz w:val="21"/>
                <w:szCs w:val="21"/>
                <w:highlight w:val="none"/>
                <w:lang w:eastAsia="zh-CN"/>
              </w:rPr>
              <w:t>符合</w:t>
            </w:r>
          </w:p>
        </w:tc>
      </w:tr>
      <w:tr w14:paraId="39216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72F4777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E5463C5">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堆码应符合包装标志要求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包装无堆码标志的危险化学品堆码高度应不超过3m</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不含托盘等的高度</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w:t>
            </w:r>
          </w:p>
        </w:tc>
        <w:tc>
          <w:tcPr>
            <w:tcW w:w="785" w:type="pct"/>
            <w:noWrap w:val="0"/>
            <w:vAlign w:val="center"/>
          </w:tcPr>
          <w:p w14:paraId="7BEF2B5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6.2.3</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3345BACE">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堆码符合包装标志要求</w:t>
            </w:r>
            <w:r>
              <w:rPr>
                <w:rFonts w:hint="eastAsia" w:ascii="宋体" w:hAnsi="宋体" w:eastAsia="宋体" w:cs="宋体"/>
                <w:color w:val="auto"/>
                <w:sz w:val="21"/>
                <w:szCs w:val="21"/>
                <w:highlight w:val="none"/>
                <w:lang w:eastAsia="zh-CN"/>
              </w:rPr>
              <w:t>。</w:t>
            </w:r>
          </w:p>
        </w:tc>
        <w:tc>
          <w:tcPr>
            <w:tcW w:w="374" w:type="pct"/>
            <w:noWrap w:val="0"/>
            <w:vAlign w:val="center"/>
          </w:tcPr>
          <w:p w14:paraId="4EA8F823">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286FA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AEB9684">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616A4A7F">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采用货架存放时</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应置于托盘上并采取固定措施。</w:t>
            </w:r>
          </w:p>
        </w:tc>
        <w:tc>
          <w:tcPr>
            <w:tcW w:w="785" w:type="pct"/>
            <w:noWrap w:val="0"/>
            <w:vAlign w:val="center"/>
          </w:tcPr>
          <w:p w14:paraId="350D18F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6.2.4</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52687E76">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lang w:eastAsia="zh-CN"/>
              </w:rPr>
              <w:t>未</w:t>
            </w:r>
            <w:r>
              <w:rPr>
                <w:rFonts w:hint="eastAsia" w:ascii="宋体" w:hAnsi="宋体" w:eastAsia="宋体" w:cs="宋体"/>
                <w:color w:val="auto"/>
                <w:sz w:val="21"/>
                <w:szCs w:val="21"/>
                <w:highlight w:val="none"/>
              </w:rPr>
              <w:t>采用货架存放</w:t>
            </w:r>
            <w:r>
              <w:rPr>
                <w:rFonts w:hint="eastAsia" w:ascii="宋体" w:hAnsi="宋体" w:eastAsia="宋体" w:cs="宋体"/>
                <w:color w:val="auto"/>
                <w:sz w:val="21"/>
                <w:szCs w:val="21"/>
                <w:highlight w:val="none"/>
                <w:lang w:eastAsia="zh-CN"/>
              </w:rPr>
              <w:t>。</w:t>
            </w:r>
          </w:p>
        </w:tc>
        <w:tc>
          <w:tcPr>
            <w:tcW w:w="374" w:type="pct"/>
            <w:noWrap w:val="0"/>
            <w:vAlign w:val="center"/>
          </w:tcPr>
          <w:p w14:paraId="77F4F49E">
            <w:pPr>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0AA00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14F53597">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279CCAFF">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仓库堆垛间距应满足以下要求</w:t>
            </w:r>
            <w:r>
              <w:rPr>
                <w:rFonts w:hint="eastAsia" w:ascii="宋体" w:hAnsi="宋体" w:cs="宋体"/>
                <w:color w:val="auto"/>
                <w:sz w:val="21"/>
                <w:szCs w:val="21"/>
                <w:highlight w:val="none"/>
                <w:lang w:eastAsia="zh-CN"/>
              </w:rPr>
              <w:t>：</w:t>
            </w:r>
          </w:p>
          <w:p w14:paraId="5D9489B9">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主通道大于或等于200cm;</w:t>
            </w:r>
          </w:p>
          <w:p w14:paraId="170EBC24">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b</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墙距大于或等于50cm;</w:t>
            </w:r>
          </w:p>
          <w:p w14:paraId="2923736F">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c</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柱距大于或等于30cm;</w:t>
            </w:r>
          </w:p>
          <w:p w14:paraId="352E6B6B">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垛距大于或等于100cm</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每个堆垛的面积不应大于150m</w:t>
            </w:r>
            <w:r>
              <w:rPr>
                <w:rFonts w:hint="eastAsia" w:ascii="宋体" w:hAnsi="宋体" w:eastAsia="宋体" w:cs="宋体"/>
                <w:color w:val="auto"/>
                <w:sz w:val="21"/>
                <w:szCs w:val="21"/>
                <w:highlight w:val="none"/>
                <w:vertAlign w:val="superscript"/>
              </w:rPr>
              <w:t>2</w:t>
            </w:r>
            <w:r>
              <w:rPr>
                <w:rFonts w:hint="eastAsia" w:ascii="宋体" w:hAnsi="宋体" w:cs="宋体"/>
                <w:color w:val="auto"/>
                <w:sz w:val="21"/>
                <w:szCs w:val="21"/>
                <w:highlight w:val="none"/>
                <w:vertAlign w:val="superscript"/>
                <w:lang w:eastAsia="zh-CN"/>
              </w:rPr>
              <w:t>）；</w:t>
            </w:r>
          </w:p>
          <w:p w14:paraId="03ECD3AE">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e</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灯距大于或等于50cm。</w:t>
            </w:r>
          </w:p>
        </w:tc>
        <w:tc>
          <w:tcPr>
            <w:tcW w:w="785" w:type="pct"/>
            <w:noWrap w:val="0"/>
            <w:vAlign w:val="center"/>
          </w:tcPr>
          <w:p w14:paraId="5B907E9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6.2.5</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15A9DF4C">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eastAsia="zh-CN"/>
              </w:rPr>
              <w:t>危化品</w:t>
            </w:r>
            <w:r>
              <w:rPr>
                <w:rFonts w:hint="eastAsia" w:ascii="宋体" w:hAnsi="宋体" w:eastAsia="宋体" w:cs="宋体"/>
                <w:color w:val="auto"/>
                <w:sz w:val="21"/>
                <w:szCs w:val="21"/>
                <w:highlight w:val="none"/>
              </w:rPr>
              <w:t>堆垛墙距</w:t>
            </w:r>
            <w:r>
              <w:rPr>
                <w:rFonts w:hint="eastAsia" w:ascii="宋体" w:hAnsi="宋体" w:eastAsia="宋体" w:cs="宋体"/>
                <w:color w:val="auto"/>
                <w:sz w:val="21"/>
                <w:szCs w:val="21"/>
                <w:highlight w:val="none"/>
                <w:lang w:eastAsia="zh-CN"/>
              </w:rPr>
              <w:t>小于</w:t>
            </w:r>
            <w:r>
              <w:rPr>
                <w:rFonts w:hint="eastAsia" w:ascii="宋体" w:hAnsi="宋体" w:eastAsia="宋体" w:cs="宋体"/>
                <w:color w:val="auto"/>
                <w:sz w:val="21"/>
                <w:szCs w:val="21"/>
                <w:highlight w:val="none"/>
              </w:rPr>
              <w:t>50cm</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柱距</w:t>
            </w:r>
            <w:r>
              <w:rPr>
                <w:rFonts w:hint="eastAsia" w:ascii="宋体" w:hAnsi="宋体" w:eastAsia="宋体" w:cs="宋体"/>
                <w:color w:val="auto"/>
                <w:sz w:val="21"/>
                <w:szCs w:val="21"/>
                <w:highlight w:val="none"/>
                <w:lang w:eastAsia="zh-CN"/>
              </w:rPr>
              <w:t>小于</w:t>
            </w:r>
            <w:r>
              <w:rPr>
                <w:rFonts w:hint="eastAsia" w:ascii="宋体" w:hAnsi="宋体" w:eastAsia="宋体" w:cs="宋体"/>
                <w:color w:val="auto"/>
                <w:sz w:val="21"/>
                <w:szCs w:val="21"/>
                <w:highlight w:val="none"/>
              </w:rPr>
              <w:t>30cm</w:t>
            </w:r>
            <w:r>
              <w:rPr>
                <w:rFonts w:hint="eastAsia" w:ascii="宋体" w:hAnsi="宋体" w:eastAsia="宋体" w:cs="宋体"/>
                <w:color w:val="auto"/>
                <w:sz w:val="21"/>
                <w:szCs w:val="21"/>
                <w:highlight w:val="none"/>
                <w:lang w:eastAsia="zh-CN"/>
              </w:rPr>
              <w:t>。</w:t>
            </w:r>
          </w:p>
        </w:tc>
        <w:tc>
          <w:tcPr>
            <w:tcW w:w="374" w:type="pct"/>
            <w:noWrap w:val="0"/>
            <w:vAlign w:val="center"/>
          </w:tcPr>
          <w:p w14:paraId="75E5B51A">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14D00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52D604C2">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44ECC0F9">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入库前应做好储存位置、搬运工具、加固材料、防护装备、交接清单的准备。</w:t>
            </w:r>
          </w:p>
        </w:tc>
        <w:tc>
          <w:tcPr>
            <w:tcW w:w="785" w:type="pct"/>
            <w:noWrap w:val="0"/>
            <w:vAlign w:val="center"/>
          </w:tcPr>
          <w:p w14:paraId="5D70558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7.l</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7053730A">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入库前做好准备</w:t>
            </w:r>
            <w:r>
              <w:rPr>
                <w:rFonts w:hint="eastAsia" w:ascii="宋体" w:hAnsi="宋体" w:eastAsia="宋体" w:cs="宋体"/>
                <w:color w:val="auto"/>
                <w:sz w:val="21"/>
                <w:szCs w:val="21"/>
                <w:highlight w:val="none"/>
                <w:lang w:eastAsia="zh-CN"/>
              </w:rPr>
              <w:t>工作。</w:t>
            </w:r>
          </w:p>
        </w:tc>
        <w:tc>
          <w:tcPr>
            <w:tcW w:w="374" w:type="pct"/>
            <w:noWrap w:val="0"/>
            <w:vAlign w:val="center"/>
          </w:tcPr>
          <w:p w14:paraId="33A48996">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47D2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15C1D80B">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290053B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应对入库危险化学品的品名、规格、数量与入库信息或单据的一致性进行查验。</w:t>
            </w:r>
          </w:p>
        </w:tc>
        <w:tc>
          <w:tcPr>
            <w:tcW w:w="785" w:type="pct"/>
            <w:noWrap w:val="0"/>
            <w:vAlign w:val="center"/>
          </w:tcPr>
          <w:p w14:paraId="7001EDF0">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7.3</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1D95AD2D">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对入库危险化学品的品名、规格、数量与入库信息或单据的一致性进行查验。</w:t>
            </w:r>
          </w:p>
        </w:tc>
        <w:tc>
          <w:tcPr>
            <w:tcW w:w="374" w:type="pct"/>
            <w:noWrap w:val="0"/>
            <w:vAlign w:val="center"/>
          </w:tcPr>
          <w:p w14:paraId="4FD57F26">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0A0E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07B47D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64A63637">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入库物品的包装应完好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标志、安全标签应规范、清晰。</w:t>
            </w:r>
          </w:p>
        </w:tc>
        <w:tc>
          <w:tcPr>
            <w:tcW w:w="785" w:type="pct"/>
            <w:noWrap w:val="0"/>
            <w:vAlign w:val="center"/>
          </w:tcPr>
          <w:p w14:paraId="606475D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7.4</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64EB9A69">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eastAsia="zh-CN"/>
              </w:rPr>
              <w:t>丙酮、苯乙烯包装桶上未</w:t>
            </w:r>
            <w:r>
              <w:rPr>
                <w:rFonts w:hint="eastAsia" w:ascii="宋体" w:hAnsi="宋体" w:eastAsia="宋体" w:cs="宋体"/>
                <w:color w:val="auto"/>
                <w:kern w:val="0"/>
                <w:sz w:val="21"/>
                <w:szCs w:val="21"/>
                <w:highlight w:val="none"/>
              </w:rPr>
              <w:t>粘贴或者拴挂化学品安全标签。</w:t>
            </w:r>
          </w:p>
        </w:tc>
        <w:tc>
          <w:tcPr>
            <w:tcW w:w="374" w:type="pct"/>
            <w:noWrap w:val="0"/>
            <w:vAlign w:val="center"/>
          </w:tcPr>
          <w:p w14:paraId="7489BFB7">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1322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BB8E66C">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5DACC445">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入库物品应附有中文化学品安全技术说明书和安全标签。</w:t>
            </w:r>
          </w:p>
        </w:tc>
        <w:tc>
          <w:tcPr>
            <w:tcW w:w="785" w:type="pct"/>
            <w:noWrap w:val="0"/>
            <w:vAlign w:val="center"/>
          </w:tcPr>
          <w:p w14:paraId="231320B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7.5</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2FD86C46">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eastAsia="zh-CN"/>
              </w:rPr>
              <w:t>丙酮、苯乙烯包装桶上未</w:t>
            </w:r>
            <w:r>
              <w:rPr>
                <w:rFonts w:hint="eastAsia" w:ascii="宋体" w:hAnsi="宋体" w:eastAsia="宋体" w:cs="宋体"/>
                <w:color w:val="auto"/>
                <w:kern w:val="0"/>
                <w:sz w:val="21"/>
                <w:szCs w:val="21"/>
                <w:highlight w:val="none"/>
              </w:rPr>
              <w:t>粘贴或者拴挂化学品安全标签。</w:t>
            </w:r>
          </w:p>
        </w:tc>
        <w:tc>
          <w:tcPr>
            <w:tcW w:w="374" w:type="pct"/>
            <w:noWrap w:val="0"/>
            <w:vAlign w:val="center"/>
          </w:tcPr>
          <w:p w14:paraId="38C4C26C">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05C81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876753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640AE29A">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入库数量应以实际验收为准。</w:t>
            </w:r>
          </w:p>
        </w:tc>
        <w:tc>
          <w:tcPr>
            <w:tcW w:w="785" w:type="pct"/>
            <w:noWrap w:val="0"/>
            <w:vAlign w:val="center"/>
          </w:tcPr>
          <w:p w14:paraId="5D69362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7.6</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3A2A877F">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入库数量以实际验收为准。</w:t>
            </w:r>
          </w:p>
        </w:tc>
        <w:tc>
          <w:tcPr>
            <w:tcW w:w="374" w:type="pct"/>
            <w:noWrap w:val="0"/>
            <w:vAlign w:val="center"/>
          </w:tcPr>
          <w:p w14:paraId="4B38DA20">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3969A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E22B44C">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49FA0C70">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验收完毕应</w:t>
            </w:r>
            <w:r>
              <w:rPr>
                <w:rFonts w:hint="eastAsia" w:ascii="宋体" w:hAnsi="宋体" w:cs="宋体"/>
                <w:color w:val="auto"/>
                <w:sz w:val="21"/>
                <w:szCs w:val="21"/>
                <w:highlight w:val="none"/>
                <w:lang w:eastAsia="zh-CN"/>
              </w:rPr>
              <w:t>做好</w:t>
            </w:r>
            <w:r>
              <w:rPr>
                <w:rFonts w:hint="eastAsia" w:ascii="宋体" w:hAnsi="宋体" w:eastAsia="宋体" w:cs="宋体"/>
                <w:color w:val="auto"/>
                <w:sz w:val="21"/>
                <w:szCs w:val="21"/>
                <w:highlight w:val="none"/>
              </w:rPr>
              <w:t>记录并归档</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单据保存期限不少于1年。</w:t>
            </w:r>
          </w:p>
        </w:tc>
        <w:tc>
          <w:tcPr>
            <w:tcW w:w="785" w:type="pct"/>
            <w:noWrap w:val="0"/>
            <w:vAlign w:val="center"/>
          </w:tcPr>
          <w:p w14:paraId="28AA956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7.7</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58AD59CE">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eastAsia="zh-CN"/>
              </w:rPr>
              <w:t>有</w:t>
            </w:r>
            <w:r>
              <w:rPr>
                <w:rFonts w:hint="eastAsia" w:ascii="宋体" w:hAnsi="宋体" w:eastAsia="宋体" w:cs="宋体"/>
                <w:color w:val="auto"/>
                <w:sz w:val="21"/>
                <w:szCs w:val="21"/>
                <w:highlight w:val="none"/>
              </w:rPr>
              <w:t>验收记录</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eastAsia="zh-CN"/>
              </w:rPr>
              <w:t>记录</w:t>
            </w:r>
            <w:r>
              <w:rPr>
                <w:rFonts w:hint="eastAsia" w:ascii="宋体" w:hAnsi="宋体" w:eastAsia="宋体" w:cs="宋体"/>
                <w:color w:val="auto"/>
                <w:sz w:val="21"/>
                <w:szCs w:val="21"/>
                <w:highlight w:val="none"/>
              </w:rPr>
              <w:t>保存期限不少于1年。</w:t>
            </w:r>
          </w:p>
        </w:tc>
        <w:tc>
          <w:tcPr>
            <w:tcW w:w="374" w:type="pct"/>
            <w:noWrap w:val="0"/>
            <w:vAlign w:val="center"/>
          </w:tcPr>
          <w:p w14:paraId="34F02A41">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6C75F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119A3810">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C2082CD">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应定期进行盘点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并记录。发现账货不符</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应及时进行处理。</w:t>
            </w:r>
          </w:p>
        </w:tc>
        <w:tc>
          <w:tcPr>
            <w:tcW w:w="785" w:type="pct"/>
            <w:noWrap w:val="0"/>
            <w:vAlign w:val="center"/>
          </w:tcPr>
          <w:p w14:paraId="510A3360">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8.l</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6C146EEA">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定期进行盘点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并记录。</w:t>
            </w:r>
          </w:p>
        </w:tc>
        <w:tc>
          <w:tcPr>
            <w:tcW w:w="374" w:type="pct"/>
            <w:noWrap w:val="0"/>
            <w:vAlign w:val="center"/>
          </w:tcPr>
          <w:p w14:paraId="69AC1EA3">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4F995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260C2688">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1BEF232">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应定期对物品堆码状态、包装及仓库进行检查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并记录。应对检查发现的问题及时进行处理。</w:t>
            </w:r>
          </w:p>
        </w:tc>
        <w:tc>
          <w:tcPr>
            <w:tcW w:w="785" w:type="pct"/>
            <w:noWrap w:val="0"/>
            <w:vAlign w:val="center"/>
          </w:tcPr>
          <w:p w14:paraId="0EB8BE1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8.2</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25E41687">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定期对物品堆码状态、包装及仓库进行检查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并记录。</w:t>
            </w:r>
          </w:p>
        </w:tc>
        <w:tc>
          <w:tcPr>
            <w:tcW w:w="374" w:type="pct"/>
            <w:noWrap w:val="0"/>
            <w:vAlign w:val="center"/>
          </w:tcPr>
          <w:p w14:paraId="69A190AF">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64A22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11A4B88">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4C4E176A">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应根据储存的危险化学品特性和气候条件</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确定每日观测库内温湿度次数</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并记录。</w:t>
            </w:r>
          </w:p>
        </w:tc>
        <w:tc>
          <w:tcPr>
            <w:tcW w:w="785" w:type="pct"/>
            <w:noWrap w:val="0"/>
            <w:vAlign w:val="center"/>
          </w:tcPr>
          <w:p w14:paraId="7707EAC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8.3</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2BF4E337">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1号仓储和5号仓储未设置</w:t>
            </w:r>
            <w:r>
              <w:rPr>
                <w:rFonts w:hint="eastAsia" w:ascii="宋体" w:hAnsi="宋体" w:eastAsia="宋体" w:cs="宋体"/>
                <w:color w:val="auto"/>
                <w:kern w:val="0"/>
                <w:sz w:val="21"/>
                <w:szCs w:val="21"/>
                <w:highlight w:val="none"/>
              </w:rPr>
              <w:t>温湿度计</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0951BD4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不符合</w:t>
            </w:r>
          </w:p>
        </w:tc>
      </w:tr>
      <w:tr w14:paraId="1B92D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CB9F81C">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1527D93D">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应根据储存的危险化学品特性</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正确调节控制库内温湿度。</w:t>
            </w:r>
          </w:p>
        </w:tc>
        <w:tc>
          <w:tcPr>
            <w:tcW w:w="785" w:type="pct"/>
            <w:noWrap w:val="0"/>
            <w:vAlign w:val="center"/>
          </w:tcPr>
          <w:p w14:paraId="3F191642">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8.4</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504B5D1F">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2、3、4、6仓储和</w:t>
            </w:r>
            <w:r>
              <w:rPr>
                <w:rFonts w:hint="eastAsia" w:ascii="宋体" w:hAnsi="宋体" w:eastAsia="宋体" w:cs="宋体"/>
                <w:color w:val="auto"/>
                <w:sz w:val="21"/>
                <w:szCs w:val="21"/>
                <w:highlight w:val="none"/>
                <w:lang w:val="en-US" w:eastAsia="zh-CN"/>
              </w:rPr>
              <w:t>5号仓储设置了防爆空调，</w:t>
            </w:r>
            <w:r>
              <w:rPr>
                <w:rFonts w:hint="eastAsia" w:ascii="宋体" w:hAnsi="宋体" w:eastAsia="宋体" w:cs="宋体"/>
                <w:color w:val="auto"/>
                <w:sz w:val="21"/>
                <w:szCs w:val="21"/>
                <w:highlight w:val="none"/>
              </w:rPr>
              <w:t>正确</w:t>
            </w:r>
            <w:r>
              <w:rPr>
                <w:rFonts w:hint="eastAsia" w:ascii="宋体" w:hAnsi="宋体" w:eastAsia="宋体" w:cs="宋体"/>
                <w:color w:val="auto"/>
                <w:sz w:val="21"/>
                <w:szCs w:val="21"/>
                <w:highlight w:val="none"/>
                <w:lang w:val="en-US" w:eastAsia="zh-CN"/>
              </w:rPr>
              <w:t>调控库内温度。</w:t>
            </w:r>
          </w:p>
        </w:tc>
        <w:tc>
          <w:tcPr>
            <w:tcW w:w="374" w:type="pct"/>
            <w:noWrap w:val="0"/>
            <w:vAlign w:val="center"/>
          </w:tcPr>
          <w:p w14:paraId="280F9789">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3AE6D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12B671B1">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2603EDD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盘点、检查、观测记录应保存不少于1年。</w:t>
            </w:r>
          </w:p>
        </w:tc>
        <w:tc>
          <w:tcPr>
            <w:tcW w:w="785" w:type="pct"/>
            <w:noWrap w:val="0"/>
            <w:vAlign w:val="center"/>
          </w:tcPr>
          <w:p w14:paraId="25BB141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8.5</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6A7CE147">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盘点、检查、观测记录保存不少于1年。</w:t>
            </w:r>
          </w:p>
        </w:tc>
        <w:tc>
          <w:tcPr>
            <w:tcW w:w="374" w:type="pct"/>
            <w:noWrap w:val="0"/>
            <w:vAlign w:val="center"/>
          </w:tcPr>
          <w:p w14:paraId="0761CE30">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7EC2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82CDAE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0D135A3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应在出库作业前</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进行账货核对。</w:t>
            </w:r>
          </w:p>
        </w:tc>
        <w:tc>
          <w:tcPr>
            <w:tcW w:w="785" w:type="pct"/>
            <w:noWrap w:val="0"/>
            <w:vAlign w:val="center"/>
          </w:tcPr>
          <w:p w14:paraId="6E093CB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9.l</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1F8F8608">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在出库作业前</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进行账货核对。</w:t>
            </w:r>
          </w:p>
        </w:tc>
        <w:tc>
          <w:tcPr>
            <w:tcW w:w="374" w:type="pct"/>
            <w:noWrap w:val="0"/>
            <w:vAlign w:val="center"/>
          </w:tcPr>
          <w:p w14:paraId="1FC3938A">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0CA8A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3D3CB189">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6CE29D3E">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应核对出库单据的有效性。发现问题立即与相关方协调处理。</w:t>
            </w:r>
          </w:p>
        </w:tc>
        <w:tc>
          <w:tcPr>
            <w:tcW w:w="785" w:type="pct"/>
            <w:noWrap w:val="0"/>
            <w:vAlign w:val="center"/>
          </w:tcPr>
          <w:p w14:paraId="153E95E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9.2</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7E0820A2">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核对出库单据的有效性。</w:t>
            </w:r>
          </w:p>
        </w:tc>
        <w:tc>
          <w:tcPr>
            <w:tcW w:w="374" w:type="pct"/>
            <w:noWrap w:val="0"/>
            <w:vAlign w:val="center"/>
          </w:tcPr>
          <w:p w14:paraId="1E4DE8FB">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7CA3C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40997707">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129F61B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应做好出库前安全检查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确保包装及标签、标志正确完好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货物捆扎安全牢固。</w:t>
            </w:r>
          </w:p>
        </w:tc>
        <w:tc>
          <w:tcPr>
            <w:tcW w:w="785" w:type="pct"/>
            <w:noWrap w:val="0"/>
            <w:vAlign w:val="center"/>
          </w:tcPr>
          <w:p w14:paraId="07B75E7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9.4</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60284EED">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出库前</w:t>
            </w:r>
            <w:r>
              <w:rPr>
                <w:rFonts w:hint="eastAsia" w:ascii="宋体" w:hAnsi="宋体" w:eastAsia="宋体" w:cs="宋体"/>
                <w:color w:val="auto"/>
                <w:sz w:val="21"/>
                <w:szCs w:val="21"/>
                <w:highlight w:val="none"/>
                <w:lang w:eastAsia="zh-CN"/>
              </w:rPr>
              <w:t>进行</w:t>
            </w:r>
            <w:r>
              <w:rPr>
                <w:rFonts w:hint="eastAsia" w:ascii="宋体" w:hAnsi="宋体" w:eastAsia="宋体" w:cs="宋体"/>
                <w:color w:val="auto"/>
                <w:sz w:val="21"/>
                <w:szCs w:val="21"/>
                <w:highlight w:val="none"/>
              </w:rPr>
              <w:t>安全检查</w:t>
            </w:r>
            <w:r>
              <w:rPr>
                <w:rFonts w:hint="eastAsia" w:ascii="宋体" w:hAnsi="宋体" w:eastAsia="宋体" w:cs="宋体"/>
                <w:color w:val="auto"/>
                <w:sz w:val="21"/>
                <w:szCs w:val="21"/>
                <w:highlight w:val="none"/>
                <w:lang w:eastAsia="zh-CN"/>
              </w:rPr>
              <w:t>。</w:t>
            </w:r>
          </w:p>
        </w:tc>
        <w:tc>
          <w:tcPr>
            <w:tcW w:w="374" w:type="pct"/>
            <w:noWrap w:val="0"/>
            <w:vAlign w:val="center"/>
          </w:tcPr>
          <w:p w14:paraId="165FE140">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4D6A3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140C9442">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45B3882">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出库单据保存期应不少于1年。</w:t>
            </w:r>
          </w:p>
        </w:tc>
        <w:tc>
          <w:tcPr>
            <w:tcW w:w="785" w:type="pct"/>
            <w:noWrap w:val="0"/>
            <w:vAlign w:val="center"/>
          </w:tcPr>
          <w:p w14:paraId="1E39DE7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9.5</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2EF4E297">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出库单据保存期不少于1年。</w:t>
            </w:r>
          </w:p>
        </w:tc>
        <w:tc>
          <w:tcPr>
            <w:tcW w:w="374" w:type="pct"/>
            <w:noWrap w:val="0"/>
            <w:vAlign w:val="center"/>
          </w:tcPr>
          <w:p w14:paraId="31E20E2A">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73B15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3995105F">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25B6557D">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应建立设施、设备、器具检查和维护制度以及仓储日常操作、控制指标等运行制度。</w:t>
            </w:r>
          </w:p>
        </w:tc>
        <w:tc>
          <w:tcPr>
            <w:tcW w:w="785" w:type="pct"/>
            <w:noWrap w:val="0"/>
            <w:vAlign w:val="center"/>
          </w:tcPr>
          <w:p w14:paraId="5333412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11.1.1</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3225313A">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建立</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设备设施安全管理制度</w:t>
            </w:r>
            <w:r>
              <w:rPr>
                <w:rFonts w:hint="eastAsia" w:ascii="宋体" w:hAnsi="宋体" w:eastAsia="宋体" w:cs="宋体"/>
                <w:color w:val="auto"/>
                <w:kern w:val="0"/>
                <w:sz w:val="21"/>
                <w:szCs w:val="21"/>
                <w:highlight w:val="none"/>
                <w:lang w:eastAsia="zh-CN"/>
              </w:rPr>
              <w:t>、危化品仓库管理制度</w:t>
            </w:r>
            <w:r>
              <w:rPr>
                <w:rFonts w:hint="eastAsia" w:ascii="宋体" w:hAnsi="宋体" w:eastAsia="宋体" w:cs="宋体"/>
                <w:color w:val="auto"/>
                <w:sz w:val="21"/>
                <w:szCs w:val="21"/>
                <w:highlight w:val="none"/>
              </w:rPr>
              <w:t>。</w:t>
            </w:r>
          </w:p>
        </w:tc>
        <w:tc>
          <w:tcPr>
            <w:tcW w:w="374" w:type="pct"/>
            <w:noWrap w:val="0"/>
            <w:vAlign w:val="center"/>
          </w:tcPr>
          <w:p w14:paraId="32A76A88">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12C7D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269782D4">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076C1C9">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应与社区及周边企事业单位建立应急联动机制。</w:t>
            </w:r>
          </w:p>
        </w:tc>
        <w:tc>
          <w:tcPr>
            <w:tcW w:w="785" w:type="pct"/>
            <w:noWrap w:val="0"/>
            <w:vAlign w:val="center"/>
          </w:tcPr>
          <w:p w14:paraId="0094923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11.1.2</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52682927">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与社区及周边企事业单位建立应急联动机制。</w:t>
            </w:r>
          </w:p>
        </w:tc>
        <w:tc>
          <w:tcPr>
            <w:tcW w:w="374" w:type="pct"/>
            <w:noWrap w:val="0"/>
            <w:vAlign w:val="center"/>
          </w:tcPr>
          <w:p w14:paraId="0EFC0173">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3BF99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36A1032B">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9ADB18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应建立风险评估制度，并定期进行风险评估。</w:t>
            </w:r>
          </w:p>
        </w:tc>
        <w:tc>
          <w:tcPr>
            <w:tcW w:w="785" w:type="pct"/>
            <w:noWrap w:val="0"/>
            <w:vAlign w:val="center"/>
          </w:tcPr>
          <w:p w14:paraId="118ADD7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11.1.3</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4C2F4388">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建立</w:t>
            </w:r>
            <w:r>
              <w:rPr>
                <w:rFonts w:hint="eastAsia" w:ascii="宋体" w:hAnsi="宋体" w:eastAsia="宋体" w:cs="宋体"/>
                <w:color w:val="auto"/>
                <w:sz w:val="21"/>
                <w:szCs w:val="21"/>
                <w:highlight w:val="none"/>
                <w:lang w:eastAsia="zh-CN"/>
              </w:rPr>
              <w:t>了</w:t>
            </w:r>
            <w:r>
              <w:rPr>
                <w:rFonts w:hint="eastAsia" w:ascii="宋体" w:hAnsi="宋体" w:eastAsia="宋体" w:cs="宋体"/>
                <w:color w:val="auto"/>
                <w:kern w:val="0"/>
                <w:sz w:val="21"/>
                <w:szCs w:val="21"/>
                <w:highlight w:val="none"/>
                <w:lang w:eastAsia="zh-CN"/>
              </w:rPr>
              <w:t>危险源辨识与风险评价程序，定期进行风险评估。</w:t>
            </w:r>
          </w:p>
        </w:tc>
        <w:tc>
          <w:tcPr>
            <w:tcW w:w="374" w:type="pct"/>
            <w:noWrap w:val="0"/>
            <w:vAlign w:val="center"/>
          </w:tcPr>
          <w:p w14:paraId="739F7887">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6E66D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2B214528">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194F1E6">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应建立覆盖全员的应急响应程序，编制危险化学品事故应急预案，至少每半年进行一次演练。</w:t>
            </w:r>
          </w:p>
        </w:tc>
        <w:tc>
          <w:tcPr>
            <w:tcW w:w="785" w:type="pct"/>
            <w:noWrap w:val="0"/>
            <w:vAlign w:val="center"/>
          </w:tcPr>
          <w:p w14:paraId="43A6351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11.1.4</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5B51C975">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bCs w:val="0"/>
                <w:color w:val="auto"/>
                <w:kern w:val="0"/>
                <w:sz w:val="21"/>
                <w:szCs w:val="21"/>
                <w:highlight w:val="none"/>
                <w:lang w:eastAsia="zh-CN"/>
              </w:rPr>
              <w:t>编制有</w:t>
            </w:r>
            <w:r>
              <w:rPr>
                <w:rFonts w:hint="eastAsia" w:ascii="宋体" w:hAnsi="宋体" w:eastAsia="宋体" w:cs="宋体"/>
                <w:bCs w:val="0"/>
                <w:color w:val="auto"/>
                <w:kern w:val="0"/>
                <w:sz w:val="21"/>
                <w:szCs w:val="21"/>
                <w:highlight w:val="none"/>
              </w:rPr>
              <w:t>“火灾应急预案</w:t>
            </w:r>
            <w:r>
              <w:rPr>
                <w:rFonts w:hint="eastAsia" w:ascii="宋体" w:hAnsi="宋体" w:cs="宋体"/>
                <w:bCs w:val="0"/>
                <w:color w:val="auto"/>
                <w:kern w:val="0"/>
                <w:sz w:val="21"/>
                <w:szCs w:val="21"/>
                <w:highlight w:val="none"/>
                <w:lang w:eastAsia="zh-CN"/>
              </w:rPr>
              <w:t>”“</w:t>
            </w:r>
            <w:r>
              <w:rPr>
                <w:rFonts w:hint="eastAsia" w:ascii="宋体" w:hAnsi="宋体" w:eastAsia="宋体" w:cs="宋体"/>
                <w:bCs w:val="0"/>
                <w:color w:val="auto"/>
                <w:kern w:val="0"/>
                <w:sz w:val="21"/>
                <w:szCs w:val="21"/>
                <w:highlight w:val="none"/>
              </w:rPr>
              <w:t>危险化学品事件应急预案”</w:t>
            </w:r>
            <w:r>
              <w:rPr>
                <w:rFonts w:hint="eastAsia" w:ascii="宋体" w:hAnsi="宋体" w:eastAsia="宋体" w:cs="宋体"/>
                <w:bCs w:val="0"/>
                <w:color w:val="auto"/>
                <w:kern w:val="0"/>
                <w:sz w:val="21"/>
                <w:szCs w:val="21"/>
                <w:highlight w:val="none"/>
                <w:lang w:eastAsia="zh-CN"/>
              </w:rPr>
              <w:t>，</w:t>
            </w:r>
            <w:r>
              <w:rPr>
                <w:rFonts w:hint="eastAsia" w:ascii="宋体" w:hAnsi="宋体" w:eastAsia="宋体" w:cs="宋体"/>
                <w:color w:val="auto"/>
                <w:kern w:val="0"/>
                <w:sz w:val="21"/>
                <w:szCs w:val="21"/>
                <w:highlight w:val="none"/>
              </w:rPr>
              <w:t>每半年进行一次演练。</w:t>
            </w:r>
          </w:p>
        </w:tc>
        <w:tc>
          <w:tcPr>
            <w:tcW w:w="374" w:type="pct"/>
            <w:noWrap w:val="0"/>
            <w:vAlign w:val="center"/>
          </w:tcPr>
          <w:p w14:paraId="055F5F4F">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22A3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2D6F21E">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1B1D26E">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储存危险化学品的仓库和作业场所应设置明显的安全标志，并符合GB2894、AQ3047的规定。</w:t>
            </w:r>
          </w:p>
        </w:tc>
        <w:tc>
          <w:tcPr>
            <w:tcW w:w="785" w:type="pct"/>
            <w:noWrap w:val="0"/>
            <w:vAlign w:val="center"/>
          </w:tcPr>
          <w:p w14:paraId="2F8B9F0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11.2.1</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6981953E">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设置</w:t>
            </w:r>
            <w:r>
              <w:rPr>
                <w:rFonts w:hint="eastAsia" w:ascii="宋体" w:hAnsi="宋体" w:eastAsia="宋体" w:cs="宋体"/>
                <w:color w:val="auto"/>
                <w:sz w:val="21"/>
                <w:szCs w:val="21"/>
                <w:highlight w:val="none"/>
                <w:lang w:eastAsia="zh-CN"/>
              </w:rPr>
              <w:t>了</w:t>
            </w:r>
            <w:r>
              <w:rPr>
                <w:rFonts w:hint="eastAsia" w:ascii="宋体" w:hAnsi="宋体" w:eastAsia="宋体" w:cs="宋体"/>
                <w:color w:val="auto"/>
                <w:sz w:val="21"/>
                <w:szCs w:val="21"/>
                <w:highlight w:val="none"/>
              </w:rPr>
              <w:t>明显的安全标志</w:t>
            </w:r>
            <w:r>
              <w:rPr>
                <w:rFonts w:hint="eastAsia" w:ascii="宋体" w:hAnsi="宋体" w:eastAsia="宋体" w:cs="宋体"/>
                <w:color w:val="auto"/>
                <w:sz w:val="21"/>
                <w:szCs w:val="21"/>
                <w:highlight w:val="none"/>
                <w:lang w:eastAsia="zh-CN"/>
              </w:rPr>
              <w:t>。</w:t>
            </w:r>
          </w:p>
        </w:tc>
        <w:tc>
          <w:tcPr>
            <w:tcW w:w="374" w:type="pct"/>
            <w:noWrap w:val="0"/>
            <w:vAlign w:val="center"/>
          </w:tcPr>
          <w:p w14:paraId="5A4CB5F7">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3436F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2A6D11F9">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5AE3EFB5">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库区内严禁吸烟和使用明火。</w:t>
            </w:r>
          </w:p>
        </w:tc>
        <w:tc>
          <w:tcPr>
            <w:tcW w:w="785" w:type="pct"/>
            <w:noWrap w:val="0"/>
            <w:vAlign w:val="center"/>
          </w:tcPr>
          <w:p w14:paraId="1FBDD7D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11.2.2</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71E37F56">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eastAsia="zh-CN"/>
              </w:rPr>
              <w:t>危化品仓库区域</w:t>
            </w:r>
            <w:r>
              <w:rPr>
                <w:rFonts w:hint="eastAsia" w:ascii="宋体" w:hAnsi="宋体" w:eastAsia="宋体" w:cs="宋体"/>
                <w:color w:val="auto"/>
                <w:sz w:val="21"/>
                <w:szCs w:val="21"/>
                <w:highlight w:val="none"/>
              </w:rPr>
              <w:t>内严禁吸烟和使用明火。</w:t>
            </w:r>
          </w:p>
        </w:tc>
        <w:tc>
          <w:tcPr>
            <w:tcW w:w="374" w:type="pct"/>
            <w:noWrap w:val="0"/>
            <w:vAlign w:val="center"/>
          </w:tcPr>
          <w:p w14:paraId="3F6ADE19">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7FF56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21A857ED">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637721E6">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应对进入库区的人员进行登记及安全告知</w:t>
            </w:r>
            <w:r>
              <w:rPr>
                <w:rFonts w:hint="eastAsia" w:ascii="宋体" w:hAnsi="宋体" w:eastAsia="宋体" w:cs="宋体"/>
                <w:color w:val="auto"/>
                <w:sz w:val="21"/>
                <w:szCs w:val="21"/>
                <w:highlight w:val="none"/>
                <w:lang w:eastAsia="zh-CN"/>
              </w:rPr>
              <w:t>。</w:t>
            </w:r>
          </w:p>
        </w:tc>
        <w:tc>
          <w:tcPr>
            <w:tcW w:w="785" w:type="pct"/>
            <w:noWrap w:val="0"/>
            <w:vAlign w:val="center"/>
          </w:tcPr>
          <w:p w14:paraId="64EE37E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11.2.3</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143081DE">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lang w:eastAsia="zh-CN"/>
              </w:rPr>
              <w:t>未</w:t>
            </w:r>
            <w:r>
              <w:rPr>
                <w:rFonts w:hint="eastAsia" w:ascii="宋体" w:hAnsi="宋体" w:cs="宋体"/>
                <w:color w:val="auto"/>
                <w:szCs w:val="21"/>
                <w:highlight w:val="none"/>
              </w:rPr>
              <w:t>建立进入库区的人员登记记录</w:t>
            </w:r>
            <w:r>
              <w:rPr>
                <w:rFonts w:hint="eastAsia" w:ascii="宋体" w:hAnsi="宋体" w:eastAsia="宋体" w:cs="宋体"/>
                <w:color w:val="auto"/>
                <w:sz w:val="21"/>
                <w:szCs w:val="21"/>
                <w:highlight w:val="none"/>
                <w:lang w:eastAsia="zh-CN"/>
              </w:rPr>
              <w:t>。</w:t>
            </w:r>
          </w:p>
        </w:tc>
        <w:tc>
          <w:tcPr>
            <w:tcW w:w="374" w:type="pct"/>
            <w:noWrap w:val="0"/>
            <w:vAlign w:val="center"/>
          </w:tcPr>
          <w:p w14:paraId="7F060B41">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7A76E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3C4C5B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5ADAC344">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应对进入库区的车辆登记管理，并采取防火措施</w:t>
            </w:r>
            <w:r>
              <w:rPr>
                <w:rFonts w:hint="eastAsia" w:ascii="宋体" w:hAnsi="宋体" w:eastAsia="宋体" w:cs="宋体"/>
                <w:color w:val="auto"/>
                <w:sz w:val="21"/>
                <w:szCs w:val="21"/>
                <w:highlight w:val="none"/>
                <w:lang w:eastAsia="zh-CN"/>
              </w:rPr>
              <w:t>。</w:t>
            </w:r>
          </w:p>
        </w:tc>
        <w:tc>
          <w:tcPr>
            <w:tcW w:w="785" w:type="pct"/>
            <w:noWrap w:val="0"/>
            <w:vAlign w:val="center"/>
          </w:tcPr>
          <w:p w14:paraId="5D0B79E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11.2.4</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52D1D93C">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对危化品车辆进行登记，进入装卸场地前</w:t>
            </w:r>
            <w:r>
              <w:rPr>
                <w:rFonts w:hint="eastAsia" w:ascii="宋体" w:hAnsi="宋体" w:eastAsia="宋体" w:cs="宋体"/>
                <w:color w:val="auto"/>
                <w:sz w:val="21"/>
                <w:szCs w:val="21"/>
                <w:highlight w:val="none"/>
              </w:rPr>
              <w:t>装设火星熄灭器（阻火器）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未对进入库区的</w:t>
            </w:r>
            <w:r>
              <w:rPr>
                <w:rFonts w:hint="eastAsia" w:ascii="宋体" w:hAnsi="宋体" w:eastAsia="宋体" w:cs="宋体"/>
                <w:color w:val="auto"/>
                <w:sz w:val="21"/>
                <w:szCs w:val="21"/>
                <w:highlight w:val="none"/>
                <w:lang w:val="en-US" w:eastAsia="zh-CN"/>
              </w:rPr>
              <w:t>轿车</w:t>
            </w:r>
            <w:r>
              <w:rPr>
                <w:rFonts w:hint="eastAsia" w:ascii="宋体" w:hAnsi="宋体" w:eastAsia="宋体" w:cs="宋体"/>
                <w:color w:val="auto"/>
                <w:sz w:val="21"/>
                <w:szCs w:val="21"/>
                <w:highlight w:val="none"/>
              </w:rPr>
              <w:t>装设火星熄灭器（阻火器）</w:t>
            </w:r>
            <w:r>
              <w:rPr>
                <w:rFonts w:hint="eastAsia" w:ascii="宋体" w:hAnsi="宋体" w:eastAsia="宋体" w:cs="宋体"/>
                <w:color w:val="auto"/>
                <w:sz w:val="21"/>
                <w:szCs w:val="21"/>
                <w:highlight w:val="none"/>
                <w:lang w:eastAsia="zh-CN"/>
              </w:rPr>
              <w:t>。</w:t>
            </w:r>
          </w:p>
        </w:tc>
        <w:tc>
          <w:tcPr>
            <w:tcW w:w="374" w:type="pct"/>
            <w:noWrap w:val="0"/>
            <w:vAlign w:val="center"/>
          </w:tcPr>
          <w:p w14:paraId="3EFD1F52">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3BAE6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7C13119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0E512011">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危险化学品储存作业前，应先对仓库通风。</w:t>
            </w:r>
          </w:p>
        </w:tc>
        <w:tc>
          <w:tcPr>
            <w:tcW w:w="785" w:type="pct"/>
            <w:noWrap w:val="0"/>
            <w:vAlign w:val="center"/>
          </w:tcPr>
          <w:p w14:paraId="056AAEC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11.3.1</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56077F6C">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储存作业前，先对仓库通风。</w:t>
            </w:r>
          </w:p>
        </w:tc>
        <w:tc>
          <w:tcPr>
            <w:tcW w:w="374" w:type="pct"/>
            <w:noWrap w:val="0"/>
            <w:vAlign w:val="center"/>
          </w:tcPr>
          <w:p w14:paraId="650297E6">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1899A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465C0FC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1F51808E">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进入储存爆炸物及其他对静电、火花敏感的危险化学品仓库时，应穿防静电工作服，不应穿钉鞋，应在进入仓库前消除人体静电；应使用具备防爆功能的通信工具，不应使用易产生静电和火花的作业机具。</w:t>
            </w:r>
          </w:p>
        </w:tc>
        <w:tc>
          <w:tcPr>
            <w:tcW w:w="785" w:type="pct"/>
            <w:noWrap w:val="0"/>
            <w:vAlign w:val="center"/>
          </w:tcPr>
          <w:p w14:paraId="396D4B3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11.3.2</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325CC609">
            <w:pPr>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配备了</w:t>
            </w:r>
            <w:r>
              <w:rPr>
                <w:rFonts w:hint="eastAsia" w:ascii="宋体" w:hAnsi="宋体" w:eastAsia="宋体" w:cs="宋体"/>
                <w:color w:val="auto"/>
                <w:sz w:val="21"/>
                <w:szCs w:val="21"/>
                <w:highlight w:val="none"/>
              </w:rPr>
              <w:t>防护鞋</w:t>
            </w:r>
            <w:r>
              <w:rPr>
                <w:rFonts w:hint="eastAsia" w:ascii="宋体" w:hAnsi="宋体" w:eastAsia="宋体" w:cs="宋体"/>
                <w:color w:val="auto"/>
                <w:sz w:val="21"/>
                <w:szCs w:val="21"/>
                <w:highlight w:val="none"/>
                <w:lang w:eastAsia="zh-CN"/>
              </w:rPr>
              <w:t>、人体静电消除器，使用铜制开桶扳手。</w:t>
            </w:r>
          </w:p>
          <w:p w14:paraId="503697CF">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lang w:eastAsia="zh-CN"/>
              </w:rPr>
              <w:t>未配备</w:t>
            </w:r>
            <w:r>
              <w:rPr>
                <w:rFonts w:hint="eastAsia" w:ascii="宋体" w:hAnsi="宋体" w:eastAsia="宋体" w:cs="宋体"/>
                <w:color w:val="auto"/>
                <w:sz w:val="21"/>
                <w:szCs w:val="21"/>
                <w:highlight w:val="none"/>
              </w:rPr>
              <w:t>防静电工作服</w:t>
            </w:r>
            <w:r>
              <w:rPr>
                <w:rFonts w:hint="eastAsia" w:ascii="宋体" w:hAnsi="宋体" w:eastAsia="宋体" w:cs="宋体"/>
                <w:color w:val="auto"/>
                <w:sz w:val="21"/>
                <w:szCs w:val="21"/>
                <w:highlight w:val="none"/>
                <w:lang w:eastAsia="zh-CN"/>
              </w:rPr>
              <w:t>。</w:t>
            </w:r>
          </w:p>
        </w:tc>
        <w:tc>
          <w:tcPr>
            <w:tcW w:w="374" w:type="pct"/>
            <w:noWrap w:val="0"/>
            <w:vAlign w:val="center"/>
          </w:tcPr>
          <w:p w14:paraId="2F9FCF7F">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536C3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2F985654">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089A4F97">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储存仓库内禁止进行开桶、分装、改装作业。</w:t>
            </w:r>
          </w:p>
        </w:tc>
        <w:tc>
          <w:tcPr>
            <w:tcW w:w="785" w:type="pct"/>
            <w:noWrap w:val="0"/>
            <w:vAlign w:val="center"/>
          </w:tcPr>
          <w:p w14:paraId="3F9C7A2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11.3.3</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2AF2F384">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仓库内禁止进行开桶、分装、改装作业。</w:t>
            </w:r>
          </w:p>
        </w:tc>
        <w:tc>
          <w:tcPr>
            <w:tcW w:w="374" w:type="pct"/>
            <w:noWrap w:val="0"/>
            <w:vAlign w:val="center"/>
          </w:tcPr>
          <w:p w14:paraId="57A2F7FB">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232FF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455FF9C9">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4A6DF067">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不应在恶劣天气进行装卸作业。</w:t>
            </w:r>
          </w:p>
        </w:tc>
        <w:tc>
          <w:tcPr>
            <w:tcW w:w="785" w:type="pct"/>
            <w:noWrap w:val="0"/>
            <w:vAlign w:val="center"/>
          </w:tcPr>
          <w:p w14:paraId="57F8DAD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11.3.4</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4CC6545B">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eastAsia="zh-CN"/>
              </w:rPr>
              <w:t>未</w:t>
            </w:r>
            <w:r>
              <w:rPr>
                <w:rFonts w:hint="eastAsia" w:ascii="宋体" w:hAnsi="宋体" w:eastAsia="宋体" w:cs="宋体"/>
                <w:color w:val="auto"/>
                <w:sz w:val="21"/>
                <w:szCs w:val="21"/>
                <w:highlight w:val="none"/>
              </w:rPr>
              <w:t>在恶劣天气进行装卸作业。</w:t>
            </w:r>
          </w:p>
        </w:tc>
        <w:tc>
          <w:tcPr>
            <w:tcW w:w="374" w:type="pct"/>
            <w:noWrap w:val="0"/>
            <w:vAlign w:val="center"/>
          </w:tcPr>
          <w:p w14:paraId="5EE2387B">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A7D1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7A37CF77">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41987CF">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应建立全员培训体系，对从业人员进行法规、标准、岗位技能、安全、个体防护、应急处置等培训，考核合格后上岗作业</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对有资质要求的岗位，应配备依法取得相应资质的人员。</w:t>
            </w:r>
          </w:p>
        </w:tc>
        <w:tc>
          <w:tcPr>
            <w:tcW w:w="785" w:type="pct"/>
            <w:noWrap w:val="0"/>
            <w:vAlign w:val="center"/>
          </w:tcPr>
          <w:p w14:paraId="7267B46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12.1</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3E858207">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危化品仓库作业人员经</w:t>
            </w:r>
            <w:r>
              <w:rPr>
                <w:rFonts w:hint="eastAsia" w:ascii="宋体" w:hAnsi="宋体" w:eastAsia="宋体" w:cs="宋体"/>
                <w:color w:val="auto"/>
                <w:kern w:val="0"/>
                <w:sz w:val="21"/>
                <w:szCs w:val="21"/>
                <w:highlight w:val="none"/>
              </w:rPr>
              <w:t>安全培训合格</w:t>
            </w:r>
            <w:r>
              <w:rPr>
                <w:rFonts w:hint="eastAsia" w:ascii="宋体" w:hAnsi="宋体" w:eastAsia="宋体" w:cs="宋体"/>
                <w:color w:val="auto"/>
                <w:kern w:val="0"/>
                <w:sz w:val="21"/>
                <w:szCs w:val="21"/>
                <w:highlight w:val="none"/>
                <w:lang w:eastAsia="zh-CN"/>
              </w:rPr>
              <w:t>。叉车司机</w:t>
            </w:r>
            <w:r>
              <w:rPr>
                <w:rFonts w:hint="eastAsia" w:ascii="宋体" w:hAnsi="宋体" w:eastAsia="宋体" w:cs="宋体"/>
                <w:color w:val="auto"/>
                <w:kern w:val="0"/>
                <w:sz w:val="21"/>
                <w:szCs w:val="21"/>
                <w:highlight w:val="none"/>
              </w:rPr>
              <w:t>经特种设备安全监督管理部门考核合格，取得国家统一格式的特种设备作业人员证书</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7E423C76">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0F7E8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8354A6E">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BAD11BE">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危险化学品仓库管理人员应具备危险化学品储存管理范围相关的安全知识和管理能力。</w:t>
            </w:r>
          </w:p>
        </w:tc>
        <w:tc>
          <w:tcPr>
            <w:tcW w:w="785" w:type="pct"/>
            <w:noWrap w:val="0"/>
            <w:vAlign w:val="center"/>
          </w:tcPr>
          <w:p w14:paraId="750DFB6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12.2</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36F82274">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危化品仓库作业人员经</w:t>
            </w:r>
            <w:r>
              <w:rPr>
                <w:rFonts w:hint="eastAsia" w:ascii="宋体" w:hAnsi="宋体" w:eastAsia="宋体" w:cs="宋体"/>
                <w:color w:val="auto"/>
                <w:kern w:val="0"/>
                <w:sz w:val="21"/>
                <w:szCs w:val="21"/>
                <w:highlight w:val="none"/>
              </w:rPr>
              <w:t>安全培训合格</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666B32C7">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47BA8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B19F7B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9BFD697">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危险化学品仓库从业人员应能理解化学品安全技术说明书的内容并掌握风险防范措施，掌握岗位操作技能。</w:t>
            </w:r>
          </w:p>
        </w:tc>
        <w:tc>
          <w:tcPr>
            <w:tcW w:w="785" w:type="pct"/>
            <w:noWrap w:val="0"/>
            <w:vAlign w:val="center"/>
          </w:tcPr>
          <w:p w14:paraId="40753332">
            <w:pPr>
              <w:adjustRightInd w:val="0"/>
              <w:snapToGrid w:val="0"/>
              <w:jc w:val="center"/>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12.3</w:t>
            </w:r>
            <w:r>
              <w:rPr>
                <w:rFonts w:hint="eastAsia" w:ascii="宋体" w:hAnsi="宋体" w:eastAsia="宋体" w:cs="宋体"/>
                <w:color w:val="auto"/>
                <w:sz w:val="21"/>
                <w:szCs w:val="21"/>
                <w:highlight w:val="none"/>
                <w:lang w:val="en-US" w:eastAsia="zh-Hans"/>
              </w:rPr>
              <w:t>条</w:t>
            </w:r>
          </w:p>
        </w:tc>
        <w:tc>
          <w:tcPr>
            <w:tcW w:w="1295" w:type="pct"/>
            <w:noWrap w:val="0"/>
            <w:vAlign w:val="center"/>
          </w:tcPr>
          <w:p w14:paraId="28526F27">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危化品仓库作业人员经</w:t>
            </w:r>
            <w:r>
              <w:rPr>
                <w:rFonts w:hint="eastAsia" w:ascii="宋体" w:hAnsi="宋体" w:eastAsia="宋体" w:cs="宋体"/>
                <w:color w:val="auto"/>
                <w:kern w:val="0"/>
                <w:sz w:val="21"/>
                <w:szCs w:val="21"/>
                <w:highlight w:val="none"/>
              </w:rPr>
              <w:t>安全培训合格</w:t>
            </w:r>
            <w:r>
              <w:rPr>
                <w:rFonts w:hint="eastAsia" w:ascii="宋体" w:hAnsi="宋体" w:eastAsia="宋体" w:cs="宋体"/>
                <w:color w:val="auto"/>
                <w:kern w:val="0"/>
                <w:sz w:val="21"/>
                <w:szCs w:val="21"/>
                <w:highlight w:val="none"/>
                <w:lang w:eastAsia="zh-CN"/>
              </w:rPr>
              <w:t>。</w:t>
            </w:r>
          </w:p>
        </w:tc>
        <w:tc>
          <w:tcPr>
            <w:tcW w:w="374" w:type="pct"/>
            <w:noWrap w:val="0"/>
            <w:vAlign w:val="center"/>
          </w:tcPr>
          <w:p w14:paraId="274D1B7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符合</w:t>
            </w:r>
          </w:p>
        </w:tc>
      </w:tr>
      <w:tr w14:paraId="34A20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5FE15F0D">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54AB6DCC">
            <w:pPr>
              <w:adjustRightInd w:val="0"/>
              <w:snapToGrid w:val="0"/>
              <w:jc w:val="left"/>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 w:val="21"/>
                <w:szCs w:val="21"/>
                <w:highlight w:val="none"/>
              </w:rPr>
              <w:t>库房周围无杂草和易燃物</w:t>
            </w:r>
            <w:r>
              <w:rPr>
                <w:rFonts w:hint="eastAsia" w:ascii="宋体" w:hAnsi="宋体" w:eastAsia="宋体" w:cs="宋体"/>
                <w:bCs/>
                <w:color w:val="auto"/>
                <w:sz w:val="21"/>
                <w:szCs w:val="21"/>
                <w:highlight w:val="none"/>
                <w:lang w:eastAsia="zh-CN"/>
              </w:rPr>
              <w:t>。</w:t>
            </w:r>
          </w:p>
        </w:tc>
        <w:tc>
          <w:tcPr>
            <w:tcW w:w="785" w:type="pct"/>
            <w:noWrap w:val="0"/>
            <w:vAlign w:val="center"/>
          </w:tcPr>
          <w:p w14:paraId="49363077">
            <w:pPr>
              <w:adjustRightInd w:val="0"/>
              <w:snapToGrid w:val="0"/>
              <w:jc w:val="center"/>
              <w:rPr>
                <w:rFonts w:hint="eastAsia" w:ascii="宋体" w:hAnsi="宋体" w:eastAsia="宋体" w:cs="宋体"/>
                <w:bCs/>
                <w:color w:val="auto"/>
                <w:kern w:val="2"/>
                <w:sz w:val="21"/>
                <w:szCs w:val="21"/>
                <w:highlight w:val="none"/>
                <w:lang w:val="en-US" w:eastAsia="zh-Hans" w:bidi="ar-SA"/>
              </w:rPr>
            </w:pPr>
            <w:r>
              <w:rPr>
                <w:rFonts w:hint="eastAsia" w:ascii="宋体" w:hAnsi="宋体" w:eastAsia="宋体" w:cs="宋体"/>
                <w:color w:val="auto"/>
                <w:sz w:val="21"/>
                <w:szCs w:val="21"/>
                <w:highlight w:val="none"/>
                <w:lang w:val="en-US" w:eastAsia="zh-Hans"/>
              </w:rPr>
              <w:t>GB17914-2013</w:t>
            </w:r>
            <w:r>
              <w:rPr>
                <w:rFonts w:hint="eastAsia" w:ascii="宋体" w:hAnsi="宋体" w:eastAsia="宋体" w:cs="宋体"/>
                <w:color w:val="auto"/>
                <w:sz w:val="21"/>
                <w:szCs w:val="21"/>
                <w:highlight w:val="none"/>
                <w:lang w:val="en-US" w:eastAsia="zh-CN"/>
              </w:rPr>
              <w:t>第</w:t>
            </w:r>
            <w:r>
              <w:rPr>
                <w:rFonts w:hint="eastAsia" w:ascii="宋体" w:hAnsi="宋体" w:eastAsia="宋体" w:cs="宋体"/>
                <w:bCs/>
                <w:color w:val="auto"/>
                <w:sz w:val="21"/>
                <w:szCs w:val="21"/>
                <w:highlight w:val="none"/>
              </w:rPr>
              <w:t>4.4.1</w:t>
            </w:r>
            <w:r>
              <w:rPr>
                <w:rFonts w:hint="eastAsia" w:ascii="宋体" w:hAnsi="宋体" w:eastAsia="宋体" w:cs="宋体"/>
                <w:color w:val="auto"/>
                <w:sz w:val="21"/>
                <w:szCs w:val="21"/>
                <w:highlight w:val="none"/>
                <w:lang w:val="en-US" w:eastAsia="zh-CN"/>
              </w:rPr>
              <w:t>条</w:t>
            </w:r>
          </w:p>
        </w:tc>
        <w:tc>
          <w:tcPr>
            <w:tcW w:w="1295" w:type="pct"/>
            <w:noWrap w:val="0"/>
            <w:vAlign w:val="center"/>
          </w:tcPr>
          <w:p w14:paraId="77B2AA50">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bCs/>
                <w:color w:val="auto"/>
                <w:sz w:val="21"/>
                <w:szCs w:val="21"/>
                <w:highlight w:val="none"/>
              </w:rPr>
              <w:t>库房周围无杂草和易燃物</w:t>
            </w:r>
            <w:r>
              <w:rPr>
                <w:rFonts w:hint="eastAsia" w:ascii="宋体" w:hAnsi="宋体" w:eastAsia="宋体" w:cs="宋体"/>
                <w:bCs/>
                <w:color w:val="auto"/>
                <w:sz w:val="21"/>
                <w:szCs w:val="21"/>
                <w:highlight w:val="none"/>
                <w:lang w:eastAsia="zh-CN"/>
              </w:rPr>
              <w:t>。</w:t>
            </w:r>
          </w:p>
        </w:tc>
        <w:tc>
          <w:tcPr>
            <w:tcW w:w="374" w:type="pct"/>
            <w:noWrap w:val="0"/>
            <w:vAlign w:val="center"/>
          </w:tcPr>
          <w:p w14:paraId="25F4EBD7">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33FCD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1484212">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558DE71">
            <w:pPr>
              <w:adjustRightInd w:val="0"/>
              <w:snapToGrid w:val="0"/>
              <w:jc w:val="left"/>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 w:val="21"/>
                <w:szCs w:val="21"/>
                <w:highlight w:val="none"/>
              </w:rPr>
              <w:t>库房内地面无漏洒商品，保持地面与货垛清洁卫生。</w:t>
            </w:r>
          </w:p>
        </w:tc>
        <w:tc>
          <w:tcPr>
            <w:tcW w:w="785" w:type="pct"/>
            <w:noWrap w:val="0"/>
            <w:vAlign w:val="center"/>
          </w:tcPr>
          <w:p w14:paraId="4856AAFB">
            <w:pPr>
              <w:adjustRightInd w:val="0"/>
              <w:snapToGrid w:val="0"/>
              <w:jc w:val="center"/>
              <w:rPr>
                <w:rFonts w:hint="eastAsia" w:ascii="宋体" w:hAnsi="宋体" w:eastAsia="宋体" w:cs="宋体"/>
                <w:bCs/>
                <w:color w:val="auto"/>
                <w:kern w:val="2"/>
                <w:sz w:val="21"/>
                <w:szCs w:val="21"/>
                <w:highlight w:val="none"/>
                <w:lang w:val="en-US" w:eastAsia="zh-Hans" w:bidi="ar-SA"/>
              </w:rPr>
            </w:pPr>
            <w:r>
              <w:rPr>
                <w:rFonts w:hint="eastAsia" w:ascii="宋体" w:hAnsi="宋体" w:eastAsia="宋体" w:cs="宋体"/>
                <w:color w:val="auto"/>
                <w:sz w:val="21"/>
                <w:szCs w:val="21"/>
                <w:highlight w:val="none"/>
                <w:lang w:val="en-US" w:eastAsia="zh-Hans"/>
              </w:rPr>
              <w:t>GB17914-2013</w:t>
            </w:r>
            <w:r>
              <w:rPr>
                <w:rFonts w:hint="eastAsia" w:ascii="宋体" w:hAnsi="宋体" w:eastAsia="宋体" w:cs="宋体"/>
                <w:color w:val="auto"/>
                <w:sz w:val="21"/>
                <w:szCs w:val="21"/>
                <w:highlight w:val="none"/>
                <w:lang w:val="en-US" w:eastAsia="zh-CN"/>
              </w:rPr>
              <w:t>第</w:t>
            </w:r>
            <w:r>
              <w:rPr>
                <w:rFonts w:hint="eastAsia" w:ascii="宋体" w:hAnsi="宋体" w:eastAsia="宋体" w:cs="宋体"/>
                <w:bCs/>
                <w:color w:val="auto"/>
                <w:sz w:val="21"/>
                <w:szCs w:val="21"/>
                <w:highlight w:val="none"/>
              </w:rPr>
              <w:t>4.4.2</w:t>
            </w:r>
            <w:r>
              <w:rPr>
                <w:rFonts w:hint="eastAsia" w:ascii="宋体" w:hAnsi="宋体" w:eastAsia="宋体" w:cs="宋体"/>
                <w:color w:val="auto"/>
                <w:sz w:val="21"/>
                <w:szCs w:val="21"/>
                <w:highlight w:val="none"/>
                <w:lang w:val="en-US" w:eastAsia="zh-CN"/>
              </w:rPr>
              <w:t>条</w:t>
            </w:r>
          </w:p>
        </w:tc>
        <w:tc>
          <w:tcPr>
            <w:tcW w:w="1295" w:type="pct"/>
            <w:noWrap w:val="0"/>
            <w:vAlign w:val="center"/>
          </w:tcPr>
          <w:p w14:paraId="2F1812F3">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bCs/>
                <w:color w:val="auto"/>
                <w:sz w:val="21"/>
                <w:szCs w:val="21"/>
                <w:highlight w:val="none"/>
              </w:rPr>
              <w:t>库房内地面无漏洒商品，保持地面与货垛清洁卫生。</w:t>
            </w:r>
          </w:p>
        </w:tc>
        <w:tc>
          <w:tcPr>
            <w:tcW w:w="374" w:type="pct"/>
            <w:noWrap w:val="0"/>
            <w:vAlign w:val="center"/>
          </w:tcPr>
          <w:p w14:paraId="42F27823">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EC59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5B7B8C9F">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4B12A0C6">
            <w:pPr>
              <w:adjustRightInd w:val="0"/>
              <w:snapToGrid w:val="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温湿度要求</w:t>
            </w:r>
          </w:p>
          <w:p w14:paraId="1F7D331E">
            <w:pPr>
              <w:adjustRightInd w:val="0"/>
              <w:snapToGrid w:val="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各类商品适宜储存的温湿度见表1,</w:t>
            </w:r>
          </w:p>
        </w:tc>
        <w:tc>
          <w:tcPr>
            <w:tcW w:w="785" w:type="pct"/>
            <w:noWrap w:val="0"/>
            <w:vAlign w:val="center"/>
          </w:tcPr>
          <w:p w14:paraId="74F2BBA6">
            <w:pPr>
              <w:adjustRightInd w:val="0"/>
              <w:snapToGrid w:val="0"/>
              <w:jc w:val="center"/>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GB17914-2013</w:t>
            </w:r>
            <w:r>
              <w:rPr>
                <w:rFonts w:hint="eastAsia" w:ascii="宋体" w:hAnsi="宋体" w:eastAsia="宋体" w:cs="宋体"/>
                <w:color w:val="auto"/>
                <w:sz w:val="21"/>
                <w:szCs w:val="21"/>
                <w:highlight w:val="none"/>
                <w:lang w:val="en-US" w:eastAsia="zh-CN"/>
              </w:rPr>
              <w:t>第</w:t>
            </w:r>
            <w:r>
              <w:rPr>
                <w:rFonts w:hint="eastAsia" w:ascii="宋体" w:hAnsi="宋体" w:eastAsia="宋体" w:cs="宋体"/>
                <w:bCs/>
                <w:color w:val="auto"/>
                <w:sz w:val="21"/>
                <w:szCs w:val="21"/>
                <w:highlight w:val="none"/>
              </w:rPr>
              <w:t>4.5</w:t>
            </w:r>
            <w:r>
              <w:rPr>
                <w:rFonts w:hint="eastAsia" w:ascii="宋体" w:hAnsi="宋体" w:eastAsia="宋体" w:cs="宋体"/>
                <w:color w:val="auto"/>
                <w:sz w:val="21"/>
                <w:szCs w:val="21"/>
                <w:highlight w:val="none"/>
                <w:lang w:val="en-US" w:eastAsia="zh-CN"/>
              </w:rPr>
              <w:t>条</w:t>
            </w:r>
          </w:p>
        </w:tc>
        <w:tc>
          <w:tcPr>
            <w:tcW w:w="1295" w:type="pct"/>
            <w:noWrap w:val="0"/>
            <w:vAlign w:val="center"/>
          </w:tcPr>
          <w:p w14:paraId="2352CF73">
            <w:pPr>
              <w:adjustRightInd w:val="0"/>
              <w:snapToGrid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2、3、4、6仓储</w:t>
            </w:r>
            <w:r>
              <w:rPr>
                <w:rFonts w:hint="eastAsia" w:ascii="宋体" w:hAnsi="宋体" w:eastAsia="宋体" w:cs="宋体"/>
                <w:color w:val="auto"/>
                <w:kern w:val="2"/>
                <w:sz w:val="21"/>
                <w:szCs w:val="21"/>
                <w:highlight w:val="none"/>
                <w:lang w:val="en-US" w:eastAsia="zh-CN" w:bidi="ar-SA"/>
              </w:rPr>
              <w:t>温度保持≤29℃；相对湿度%保持≤80。</w:t>
            </w:r>
          </w:p>
          <w:p w14:paraId="5A5063DA">
            <w:pPr>
              <w:pStyle w:val="60"/>
              <w:adjustRightInd w:val="0"/>
              <w:snapToGrid w:val="0"/>
              <w:spacing w:after="0"/>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5号仓储未设置温湿度计。</w:t>
            </w:r>
          </w:p>
        </w:tc>
        <w:tc>
          <w:tcPr>
            <w:tcW w:w="374" w:type="pct"/>
            <w:noWrap w:val="0"/>
            <w:vAlign w:val="center"/>
          </w:tcPr>
          <w:p w14:paraId="56686429">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r w14:paraId="4043B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6CA25174">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25534F2F">
            <w:pPr>
              <w:adjustRightInd w:val="0"/>
              <w:snapToGrid w:val="0"/>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应在库区设置洗眼器等应急处置设施。</w:t>
            </w:r>
          </w:p>
        </w:tc>
        <w:tc>
          <w:tcPr>
            <w:tcW w:w="785" w:type="pct"/>
            <w:noWrap w:val="0"/>
            <w:vAlign w:val="center"/>
          </w:tcPr>
          <w:p w14:paraId="75EC0CAA">
            <w:pPr>
              <w:adjustRightInd w:val="0"/>
              <w:snapToGrid w:val="0"/>
              <w:jc w:val="center"/>
              <w:rPr>
                <w:rFonts w:hint="eastAsia" w:ascii="宋体" w:hAnsi="宋体" w:eastAsia="宋体" w:cs="宋体"/>
                <w:color w:val="auto"/>
                <w:sz w:val="21"/>
                <w:szCs w:val="21"/>
                <w:highlight w:val="none"/>
                <w:lang w:val="en-US" w:eastAsia="zh-Hans"/>
              </w:rPr>
            </w:pPr>
            <w:r>
              <w:rPr>
                <w:rFonts w:hint="eastAsia" w:ascii="宋体" w:hAnsi="宋体" w:eastAsia="宋体" w:cs="宋体"/>
                <w:bCs/>
                <w:color w:val="auto"/>
                <w:sz w:val="21"/>
                <w:szCs w:val="21"/>
                <w:highlight w:val="none"/>
              </w:rPr>
              <w:t>GB17915-2013第4.3.3条</w:t>
            </w:r>
          </w:p>
        </w:tc>
        <w:tc>
          <w:tcPr>
            <w:tcW w:w="1295" w:type="pct"/>
            <w:noWrap w:val="0"/>
            <w:vAlign w:val="center"/>
          </w:tcPr>
          <w:p w14:paraId="2CB0E0F1">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bCs/>
                <w:color w:val="auto"/>
                <w:sz w:val="21"/>
                <w:szCs w:val="21"/>
                <w:highlight w:val="none"/>
              </w:rPr>
              <w:t>设置</w:t>
            </w:r>
            <w:r>
              <w:rPr>
                <w:rFonts w:hint="eastAsia" w:ascii="宋体" w:hAnsi="宋体" w:eastAsia="宋体" w:cs="宋体"/>
                <w:bCs/>
                <w:color w:val="auto"/>
                <w:sz w:val="21"/>
                <w:szCs w:val="21"/>
                <w:highlight w:val="none"/>
                <w:lang w:eastAsia="zh-CN"/>
              </w:rPr>
              <w:t>了</w:t>
            </w:r>
            <w:r>
              <w:rPr>
                <w:rFonts w:hint="eastAsia" w:ascii="宋体" w:hAnsi="宋体" w:eastAsia="宋体" w:cs="宋体"/>
                <w:bCs/>
                <w:color w:val="auto"/>
                <w:sz w:val="21"/>
                <w:szCs w:val="21"/>
                <w:highlight w:val="none"/>
              </w:rPr>
              <w:t>洗眼器</w:t>
            </w:r>
            <w:r>
              <w:rPr>
                <w:rFonts w:hint="eastAsia" w:ascii="宋体" w:hAnsi="宋体" w:eastAsia="宋体" w:cs="宋体"/>
                <w:bCs/>
                <w:color w:val="auto"/>
                <w:sz w:val="21"/>
                <w:szCs w:val="21"/>
                <w:highlight w:val="none"/>
                <w:lang w:eastAsia="zh-CN"/>
              </w:rPr>
              <w:t>。</w:t>
            </w:r>
          </w:p>
        </w:tc>
        <w:tc>
          <w:tcPr>
            <w:tcW w:w="374" w:type="pct"/>
            <w:noWrap w:val="0"/>
            <w:vAlign w:val="center"/>
          </w:tcPr>
          <w:p w14:paraId="6DF4B777">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41649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ACE575C">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3ED734DA">
            <w:pPr>
              <w:adjustRightInd w:val="0"/>
              <w:snapToGrid w:val="0"/>
              <w:jc w:val="left"/>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库房应保持清洁。</w:t>
            </w:r>
          </w:p>
        </w:tc>
        <w:tc>
          <w:tcPr>
            <w:tcW w:w="785" w:type="pct"/>
            <w:noWrap w:val="0"/>
            <w:vAlign w:val="center"/>
          </w:tcPr>
          <w:p w14:paraId="340D5649">
            <w:pPr>
              <w:adjustRightInd w:val="0"/>
              <w:snapToGrid w:val="0"/>
              <w:jc w:val="center"/>
              <w:rPr>
                <w:rFonts w:hint="eastAsia" w:ascii="宋体" w:hAnsi="宋体" w:eastAsia="宋体" w:cs="宋体"/>
                <w:color w:val="auto"/>
                <w:sz w:val="21"/>
                <w:szCs w:val="21"/>
                <w:highlight w:val="none"/>
                <w:lang w:val="en-US" w:eastAsia="zh-Hans"/>
              </w:rPr>
            </w:pPr>
            <w:r>
              <w:rPr>
                <w:rFonts w:hint="eastAsia" w:ascii="宋体" w:hAnsi="宋体" w:eastAsia="宋体" w:cs="宋体"/>
                <w:bCs/>
                <w:color w:val="auto"/>
                <w:sz w:val="21"/>
                <w:szCs w:val="21"/>
                <w:highlight w:val="none"/>
              </w:rPr>
              <w:t>GB17915-2013第</w:t>
            </w:r>
            <w:r>
              <w:rPr>
                <w:rFonts w:hint="eastAsia" w:ascii="宋体" w:hAnsi="宋体" w:eastAsia="宋体" w:cs="宋体"/>
                <w:color w:val="auto"/>
                <w:sz w:val="21"/>
                <w:szCs w:val="21"/>
                <w:highlight w:val="none"/>
              </w:rPr>
              <w:t>4.4.1</w:t>
            </w:r>
            <w:r>
              <w:rPr>
                <w:rFonts w:hint="eastAsia" w:ascii="宋体" w:hAnsi="宋体" w:eastAsia="宋体" w:cs="宋体"/>
                <w:bCs/>
                <w:color w:val="auto"/>
                <w:sz w:val="21"/>
                <w:szCs w:val="21"/>
                <w:highlight w:val="none"/>
              </w:rPr>
              <w:t>条</w:t>
            </w:r>
          </w:p>
        </w:tc>
        <w:tc>
          <w:tcPr>
            <w:tcW w:w="1295" w:type="pct"/>
            <w:noWrap w:val="0"/>
            <w:vAlign w:val="center"/>
          </w:tcPr>
          <w:p w14:paraId="2B719111">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保持清洁。</w:t>
            </w:r>
          </w:p>
        </w:tc>
        <w:tc>
          <w:tcPr>
            <w:tcW w:w="374" w:type="pct"/>
            <w:noWrap w:val="0"/>
            <w:vAlign w:val="center"/>
          </w:tcPr>
          <w:p w14:paraId="0E160210">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C750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1F187EC6">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251CDDD1">
            <w:pPr>
              <w:adjustRightInd w:val="0"/>
              <w:snapToGrid w:val="0"/>
              <w:jc w:val="left"/>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库区的杂物、易燃物应及时清理，排水保持畅通。</w:t>
            </w:r>
          </w:p>
        </w:tc>
        <w:tc>
          <w:tcPr>
            <w:tcW w:w="785" w:type="pct"/>
            <w:noWrap w:val="0"/>
            <w:vAlign w:val="center"/>
          </w:tcPr>
          <w:p w14:paraId="1C72C091">
            <w:pPr>
              <w:adjustRightInd w:val="0"/>
              <w:snapToGrid w:val="0"/>
              <w:jc w:val="center"/>
              <w:rPr>
                <w:rFonts w:hint="eastAsia" w:ascii="宋体" w:hAnsi="宋体" w:eastAsia="宋体" w:cs="宋体"/>
                <w:color w:val="auto"/>
                <w:sz w:val="21"/>
                <w:szCs w:val="21"/>
                <w:highlight w:val="none"/>
                <w:lang w:val="en-US" w:eastAsia="zh-Hans"/>
              </w:rPr>
            </w:pPr>
            <w:r>
              <w:rPr>
                <w:rFonts w:hint="eastAsia" w:ascii="宋体" w:hAnsi="宋体" w:eastAsia="宋体" w:cs="宋体"/>
                <w:bCs/>
                <w:color w:val="auto"/>
                <w:sz w:val="21"/>
                <w:szCs w:val="21"/>
                <w:highlight w:val="none"/>
              </w:rPr>
              <w:t>GB17915-2013第</w:t>
            </w:r>
            <w:r>
              <w:rPr>
                <w:rFonts w:hint="eastAsia" w:ascii="宋体" w:hAnsi="宋体" w:eastAsia="宋体" w:cs="宋体"/>
                <w:color w:val="auto"/>
                <w:sz w:val="21"/>
                <w:szCs w:val="21"/>
                <w:highlight w:val="none"/>
              </w:rPr>
              <w:t>4.4.2</w:t>
            </w:r>
            <w:r>
              <w:rPr>
                <w:rFonts w:hint="eastAsia" w:ascii="宋体" w:hAnsi="宋体" w:eastAsia="宋体" w:cs="宋体"/>
                <w:bCs/>
                <w:color w:val="auto"/>
                <w:sz w:val="21"/>
                <w:szCs w:val="21"/>
                <w:highlight w:val="none"/>
              </w:rPr>
              <w:t>条</w:t>
            </w:r>
          </w:p>
        </w:tc>
        <w:tc>
          <w:tcPr>
            <w:tcW w:w="1295" w:type="pct"/>
            <w:noWrap w:val="0"/>
            <w:vAlign w:val="center"/>
          </w:tcPr>
          <w:p w14:paraId="5EC5DBE2">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lang w:eastAsia="zh-CN"/>
              </w:rPr>
              <w:t>无</w:t>
            </w:r>
            <w:r>
              <w:rPr>
                <w:rFonts w:hint="eastAsia" w:ascii="宋体" w:hAnsi="宋体" w:eastAsia="宋体" w:cs="宋体"/>
                <w:color w:val="auto"/>
                <w:sz w:val="21"/>
                <w:szCs w:val="21"/>
                <w:highlight w:val="none"/>
              </w:rPr>
              <w:t>杂物、</w:t>
            </w:r>
            <w:r>
              <w:rPr>
                <w:rFonts w:hint="eastAsia" w:ascii="宋体" w:hAnsi="宋体" w:cs="宋体"/>
                <w:color w:val="auto"/>
                <w:sz w:val="21"/>
                <w:szCs w:val="21"/>
                <w:highlight w:val="none"/>
                <w:lang w:eastAsia="zh-CN"/>
              </w:rPr>
              <w:t>无</w:t>
            </w:r>
            <w:r>
              <w:rPr>
                <w:rFonts w:hint="eastAsia" w:ascii="宋体" w:hAnsi="宋体" w:eastAsia="宋体" w:cs="宋体"/>
                <w:color w:val="auto"/>
                <w:sz w:val="21"/>
                <w:szCs w:val="21"/>
                <w:highlight w:val="none"/>
                <w:lang w:eastAsia="zh-CN"/>
              </w:rPr>
              <w:t>无关</w:t>
            </w:r>
            <w:r>
              <w:rPr>
                <w:rFonts w:hint="eastAsia" w:ascii="宋体" w:hAnsi="宋体" w:eastAsia="宋体" w:cs="宋体"/>
                <w:color w:val="auto"/>
                <w:sz w:val="21"/>
                <w:szCs w:val="21"/>
                <w:highlight w:val="none"/>
              </w:rPr>
              <w:t>易燃物，排水保持畅通。</w:t>
            </w:r>
          </w:p>
        </w:tc>
        <w:tc>
          <w:tcPr>
            <w:tcW w:w="374" w:type="pct"/>
            <w:noWrap w:val="0"/>
            <w:vAlign w:val="center"/>
          </w:tcPr>
          <w:p w14:paraId="5C57593A">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144D9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 w:type="pct"/>
            <w:noWrap w:val="0"/>
            <w:vAlign w:val="center"/>
          </w:tcPr>
          <w:p w14:paraId="0DD87E1A">
            <w:pPr>
              <w:numPr>
                <w:ilvl w:val="0"/>
                <w:numId w:val="38"/>
              </w:numPr>
              <w:adjustRightInd w:val="0"/>
              <w:snapToGrid w:val="0"/>
              <w:ind w:left="0" w:leftChars="0" w:firstLine="0" w:firstLineChars="0"/>
              <w:jc w:val="center"/>
              <w:rPr>
                <w:rFonts w:hint="eastAsia" w:ascii="宋体" w:hAnsi="宋体" w:eastAsia="宋体" w:cs="宋体"/>
                <w:color w:val="auto"/>
                <w:sz w:val="21"/>
                <w:szCs w:val="21"/>
                <w:highlight w:val="none"/>
              </w:rPr>
            </w:pPr>
          </w:p>
        </w:tc>
        <w:tc>
          <w:tcPr>
            <w:tcW w:w="2237" w:type="pct"/>
            <w:noWrap w:val="0"/>
            <w:vAlign w:val="center"/>
          </w:tcPr>
          <w:p w14:paraId="7413CA74">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温度和湿度</w:t>
            </w:r>
          </w:p>
          <w:p w14:paraId="364A292D">
            <w:pPr>
              <w:pStyle w:val="60"/>
              <w:adjustRightInd w:val="0"/>
              <w:snapToGrid w:val="0"/>
              <w:spacing w:after="0"/>
              <w:ind w:left="0" w:leftChars="0" w:firstLine="0" w:firstLineChars="0"/>
              <w:rPr>
                <w:rFonts w:hint="eastAsia" w:ascii="宋体" w:hAnsi="宋体" w:eastAsia="宋体" w:cs="宋体"/>
                <w:bCs/>
                <w:color w:val="auto"/>
                <w:sz w:val="21"/>
                <w:szCs w:val="21"/>
                <w:highlight w:val="none"/>
              </w:rPr>
            </w:pPr>
            <w:r>
              <w:rPr>
                <w:rFonts w:hint="eastAsia" w:ascii="宋体" w:hAnsi="宋体" w:eastAsia="宋体" w:cs="宋体"/>
                <w:color w:val="auto"/>
                <w:kern w:val="2"/>
                <w:sz w:val="21"/>
                <w:szCs w:val="21"/>
                <w:highlight w:val="none"/>
                <w:lang w:val="en-US" w:eastAsia="zh-CN" w:bidi="ar-SA"/>
              </w:rPr>
              <w:t>盐酸：适宜温度≤30℃；适宜相对湿度%≤80</w:t>
            </w:r>
          </w:p>
        </w:tc>
        <w:tc>
          <w:tcPr>
            <w:tcW w:w="785" w:type="pct"/>
            <w:noWrap w:val="0"/>
            <w:vAlign w:val="center"/>
          </w:tcPr>
          <w:p w14:paraId="095B164E">
            <w:pPr>
              <w:adjustRightInd w:val="0"/>
              <w:snapToGrid w:val="0"/>
              <w:jc w:val="center"/>
              <w:rPr>
                <w:rFonts w:hint="eastAsia" w:ascii="宋体" w:hAnsi="宋体" w:eastAsia="宋体" w:cs="宋体"/>
                <w:color w:val="auto"/>
                <w:sz w:val="21"/>
                <w:szCs w:val="21"/>
                <w:highlight w:val="none"/>
                <w:lang w:val="en-US" w:eastAsia="zh-Hans"/>
              </w:rPr>
            </w:pPr>
            <w:r>
              <w:rPr>
                <w:rFonts w:hint="eastAsia" w:ascii="宋体" w:hAnsi="宋体" w:eastAsia="宋体" w:cs="宋体"/>
                <w:bCs/>
                <w:color w:val="auto"/>
                <w:sz w:val="21"/>
                <w:szCs w:val="21"/>
                <w:highlight w:val="none"/>
              </w:rPr>
              <w:t>GB7915-2013第</w:t>
            </w:r>
            <w:r>
              <w:rPr>
                <w:rFonts w:hint="eastAsia" w:ascii="宋体" w:hAnsi="宋体" w:eastAsia="宋体" w:cs="宋体"/>
                <w:color w:val="auto"/>
                <w:sz w:val="21"/>
                <w:szCs w:val="21"/>
                <w:highlight w:val="none"/>
              </w:rPr>
              <w:t>4.5</w:t>
            </w:r>
            <w:r>
              <w:rPr>
                <w:rFonts w:hint="eastAsia" w:ascii="宋体" w:hAnsi="宋体" w:eastAsia="宋体" w:cs="宋体"/>
                <w:bCs/>
                <w:color w:val="auto"/>
                <w:sz w:val="21"/>
                <w:szCs w:val="21"/>
                <w:highlight w:val="none"/>
              </w:rPr>
              <w:t>条</w:t>
            </w:r>
          </w:p>
        </w:tc>
        <w:tc>
          <w:tcPr>
            <w:tcW w:w="1295" w:type="pct"/>
            <w:noWrap w:val="0"/>
            <w:vAlign w:val="center"/>
          </w:tcPr>
          <w:p w14:paraId="183969D4">
            <w:pPr>
              <w:adjustRightInd w:val="0"/>
              <w:snapToGrid w:val="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1号仓储</w:t>
            </w:r>
            <w:r>
              <w:rPr>
                <w:rFonts w:hint="eastAsia" w:ascii="宋体" w:hAnsi="宋体" w:eastAsia="宋体" w:cs="宋体"/>
                <w:color w:val="auto"/>
                <w:kern w:val="2"/>
                <w:sz w:val="21"/>
                <w:szCs w:val="21"/>
                <w:highlight w:val="none"/>
                <w:lang w:val="en-US" w:eastAsia="zh-CN" w:bidi="ar-SA"/>
              </w:rPr>
              <w:t>未设置温湿度计。</w:t>
            </w:r>
          </w:p>
        </w:tc>
        <w:tc>
          <w:tcPr>
            <w:tcW w:w="374" w:type="pct"/>
            <w:noWrap w:val="0"/>
            <w:vAlign w:val="center"/>
          </w:tcPr>
          <w:p w14:paraId="4EC2B928">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bl>
    <w:p w14:paraId="3918F9E4">
      <w:pPr>
        <w:pStyle w:val="91"/>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textAlignment w:val="auto"/>
        <w:rPr>
          <w:rFonts w:hint="eastAsia"/>
          <w:color w:val="auto"/>
          <w:highlight w:val="none"/>
        </w:rPr>
      </w:pPr>
      <w:r>
        <w:rPr>
          <w:rFonts w:hint="eastAsia"/>
          <w:color w:val="auto"/>
          <w:highlight w:val="none"/>
          <w:lang w:eastAsia="zh-CN"/>
        </w:rPr>
        <w:t>评价小结，经检查，</w:t>
      </w:r>
      <w:r>
        <w:rPr>
          <w:rFonts w:hint="eastAsia"/>
          <w:color w:val="auto"/>
          <w:highlight w:val="none"/>
        </w:rPr>
        <w:t>存在的问题：</w:t>
      </w:r>
    </w:p>
    <w:p w14:paraId="2CB0DAA3">
      <w:pPr>
        <w:pStyle w:val="91"/>
        <w:keepNext w:val="0"/>
        <w:keepLines w:val="0"/>
        <w:pageBreakBefore w:val="0"/>
        <w:widowControl w:val="0"/>
        <w:numPr>
          <w:ilvl w:val="0"/>
          <w:numId w:val="39"/>
        </w:numPr>
        <w:kinsoku/>
        <w:wordWrap/>
        <w:overflowPunct/>
        <w:topLinePunct w:val="0"/>
        <w:autoSpaceDE/>
        <w:autoSpaceDN/>
        <w:bidi w:val="0"/>
        <w:adjustRightInd w:val="0"/>
        <w:snapToGrid w:val="0"/>
        <w:spacing w:beforeLines="0" w:afterLines="0" w:line="360" w:lineRule="auto"/>
        <w:ind w:left="0" w:firstLine="560"/>
        <w:textAlignment w:val="auto"/>
        <w:rPr>
          <w:rFonts w:hint="eastAsia" w:ascii="宋体" w:hAnsi="宋体" w:eastAsia="宋体" w:cs="Times New Roman"/>
          <w:color w:val="auto"/>
          <w:kern w:val="2"/>
          <w:sz w:val="28"/>
          <w:szCs w:val="28"/>
          <w:highlight w:val="none"/>
        </w:rPr>
      </w:pPr>
      <w:r>
        <w:rPr>
          <w:rFonts w:hint="eastAsia" w:ascii="宋体" w:hAnsi="宋体"/>
          <w:color w:val="auto"/>
          <w:sz w:val="28"/>
          <w:szCs w:val="28"/>
          <w:highlight w:val="none"/>
          <w:lang w:eastAsia="zh-CN"/>
        </w:rPr>
        <w:t>丙酮、苯乙烯包装桶上未</w:t>
      </w:r>
      <w:r>
        <w:rPr>
          <w:rFonts w:hint="eastAsia" w:ascii="宋体" w:hAnsi="宋体" w:eastAsia="宋体" w:cs="Times New Roman"/>
          <w:color w:val="auto"/>
          <w:kern w:val="2"/>
          <w:sz w:val="28"/>
          <w:szCs w:val="28"/>
          <w:highlight w:val="none"/>
        </w:rPr>
        <w:t>粘贴或者拴挂化学品安全标签。</w:t>
      </w:r>
    </w:p>
    <w:p w14:paraId="5A136C0B">
      <w:pPr>
        <w:pStyle w:val="91"/>
        <w:keepNext w:val="0"/>
        <w:keepLines w:val="0"/>
        <w:pageBreakBefore w:val="0"/>
        <w:widowControl w:val="0"/>
        <w:numPr>
          <w:ilvl w:val="0"/>
          <w:numId w:val="39"/>
        </w:numPr>
        <w:kinsoku/>
        <w:wordWrap/>
        <w:overflowPunct/>
        <w:topLinePunct w:val="0"/>
        <w:autoSpaceDE/>
        <w:autoSpaceDN/>
        <w:bidi w:val="0"/>
        <w:adjustRightInd w:val="0"/>
        <w:snapToGrid w:val="0"/>
        <w:spacing w:beforeLines="0" w:afterLines="0" w:line="360" w:lineRule="auto"/>
        <w:ind w:left="0" w:firstLine="560"/>
        <w:textAlignment w:val="auto"/>
        <w:rPr>
          <w:rFonts w:hint="eastAsia" w:ascii="宋体" w:hAnsi="宋体" w:cs="Times New Roman"/>
          <w:color w:val="auto"/>
          <w:kern w:val="2"/>
          <w:sz w:val="28"/>
          <w:szCs w:val="28"/>
          <w:highlight w:val="none"/>
          <w:lang w:eastAsia="zh-CN"/>
        </w:rPr>
      </w:pPr>
      <w:r>
        <w:rPr>
          <w:rFonts w:hint="eastAsia" w:ascii="宋体" w:hAnsi="宋体"/>
          <w:color w:val="auto"/>
          <w:sz w:val="28"/>
          <w:szCs w:val="28"/>
          <w:highlight w:val="none"/>
          <w:lang w:val="en-US" w:eastAsia="zh-CN"/>
        </w:rPr>
        <w:t>1号仓储和5号仓储未设置</w:t>
      </w:r>
      <w:r>
        <w:rPr>
          <w:rFonts w:hint="eastAsia" w:ascii="宋体" w:hAnsi="宋体" w:eastAsia="宋体" w:cs="Times New Roman"/>
          <w:color w:val="auto"/>
          <w:kern w:val="2"/>
          <w:sz w:val="28"/>
          <w:szCs w:val="28"/>
          <w:highlight w:val="none"/>
        </w:rPr>
        <w:t>温湿度计</w:t>
      </w:r>
      <w:r>
        <w:rPr>
          <w:rFonts w:hint="eastAsia" w:ascii="宋体" w:hAnsi="宋体" w:cs="Times New Roman"/>
          <w:color w:val="auto"/>
          <w:kern w:val="2"/>
          <w:sz w:val="28"/>
          <w:szCs w:val="28"/>
          <w:highlight w:val="none"/>
          <w:lang w:eastAsia="zh-CN"/>
        </w:rPr>
        <w:t>。</w:t>
      </w:r>
    </w:p>
    <w:p w14:paraId="477418A1">
      <w:pPr>
        <w:pStyle w:val="91"/>
        <w:keepNext w:val="0"/>
        <w:keepLines w:val="0"/>
        <w:pageBreakBefore w:val="0"/>
        <w:widowControl w:val="0"/>
        <w:numPr>
          <w:ilvl w:val="0"/>
          <w:numId w:val="39"/>
        </w:numPr>
        <w:kinsoku/>
        <w:wordWrap/>
        <w:overflowPunct/>
        <w:topLinePunct w:val="0"/>
        <w:autoSpaceDE/>
        <w:autoSpaceDN/>
        <w:bidi w:val="0"/>
        <w:adjustRightInd w:val="0"/>
        <w:snapToGrid w:val="0"/>
        <w:spacing w:beforeLines="0" w:afterLines="0" w:line="360" w:lineRule="auto"/>
        <w:ind w:left="0" w:firstLine="560"/>
        <w:textAlignment w:val="auto"/>
        <w:rPr>
          <w:rFonts w:hint="eastAsia" w:ascii="宋体" w:hAnsi="宋体"/>
          <w:color w:val="auto"/>
          <w:sz w:val="28"/>
          <w:szCs w:val="28"/>
          <w:highlight w:val="none"/>
          <w:lang w:eastAsia="zh-CN"/>
        </w:rPr>
      </w:pPr>
      <w:r>
        <w:rPr>
          <w:rFonts w:hint="eastAsia" w:ascii="宋体" w:hAnsi="宋体" w:cs="Times New Roman"/>
          <w:color w:val="auto"/>
          <w:kern w:val="2"/>
          <w:sz w:val="28"/>
          <w:szCs w:val="28"/>
          <w:highlight w:val="none"/>
          <w:lang w:eastAsia="zh-CN"/>
        </w:rPr>
        <w:t>危化品仓库未设置</w:t>
      </w:r>
      <w:r>
        <w:rPr>
          <w:rFonts w:hint="eastAsia" w:ascii="宋体" w:hAnsi="宋体" w:eastAsia="宋体" w:cs="Times New Roman"/>
          <w:color w:val="auto"/>
          <w:kern w:val="2"/>
          <w:sz w:val="28"/>
          <w:szCs w:val="28"/>
          <w:highlight w:val="none"/>
        </w:rPr>
        <w:t>装卸操作规程</w:t>
      </w:r>
      <w:r>
        <w:rPr>
          <w:rFonts w:hint="eastAsia" w:ascii="宋体" w:hAnsi="宋体" w:cs="Times New Roman"/>
          <w:color w:val="auto"/>
          <w:kern w:val="2"/>
          <w:sz w:val="28"/>
          <w:szCs w:val="28"/>
          <w:highlight w:val="none"/>
          <w:lang w:eastAsia="zh-CN"/>
        </w:rPr>
        <w:t>。</w:t>
      </w:r>
    </w:p>
    <w:p w14:paraId="2AB25B83">
      <w:pPr>
        <w:pStyle w:val="91"/>
        <w:keepNext w:val="0"/>
        <w:keepLines w:val="0"/>
        <w:pageBreakBefore w:val="0"/>
        <w:widowControl w:val="0"/>
        <w:numPr>
          <w:ilvl w:val="0"/>
          <w:numId w:val="39"/>
        </w:numPr>
        <w:kinsoku/>
        <w:wordWrap/>
        <w:overflowPunct/>
        <w:topLinePunct w:val="0"/>
        <w:autoSpaceDE/>
        <w:autoSpaceDN/>
        <w:bidi w:val="0"/>
        <w:adjustRightInd w:val="0"/>
        <w:snapToGrid w:val="0"/>
        <w:spacing w:beforeLines="0" w:afterLines="0" w:line="360" w:lineRule="auto"/>
        <w:ind w:left="0" w:firstLine="560"/>
        <w:textAlignment w:val="auto"/>
        <w:rPr>
          <w:rFonts w:hint="eastAsia" w:ascii="宋体" w:hAnsi="宋体" w:cs="Times New Roman"/>
          <w:color w:val="auto"/>
          <w:kern w:val="2"/>
          <w:sz w:val="28"/>
          <w:szCs w:val="28"/>
          <w:highlight w:val="none"/>
        </w:rPr>
      </w:pPr>
      <w:r>
        <w:rPr>
          <w:rFonts w:hint="eastAsia" w:ascii="宋体" w:hAnsi="宋体" w:cs="Times New Roman"/>
          <w:color w:val="auto"/>
          <w:kern w:val="2"/>
          <w:sz w:val="28"/>
          <w:szCs w:val="28"/>
          <w:highlight w:val="none"/>
          <w:lang w:eastAsia="zh-CN"/>
        </w:rPr>
        <w:t>双氧水未分离储存。</w:t>
      </w:r>
    </w:p>
    <w:p w14:paraId="09D5471B">
      <w:pPr>
        <w:pStyle w:val="91"/>
        <w:keepNext w:val="0"/>
        <w:keepLines w:val="0"/>
        <w:pageBreakBefore w:val="0"/>
        <w:widowControl w:val="0"/>
        <w:numPr>
          <w:ilvl w:val="0"/>
          <w:numId w:val="39"/>
        </w:numPr>
        <w:kinsoku/>
        <w:wordWrap/>
        <w:overflowPunct/>
        <w:topLinePunct w:val="0"/>
        <w:autoSpaceDE/>
        <w:autoSpaceDN/>
        <w:bidi w:val="0"/>
        <w:adjustRightInd w:val="0"/>
        <w:snapToGrid w:val="0"/>
        <w:spacing w:beforeLines="0" w:afterLines="0" w:line="360" w:lineRule="auto"/>
        <w:ind w:left="0" w:firstLine="560"/>
        <w:textAlignment w:val="auto"/>
        <w:rPr>
          <w:rFonts w:hint="eastAsia" w:ascii="宋体" w:hAnsi="宋体"/>
          <w:color w:val="auto"/>
          <w:sz w:val="28"/>
          <w:szCs w:val="28"/>
          <w:highlight w:val="none"/>
        </w:rPr>
      </w:pPr>
      <w:r>
        <w:rPr>
          <w:rFonts w:hint="eastAsia" w:ascii="宋体" w:hAnsi="宋体" w:cs="Times New Roman"/>
          <w:color w:val="auto"/>
          <w:kern w:val="2"/>
          <w:sz w:val="28"/>
          <w:szCs w:val="28"/>
          <w:highlight w:val="none"/>
        </w:rPr>
        <w:t>盐酸、过氧化二苯甲酰、过氧化甲乙酮、双氧水、</w:t>
      </w:r>
      <w:r>
        <w:rPr>
          <w:rFonts w:hint="eastAsia" w:ascii="宋体" w:hAnsi="宋体" w:cs="Times New Roman"/>
          <w:color w:val="auto"/>
          <w:kern w:val="2"/>
          <w:sz w:val="28"/>
          <w:szCs w:val="28"/>
          <w:highlight w:val="none"/>
          <w:lang w:eastAsia="zh-CN"/>
        </w:rPr>
        <w:t>钴盐、</w:t>
      </w:r>
      <w:r>
        <w:rPr>
          <w:rFonts w:hint="eastAsia" w:ascii="宋体" w:hAnsi="宋体" w:cs="Times New Roman"/>
          <w:color w:val="auto"/>
          <w:kern w:val="2"/>
          <w:sz w:val="28"/>
          <w:szCs w:val="28"/>
          <w:highlight w:val="none"/>
        </w:rPr>
        <w:t>油漆、稀释剂、固化剂</w:t>
      </w:r>
      <w:r>
        <w:rPr>
          <w:rFonts w:hint="eastAsia" w:ascii="宋体" w:hAnsi="宋体"/>
          <w:color w:val="auto"/>
          <w:sz w:val="28"/>
          <w:szCs w:val="28"/>
          <w:highlight w:val="none"/>
        </w:rPr>
        <w:t>直接与地面接触</w:t>
      </w:r>
      <w:r>
        <w:rPr>
          <w:rFonts w:hint="eastAsia" w:ascii="宋体" w:hAnsi="宋体"/>
          <w:color w:val="auto"/>
          <w:sz w:val="28"/>
          <w:szCs w:val="28"/>
          <w:highlight w:val="none"/>
          <w:lang w:eastAsia="zh-CN"/>
        </w:rPr>
        <w:t>。</w:t>
      </w:r>
    </w:p>
    <w:p w14:paraId="3D56879D">
      <w:pPr>
        <w:pStyle w:val="91"/>
        <w:keepNext w:val="0"/>
        <w:keepLines w:val="0"/>
        <w:pageBreakBefore w:val="0"/>
        <w:widowControl w:val="0"/>
        <w:numPr>
          <w:ilvl w:val="0"/>
          <w:numId w:val="39"/>
        </w:numPr>
        <w:kinsoku/>
        <w:wordWrap/>
        <w:overflowPunct/>
        <w:topLinePunct w:val="0"/>
        <w:autoSpaceDE/>
        <w:autoSpaceDN/>
        <w:bidi w:val="0"/>
        <w:adjustRightInd w:val="0"/>
        <w:snapToGrid w:val="0"/>
        <w:spacing w:beforeLines="0" w:afterLines="0" w:line="360" w:lineRule="auto"/>
        <w:ind w:left="0" w:firstLine="560" w:firstLineChars="200"/>
        <w:textAlignment w:val="auto"/>
        <w:rPr>
          <w:rFonts w:hint="eastAsia"/>
          <w:color w:val="auto"/>
          <w:highlight w:val="none"/>
        </w:rPr>
      </w:pPr>
      <w:r>
        <w:rPr>
          <w:rFonts w:hint="eastAsia" w:ascii="宋体" w:hAnsi="宋体"/>
          <w:color w:val="auto"/>
          <w:sz w:val="28"/>
          <w:szCs w:val="28"/>
          <w:highlight w:val="none"/>
          <w:lang w:eastAsia="zh-CN"/>
        </w:rPr>
        <w:t>危化品</w:t>
      </w:r>
      <w:r>
        <w:rPr>
          <w:rFonts w:hint="eastAsia" w:ascii="宋体" w:hAnsi="宋体"/>
          <w:color w:val="auto"/>
          <w:sz w:val="28"/>
          <w:szCs w:val="28"/>
          <w:highlight w:val="none"/>
        </w:rPr>
        <w:t>堆垛墙距</w:t>
      </w:r>
      <w:r>
        <w:rPr>
          <w:rFonts w:hint="eastAsia" w:ascii="宋体" w:hAnsi="宋体"/>
          <w:color w:val="auto"/>
          <w:sz w:val="28"/>
          <w:szCs w:val="28"/>
          <w:highlight w:val="none"/>
          <w:lang w:eastAsia="zh-CN"/>
        </w:rPr>
        <w:t>小于</w:t>
      </w:r>
      <w:r>
        <w:rPr>
          <w:rFonts w:hint="eastAsia" w:ascii="宋体" w:hAnsi="宋体"/>
          <w:color w:val="auto"/>
          <w:sz w:val="28"/>
          <w:szCs w:val="28"/>
          <w:highlight w:val="none"/>
        </w:rPr>
        <w:t>50cm</w:t>
      </w:r>
      <w:r>
        <w:rPr>
          <w:rFonts w:hint="eastAsia" w:ascii="宋体" w:hAnsi="宋体"/>
          <w:color w:val="auto"/>
          <w:sz w:val="28"/>
          <w:szCs w:val="28"/>
          <w:highlight w:val="none"/>
          <w:lang w:eastAsia="zh-CN"/>
        </w:rPr>
        <w:t>；</w:t>
      </w:r>
      <w:r>
        <w:rPr>
          <w:rFonts w:hint="eastAsia" w:ascii="宋体" w:hAnsi="宋体"/>
          <w:color w:val="auto"/>
          <w:sz w:val="28"/>
          <w:szCs w:val="28"/>
          <w:highlight w:val="none"/>
        </w:rPr>
        <w:t>柱距</w:t>
      </w:r>
      <w:r>
        <w:rPr>
          <w:rFonts w:hint="eastAsia" w:ascii="宋体" w:hAnsi="宋体"/>
          <w:color w:val="auto"/>
          <w:sz w:val="28"/>
          <w:szCs w:val="28"/>
          <w:highlight w:val="none"/>
          <w:lang w:eastAsia="zh-CN"/>
        </w:rPr>
        <w:t>小于</w:t>
      </w:r>
      <w:r>
        <w:rPr>
          <w:rFonts w:hint="eastAsia" w:ascii="宋体" w:hAnsi="宋体"/>
          <w:color w:val="auto"/>
          <w:sz w:val="28"/>
          <w:szCs w:val="28"/>
          <w:highlight w:val="none"/>
        </w:rPr>
        <w:t>30cm</w:t>
      </w:r>
      <w:r>
        <w:rPr>
          <w:rFonts w:hint="eastAsia" w:ascii="宋体" w:hAnsi="宋体"/>
          <w:color w:val="auto"/>
          <w:sz w:val="28"/>
          <w:szCs w:val="28"/>
          <w:highlight w:val="none"/>
          <w:lang w:eastAsia="zh-CN"/>
        </w:rPr>
        <w:t>。</w:t>
      </w:r>
    </w:p>
    <w:p w14:paraId="3F16F68C">
      <w:pPr>
        <w:pStyle w:val="91"/>
        <w:keepNext w:val="0"/>
        <w:keepLines w:val="0"/>
        <w:pageBreakBefore w:val="0"/>
        <w:widowControl w:val="0"/>
        <w:numPr>
          <w:ilvl w:val="0"/>
          <w:numId w:val="39"/>
        </w:numPr>
        <w:kinsoku/>
        <w:wordWrap/>
        <w:overflowPunct/>
        <w:topLinePunct w:val="0"/>
        <w:autoSpaceDE/>
        <w:autoSpaceDN/>
        <w:bidi w:val="0"/>
        <w:adjustRightInd w:val="0"/>
        <w:snapToGrid w:val="0"/>
        <w:spacing w:beforeLines="0" w:afterLines="0" w:line="360" w:lineRule="auto"/>
        <w:ind w:left="0" w:firstLine="560" w:firstLineChars="200"/>
        <w:textAlignment w:val="auto"/>
        <w:rPr>
          <w:rFonts w:hint="eastAsia"/>
          <w:color w:val="auto"/>
          <w:highlight w:val="none"/>
        </w:rPr>
      </w:pPr>
      <w:r>
        <w:rPr>
          <w:rFonts w:hint="eastAsia" w:ascii="宋体" w:hAnsi="宋体"/>
          <w:color w:val="auto"/>
          <w:sz w:val="28"/>
          <w:szCs w:val="28"/>
          <w:highlight w:val="none"/>
          <w:lang w:eastAsia="zh-CN"/>
        </w:rPr>
        <w:t>未</w:t>
      </w:r>
      <w:r>
        <w:rPr>
          <w:rFonts w:hint="eastAsia" w:ascii="宋体" w:hAnsi="宋体"/>
          <w:color w:val="auto"/>
          <w:highlight w:val="none"/>
        </w:rPr>
        <w:t>建立进入库区的人员登记记录</w:t>
      </w:r>
      <w:r>
        <w:rPr>
          <w:rFonts w:hint="eastAsia" w:ascii="宋体" w:hAnsi="宋体"/>
          <w:color w:val="auto"/>
          <w:sz w:val="28"/>
          <w:szCs w:val="28"/>
          <w:highlight w:val="none"/>
          <w:lang w:eastAsia="zh-CN"/>
        </w:rPr>
        <w:t>。</w:t>
      </w:r>
    </w:p>
    <w:p w14:paraId="2FC3247F">
      <w:pPr>
        <w:pStyle w:val="91"/>
        <w:keepNext w:val="0"/>
        <w:keepLines w:val="0"/>
        <w:pageBreakBefore w:val="0"/>
        <w:widowControl w:val="0"/>
        <w:numPr>
          <w:ilvl w:val="0"/>
          <w:numId w:val="39"/>
        </w:numPr>
        <w:kinsoku/>
        <w:wordWrap/>
        <w:overflowPunct/>
        <w:topLinePunct w:val="0"/>
        <w:autoSpaceDE/>
        <w:autoSpaceDN/>
        <w:bidi w:val="0"/>
        <w:adjustRightInd w:val="0"/>
        <w:snapToGrid w:val="0"/>
        <w:spacing w:beforeLines="0" w:afterLines="0" w:line="360" w:lineRule="auto"/>
        <w:ind w:left="0" w:firstLine="560" w:firstLineChars="200"/>
        <w:textAlignment w:val="auto"/>
        <w:rPr>
          <w:rFonts w:hint="eastAsia"/>
          <w:color w:val="auto"/>
          <w:highlight w:val="none"/>
        </w:rPr>
      </w:pPr>
      <w:r>
        <w:rPr>
          <w:rFonts w:hint="eastAsia" w:ascii="宋体" w:hAnsi="宋体"/>
          <w:color w:val="auto"/>
          <w:szCs w:val="28"/>
          <w:highlight w:val="none"/>
        </w:rPr>
        <w:t>未</w:t>
      </w:r>
      <w:r>
        <w:rPr>
          <w:rFonts w:hint="eastAsia" w:ascii="宋体" w:hAnsi="宋体"/>
          <w:color w:val="auto"/>
          <w:sz w:val="28"/>
          <w:szCs w:val="28"/>
          <w:highlight w:val="none"/>
        </w:rPr>
        <w:t>对进入库区的</w:t>
      </w:r>
      <w:r>
        <w:rPr>
          <w:rFonts w:hint="eastAsia"/>
          <w:color w:val="auto"/>
          <w:highlight w:val="none"/>
          <w:lang w:val="en-US" w:eastAsia="zh-CN"/>
        </w:rPr>
        <w:t>轿车</w:t>
      </w:r>
      <w:r>
        <w:rPr>
          <w:rFonts w:hint="eastAsia" w:ascii="宋体" w:hAnsi="宋体"/>
          <w:color w:val="auto"/>
          <w:szCs w:val="28"/>
          <w:highlight w:val="none"/>
        </w:rPr>
        <w:t>装设火星熄灭器（阻火器）</w:t>
      </w:r>
      <w:r>
        <w:rPr>
          <w:rFonts w:hint="eastAsia" w:ascii="宋体" w:hAnsi="宋体"/>
          <w:color w:val="auto"/>
          <w:szCs w:val="28"/>
          <w:highlight w:val="none"/>
          <w:lang w:eastAsia="zh-CN"/>
        </w:rPr>
        <w:t>。</w:t>
      </w:r>
    </w:p>
    <w:p w14:paraId="58F180FD">
      <w:pPr>
        <w:pStyle w:val="91"/>
        <w:keepNext w:val="0"/>
        <w:keepLines w:val="0"/>
        <w:pageBreakBefore w:val="0"/>
        <w:widowControl w:val="0"/>
        <w:numPr>
          <w:ilvl w:val="0"/>
          <w:numId w:val="39"/>
        </w:numPr>
        <w:kinsoku/>
        <w:wordWrap/>
        <w:overflowPunct/>
        <w:topLinePunct w:val="0"/>
        <w:autoSpaceDE/>
        <w:autoSpaceDN/>
        <w:bidi w:val="0"/>
        <w:adjustRightInd w:val="0"/>
        <w:snapToGrid w:val="0"/>
        <w:spacing w:beforeLines="0" w:afterLines="0" w:line="360" w:lineRule="auto"/>
        <w:ind w:left="0" w:firstLine="560" w:firstLineChars="200"/>
        <w:textAlignment w:val="auto"/>
        <w:rPr>
          <w:rFonts w:hint="eastAsia"/>
          <w:color w:val="auto"/>
          <w:highlight w:val="none"/>
        </w:rPr>
      </w:pPr>
      <w:r>
        <w:rPr>
          <w:rFonts w:hint="eastAsia" w:ascii="宋体" w:hAnsi="宋体"/>
          <w:color w:val="auto"/>
          <w:sz w:val="28"/>
          <w:szCs w:val="28"/>
          <w:highlight w:val="none"/>
          <w:lang w:eastAsia="zh-CN"/>
        </w:rPr>
        <w:t>未配备</w:t>
      </w:r>
      <w:r>
        <w:rPr>
          <w:rFonts w:hint="eastAsia" w:ascii="宋体" w:hAnsi="宋体"/>
          <w:color w:val="auto"/>
          <w:sz w:val="28"/>
          <w:szCs w:val="28"/>
          <w:highlight w:val="none"/>
        </w:rPr>
        <w:t>防静电工作服</w:t>
      </w:r>
      <w:r>
        <w:rPr>
          <w:rFonts w:hint="eastAsia" w:ascii="宋体" w:hAnsi="宋体"/>
          <w:color w:val="auto"/>
          <w:sz w:val="28"/>
          <w:szCs w:val="28"/>
          <w:highlight w:val="none"/>
          <w:lang w:eastAsia="zh-CN"/>
        </w:rPr>
        <w:t>。</w:t>
      </w:r>
    </w:p>
    <w:p w14:paraId="1320E082">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1725" w:name="_Toc32247"/>
      <w:bookmarkStart w:id="1726" w:name="_Toc17944"/>
      <w:bookmarkStart w:id="1727" w:name="_Toc4940"/>
      <w:bookmarkStart w:id="1728" w:name="_Toc26403"/>
      <w:bookmarkStart w:id="1729" w:name="_Toc995"/>
      <w:bookmarkStart w:id="1730" w:name="_Toc10969"/>
      <w:bookmarkStart w:id="1731" w:name="_Toc21135"/>
      <w:bookmarkStart w:id="1732" w:name="_Toc7160"/>
      <w:bookmarkStart w:id="1733" w:name="_Toc2728"/>
      <w:bookmarkStart w:id="1734" w:name="_Toc29803"/>
      <w:bookmarkStart w:id="1735" w:name="_Toc24546"/>
      <w:bookmarkStart w:id="1736" w:name="_Toc32434"/>
      <w:bookmarkStart w:id="1737" w:name="_Toc21607"/>
      <w:bookmarkStart w:id="1738" w:name="_Toc15072"/>
      <w:bookmarkStart w:id="1739" w:name="_Toc16722"/>
      <w:bookmarkStart w:id="1740" w:name="_Toc18413"/>
      <w:bookmarkStart w:id="1741" w:name="_Toc13244"/>
      <w:bookmarkStart w:id="1742" w:name="_Toc60846643"/>
      <w:bookmarkStart w:id="1743" w:name="_Toc498075624"/>
      <w:r>
        <w:rPr>
          <w:rFonts w:ascii="黑体" w:hAnsi="黑体" w:eastAsia="黑体" w:cs="Times New Roman"/>
          <w:b/>
          <w:color w:val="auto"/>
          <w:sz w:val="28"/>
          <w:szCs w:val="28"/>
          <w:highlight w:val="none"/>
        </w:rPr>
        <w:t>5.1.</w:t>
      </w:r>
      <w:r>
        <w:rPr>
          <w:rFonts w:hint="eastAsia" w:ascii="黑体" w:hAnsi="黑体" w:eastAsia="黑体" w:cs="Times New Roman"/>
          <w:b/>
          <w:color w:val="auto"/>
          <w:sz w:val="28"/>
          <w:szCs w:val="28"/>
          <w:highlight w:val="none"/>
          <w:lang w:val="en-US" w:eastAsia="zh-CN"/>
        </w:rPr>
        <w:t xml:space="preserve">4 </w:t>
      </w:r>
      <w:r>
        <w:rPr>
          <w:rFonts w:hint="eastAsia" w:ascii="黑体" w:hAnsi="黑体" w:eastAsia="黑体" w:cs="Times New Roman"/>
          <w:b/>
          <w:color w:val="auto"/>
          <w:sz w:val="28"/>
          <w:szCs w:val="28"/>
          <w:highlight w:val="none"/>
        </w:rPr>
        <w:t>易制爆危险化学品</w:t>
      </w:r>
      <w:r>
        <w:rPr>
          <w:rFonts w:hint="eastAsia" w:ascii="黑体" w:hAnsi="黑体" w:eastAsia="黑体" w:cs="Times New Roman"/>
          <w:b/>
          <w:color w:val="auto"/>
          <w:sz w:val="28"/>
          <w:szCs w:val="28"/>
          <w:highlight w:val="none"/>
          <w:lang w:eastAsia="zh-CN"/>
        </w:rPr>
        <w:t>治安</w:t>
      </w:r>
      <w:r>
        <w:rPr>
          <w:rFonts w:hint="eastAsia" w:ascii="黑体" w:hAnsi="黑体" w:eastAsia="黑体" w:cs="Times New Roman"/>
          <w:b/>
          <w:color w:val="auto"/>
          <w:sz w:val="28"/>
          <w:szCs w:val="28"/>
          <w:highlight w:val="none"/>
        </w:rPr>
        <w:t>评价</w:t>
      </w:r>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p>
    <w:p w14:paraId="7EE6ECB6">
      <w:pPr>
        <w:adjustRightInd w:val="0"/>
        <w:snapToGrid w:val="0"/>
        <w:spacing w:beforeLines="0" w:afterLines="0" w:line="360" w:lineRule="auto"/>
        <w:ind w:firstLine="560" w:firstLineChars="200"/>
        <w:rPr>
          <w:rFonts w:hint="eastAsia" w:ascii="宋体" w:hAnsi="宋体"/>
          <w:color w:val="auto"/>
          <w:kern w:val="0"/>
          <w:sz w:val="28"/>
          <w:szCs w:val="28"/>
          <w:highlight w:val="none"/>
        </w:rPr>
      </w:pPr>
      <w:r>
        <w:rPr>
          <w:rFonts w:hint="eastAsia" w:ascii="宋体" w:hAnsi="宋体"/>
          <w:color w:val="auto"/>
          <w:kern w:val="0"/>
          <w:sz w:val="28"/>
          <w:szCs w:val="28"/>
          <w:highlight w:val="none"/>
        </w:rPr>
        <w:t>根据《易制爆危险化学品治安管理办法》（公安部令〔2019〕154号）的要求对5号仓储</w:t>
      </w:r>
      <w:r>
        <w:rPr>
          <w:rFonts w:hint="eastAsia" w:ascii="宋体" w:hAnsi="宋体"/>
          <w:color w:val="auto"/>
          <w:kern w:val="0"/>
          <w:sz w:val="28"/>
          <w:szCs w:val="28"/>
          <w:highlight w:val="none"/>
          <w:lang w:eastAsia="zh-CN"/>
        </w:rPr>
        <w:t>（储存双氧水等）和</w:t>
      </w:r>
      <w:r>
        <w:rPr>
          <w:rFonts w:hint="eastAsia" w:ascii="宋体" w:hAnsi="宋体"/>
          <w:color w:val="auto"/>
          <w:kern w:val="0"/>
          <w:sz w:val="28"/>
          <w:szCs w:val="28"/>
          <w:highlight w:val="none"/>
          <w:lang w:val="en-US" w:eastAsia="zh-CN"/>
        </w:rPr>
        <w:t>7</w:t>
      </w:r>
      <w:r>
        <w:rPr>
          <w:rFonts w:hint="eastAsia" w:ascii="宋体" w:hAnsi="宋体"/>
          <w:color w:val="auto"/>
          <w:kern w:val="0"/>
          <w:sz w:val="28"/>
          <w:szCs w:val="28"/>
          <w:highlight w:val="none"/>
        </w:rPr>
        <w:t>号仓储</w:t>
      </w:r>
      <w:r>
        <w:rPr>
          <w:rFonts w:hint="eastAsia" w:ascii="宋体" w:hAnsi="宋体"/>
          <w:color w:val="auto"/>
          <w:kern w:val="0"/>
          <w:sz w:val="28"/>
          <w:szCs w:val="28"/>
          <w:highlight w:val="none"/>
          <w:lang w:eastAsia="zh-CN"/>
        </w:rPr>
        <w:t>（储存</w:t>
      </w:r>
      <w:r>
        <w:rPr>
          <w:rFonts w:hint="eastAsia" w:ascii="宋体" w:hAnsi="宋体"/>
          <w:color w:val="auto"/>
          <w:kern w:val="0"/>
          <w:sz w:val="28"/>
          <w:szCs w:val="28"/>
          <w:highlight w:val="none"/>
        </w:rPr>
        <w:t>六亚甲基四胺</w:t>
      </w:r>
      <w:r>
        <w:rPr>
          <w:rFonts w:hint="eastAsia" w:ascii="宋体" w:hAnsi="宋体"/>
          <w:color w:val="auto"/>
          <w:kern w:val="0"/>
          <w:sz w:val="28"/>
          <w:szCs w:val="28"/>
          <w:highlight w:val="none"/>
          <w:lang w:eastAsia="zh-CN"/>
        </w:rPr>
        <w:t>、硝酸银）</w:t>
      </w:r>
      <w:r>
        <w:rPr>
          <w:rFonts w:hint="eastAsia" w:ascii="宋体" w:hAnsi="宋体"/>
          <w:color w:val="auto"/>
          <w:kern w:val="0"/>
          <w:sz w:val="28"/>
          <w:szCs w:val="28"/>
          <w:highlight w:val="none"/>
        </w:rPr>
        <w:t>治安管理进行评价，检查情况</w:t>
      </w:r>
      <w:r>
        <w:rPr>
          <w:rFonts w:hint="eastAsia" w:ascii="宋体" w:hAnsi="宋体"/>
          <w:color w:val="auto"/>
          <w:kern w:val="0"/>
          <w:sz w:val="28"/>
          <w:szCs w:val="28"/>
          <w:highlight w:val="none"/>
          <w:lang w:eastAsia="zh-CN"/>
        </w:rPr>
        <w:t>见下表</w:t>
      </w:r>
      <w:r>
        <w:rPr>
          <w:rFonts w:hint="eastAsia" w:ascii="宋体" w:hAnsi="宋体"/>
          <w:color w:val="auto"/>
          <w:kern w:val="0"/>
          <w:sz w:val="28"/>
          <w:szCs w:val="28"/>
          <w:highlight w:val="none"/>
        </w:rPr>
        <w:t>。</w:t>
      </w:r>
    </w:p>
    <w:p w14:paraId="227CB778">
      <w:pPr>
        <w:tabs>
          <w:tab w:val="left" w:pos="420"/>
        </w:tabs>
        <w:adjustRightInd w:val="0"/>
        <w:snapToGrid w:val="0"/>
        <w:spacing w:beforeLines="0" w:afterLines="0" w:line="360" w:lineRule="auto"/>
        <w:jc w:val="center"/>
        <w:rPr>
          <w:rFonts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rPr>
        <w:t>表5.1-</w:t>
      </w:r>
      <w:r>
        <w:rPr>
          <w:rFonts w:hint="eastAsia" w:ascii="黑体" w:hAnsi="黑体" w:eastAsia="黑体" w:cs="黑体"/>
          <w:b/>
          <w:color w:val="auto"/>
          <w:kern w:val="0"/>
          <w:sz w:val="24"/>
          <w:szCs w:val="24"/>
          <w:highlight w:val="none"/>
          <w:lang w:val="en-US" w:eastAsia="zh-CN"/>
        </w:rPr>
        <w:t xml:space="preserve">7 </w:t>
      </w:r>
      <w:r>
        <w:rPr>
          <w:rFonts w:hint="eastAsia" w:ascii="黑体" w:hAnsi="黑体" w:eastAsia="黑体" w:cs="黑体"/>
          <w:b/>
          <w:color w:val="auto"/>
          <w:kern w:val="0"/>
          <w:sz w:val="24"/>
          <w:szCs w:val="24"/>
          <w:highlight w:val="none"/>
        </w:rPr>
        <w:t>易制爆危险化学品安全检查表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4307"/>
        <w:gridCol w:w="1245"/>
        <w:gridCol w:w="2389"/>
        <w:gridCol w:w="747"/>
      </w:tblGrid>
      <w:tr w14:paraId="45AE5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9" w:type="pct"/>
            <w:noWrap/>
            <w:vAlign w:val="center"/>
          </w:tcPr>
          <w:p w14:paraId="45CFDFB7">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290" w:type="pct"/>
            <w:noWrap/>
            <w:vAlign w:val="center"/>
          </w:tcPr>
          <w:p w14:paraId="68BB5778">
            <w:pPr>
              <w:adjustRightInd w:val="0"/>
              <w:snapToGrid w:val="0"/>
              <w:ind w:firstLine="0" w:firstLineChars="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检查项目及内容</w:t>
            </w:r>
          </w:p>
        </w:tc>
        <w:tc>
          <w:tcPr>
            <w:tcW w:w="662" w:type="pct"/>
            <w:noWrap/>
            <w:vAlign w:val="center"/>
          </w:tcPr>
          <w:p w14:paraId="017DB12A">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标准依据</w:t>
            </w:r>
          </w:p>
        </w:tc>
        <w:tc>
          <w:tcPr>
            <w:tcW w:w="1270" w:type="pct"/>
            <w:noWrap/>
            <w:vAlign w:val="center"/>
          </w:tcPr>
          <w:p w14:paraId="64BB67E3">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检查情况描述</w:t>
            </w:r>
          </w:p>
        </w:tc>
        <w:tc>
          <w:tcPr>
            <w:tcW w:w="397" w:type="pct"/>
            <w:noWrap/>
            <w:vAlign w:val="center"/>
          </w:tcPr>
          <w:p w14:paraId="5D6D143C">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w:t>
            </w:r>
          </w:p>
          <w:p w14:paraId="271147E5">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结果</w:t>
            </w:r>
          </w:p>
        </w:tc>
      </w:tr>
      <w:tr w14:paraId="0D675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55889FB1">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02688696">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易制爆危险化学品从业单位应当建立易制爆危险化学品信息系统，并实现与公安机关的信息系统互联互通。</w:t>
            </w:r>
          </w:p>
        </w:tc>
        <w:tc>
          <w:tcPr>
            <w:tcW w:w="662" w:type="pct"/>
            <w:noWrap/>
            <w:vAlign w:val="center"/>
          </w:tcPr>
          <w:p w14:paraId="6F07DBDA">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条</w:t>
            </w:r>
          </w:p>
        </w:tc>
        <w:tc>
          <w:tcPr>
            <w:tcW w:w="1270" w:type="pct"/>
            <w:noWrap/>
            <w:vAlign w:val="center"/>
          </w:tcPr>
          <w:p w14:paraId="74EC7E36">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建立易制爆危险化学品信息系统，并实现与公安机关的信息系统互联互通。</w:t>
            </w:r>
          </w:p>
        </w:tc>
        <w:tc>
          <w:tcPr>
            <w:tcW w:w="397" w:type="pct"/>
            <w:noWrap/>
            <w:vAlign w:val="center"/>
          </w:tcPr>
          <w:p w14:paraId="6D58B398">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78C72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0A04BFEF">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5888EE6A">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本办法第十条以外的其他单位购买易制爆危险化学品的，应当向销售单位出具以下材料：</w:t>
            </w:r>
          </w:p>
          <w:p w14:paraId="2412FAA7">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（一）本单位《工商营业执照》《事业单位法人证书》等合法证明复印件、经办人身份证明复印件；</w:t>
            </w:r>
          </w:p>
          <w:p w14:paraId="24BB4B48">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（二）易制爆危险化学品合法用途说明，说明应当包含具体用途、品种、数量等内容。</w:t>
            </w:r>
          </w:p>
          <w:p w14:paraId="5CC4DF8E">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严禁个人购买易制爆危险化学品。</w:t>
            </w:r>
          </w:p>
        </w:tc>
        <w:tc>
          <w:tcPr>
            <w:tcW w:w="662" w:type="pct"/>
            <w:noWrap/>
            <w:vAlign w:val="center"/>
          </w:tcPr>
          <w:p w14:paraId="1DC6E3AC">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11</w:t>
            </w:r>
            <w:r>
              <w:rPr>
                <w:rFonts w:hint="eastAsia" w:ascii="宋体" w:hAnsi="宋体" w:eastAsia="宋体" w:cs="宋体"/>
                <w:color w:val="auto"/>
                <w:kern w:val="0"/>
                <w:sz w:val="21"/>
                <w:szCs w:val="21"/>
                <w:highlight w:val="none"/>
              </w:rPr>
              <w:t>条</w:t>
            </w:r>
          </w:p>
        </w:tc>
        <w:tc>
          <w:tcPr>
            <w:tcW w:w="1270" w:type="pct"/>
            <w:noWrap/>
            <w:vAlign w:val="center"/>
          </w:tcPr>
          <w:p w14:paraId="1E799371">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向销售单位出具以下材料：</w:t>
            </w:r>
          </w:p>
          <w:p w14:paraId="0BDA1D2E">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（一）本单位《工商营业执照》《事业单位法人证书》等合法证明复印件、经办人身份证明复印件；</w:t>
            </w:r>
          </w:p>
          <w:p w14:paraId="195D265D">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（二）易制爆危险化学品合法用途说明，说明包含具体用途、品种、数量等内容。</w:t>
            </w:r>
          </w:p>
          <w:p w14:paraId="67DC8604">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以企业名义购买</w:t>
            </w:r>
            <w:r>
              <w:rPr>
                <w:rFonts w:hint="eastAsia" w:ascii="宋体" w:hAnsi="宋体" w:cs="宋体"/>
                <w:color w:val="auto"/>
                <w:kern w:val="0"/>
                <w:szCs w:val="21"/>
                <w:highlight w:val="none"/>
              </w:rPr>
              <w:t>六亚甲基四胺</w:t>
            </w:r>
            <w:r>
              <w:rPr>
                <w:rFonts w:hint="eastAsia" w:ascii="宋体" w:hAnsi="宋体" w:cs="宋体"/>
                <w:color w:val="auto"/>
                <w:kern w:val="0"/>
                <w:szCs w:val="21"/>
                <w:highlight w:val="none"/>
                <w:lang w:eastAsia="zh-CN"/>
              </w:rPr>
              <w:t>、</w:t>
            </w:r>
            <w:r>
              <w:rPr>
                <w:rFonts w:hint="eastAsia" w:ascii="宋体" w:hAnsi="宋体" w:eastAsia="宋体" w:cs="宋体"/>
                <w:color w:val="auto"/>
                <w:kern w:val="0"/>
                <w:sz w:val="21"/>
                <w:szCs w:val="21"/>
                <w:highlight w:val="none"/>
              </w:rPr>
              <w:t>双氧水</w:t>
            </w:r>
            <w:r>
              <w:rPr>
                <w:rFonts w:hint="eastAsia" w:ascii="宋体" w:hAnsi="宋体" w:eastAsia="宋体" w:cs="宋体"/>
                <w:color w:val="auto"/>
                <w:kern w:val="0"/>
                <w:sz w:val="21"/>
                <w:szCs w:val="21"/>
                <w:highlight w:val="none"/>
                <w:lang w:eastAsia="zh-CN"/>
              </w:rPr>
              <w:t>、硝酸银</w:t>
            </w:r>
            <w:r>
              <w:rPr>
                <w:rFonts w:hint="eastAsia" w:ascii="宋体" w:hAnsi="宋体" w:eastAsia="宋体" w:cs="宋体"/>
                <w:color w:val="auto"/>
                <w:kern w:val="0"/>
                <w:sz w:val="21"/>
                <w:szCs w:val="21"/>
                <w:highlight w:val="none"/>
              </w:rPr>
              <w:t>。</w:t>
            </w:r>
          </w:p>
        </w:tc>
        <w:tc>
          <w:tcPr>
            <w:tcW w:w="397" w:type="pct"/>
            <w:noWrap/>
            <w:vAlign w:val="center"/>
          </w:tcPr>
          <w:p w14:paraId="6E934702">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7758F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1A07EC5D">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25CB7092">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销售、购买、转让易制爆危险化学品应当通过本企业银行账户或者电子账户进行交易，不得使用现金或者实物进行交易。</w:t>
            </w:r>
          </w:p>
        </w:tc>
        <w:tc>
          <w:tcPr>
            <w:tcW w:w="662" w:type="pct"/>
            <w:noWrap/>
            <w:vAlign w:val="center"/>
          </w:tcPr>
          <w:p w14:paraId="66C1CF18">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13</w:t>
            </w:r>
            <w:r>
              <w:rPr>
                <w:rFonts w:hint="eastAsia" w:ascii="宋体" w:hAnsi="宋体" w:eastAsia="宋体" w:cs="宋体"/>
                <w:color w:val="auto"/>
                <w:kern w:val="0"/>
                <w:sz w:val="21"/>
                <w:szCs w:val="21"/>
                <w:highlight w:val="none"/>
              </w:rPr>
              <w:t>条</w:t>
            </w:r>
          </w:p>
        </w:tc>
        <w:tc>
          <w:tcPr>
            <w:tcW w:w="1270" w:type="pct"/>
            <w:noWrap/>
            <w:vAlign w:val="center"/>
          </w:tcPr>
          <w:p w14:paraId="2D9A8592">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购买</w:t>
            </w:r>
            <w:r>
              <w:rPr>
                <w:rFonts w:hint="eastAsia" w:ascii="宋体" w:hAnsi="宋体" w:cs="宋体"/>
                <w:color w:val="auto"/>
                <w:kern w:val="0"/>
                <w:szCs w:val="21"/>
                <w:highlight w:val="none"/>
              </w:rPr>
              <w:t>六亚甲基四胺</w:t>
            </w:r>
            <w:r>
              <w:rPr>
                <w:rFonts w:hint="eastAsia" w:ascii="宋体" w:hAnsi="宋体" w:cs="宋体"/>
                <w:color w:val="auto"/>
                <w:kern w:val="0"/>
                <w:szCs w:val="21"/>
                <w:highlight w:val="none"/>
                <w:lang w:eastAsia="zh-CN"/>
              </w:rPr>
              <w:t>、</w:t>
            </w:r>
            <w:r>
              <w:rPr>
                <w:rFonts w:hint="eastAsia" w:ascii="宋体" w:hAnsi="宋体" w:eastAsia="宋体" w:cs="宋体"/>
                <w:color w:val="auto"/>
                <w:kern w:val="0"/>
                <w:sz w:val="21"/>
                <w:szCs w:val="21"/>
                <w:highlight w:val="none"/>
              </w:rPr>
              <w:t>双氧水</w:t>
            </w:r>
            <w:r>
              <w:rPr>
                <w:rFonts w:hint="eastAsia" w:ascii="宋体" w:hAnsi="宋体" w:eastAsia="宋体" w:cs="宋体"/>
                <w:color w:val="auto"/>
                <w:kern w:val="0"/>
                <w:sz w:val="21"/>
                <w:szCs w:val="21"/>
                <w:highlight w:val="none"/>
                <w:lang w:eastAsia="zh-CN"/>
              </w:rPr>
              <w:t>、硝酸银</w:t>
            </w:r>
            <w:r>
              <w:rPr>
                <w:rFonts w:hint="eastAsia" w:ascii="宋体" w:hAnsi="宋体" w:eastAsia="宋体" w:cs="宋体"/>
                <w:color w:val="auto"/>
                <w:kern w:val="0"/>
                <w:sz w:val="21"/>
                <w:szCs w:val="21"/>
                <w:highlight w:val="none"/>
              </w:rPr>
              <w:t>通过本企业银行账户或者电子账户进行交易，未使用现金或者实物进行交易。</w:t>
            </w:r>
          </w:p>
        </w:tc>
        <w:tc>
          <w:tcPr>
            <w:tcW w:w="397" w:type="pct"/>
            <w:noWrap/>
            <w:vAlign w:val="center"/>
          </w:tcPr>
          <w:p w14:paraId="51AE9A60">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56C2C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14B2DDDB">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2FB55FC1">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易制爆危险化学品从业单位应当如实登记易制爆危险化学品销售、购买、出入库、领取、使用、归还、处置等信息，并录入易制爆危险化学品信息系统。</w:t>
            </w:r>
          </w:p>
        </w:tc>
        <w:tc>
          <w:tcPr>
            <w:tcW w:w="662" w:type="pct"/>
            <w:noWrap/>
            <w:vAlign w:val="center"/>
          </w:tcPr>
          <w:p w14:paraId="7A9FD0A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16</w:t>
            </w:r>
            <w:r>
              <w:rPr>
                <w:rFonts w:hint="eastAsia" w:ascii="宋体" w:hAnsi="宋体" w:eastAsia="宋体" w:cs="宋体"/>
                <w:color w:val="auto"/>
                <w:kern w:val="0"/>
                <w:sz w:val="21"/>
                <w:szCs w:val="21"/>
                <w:highlight w:val="none"/>
              </w:rPr>
              <w:t>条</w:t>
            </w:r>
          </w:p>
        </w:tc>
        <w:tc>
          <w:tcPr>
            <w:tcW w:w="1270" w:type="pct"/>
            <w:noWrap/>
            <w:vAlign w:val="center"/>
          </w:tcPr>
          <w:p w14:paraId="12D4731C">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如实登记</w:t>
            </w:r>
            <w:r>
              <w:rPr>
                <w:rFonts w:hint="eastAsia" w:ascii="宋体" w:hAnsi="宋体" w:cs="宋体"/>
                <w:color w:val="auto"/>
                <w:kern w:val="0"/>
                <w:szCs w:val="21"/>
                <w:highlight w:val="none"/>
              </w:rPr>
              <w:t>六亚甲基四胺</w:t>
            </w:r>
            <w:r>
              <w:rPr>
                <w:rFonts w:hint="eastAsia" w:ascii="宋体" w:hAnsi="宋体" w:cs="宋体"/>
                <w:color w:val="auto"/>
                <w:kern w:val="0"/>
                <w:szCs w:val="21"/>
                <w:highlight w:val="none"/>
                <w:lang w:eastAsia="zh-CN"/>
              </w:rPr>
              <w:t>、</w:t>
            </w:r>
            <w:r>
              <w:rPr>
                <w:rFonts w:hint="eastAsia" w:ascii="宋体" w:hAnsi="宋体" w:eastAsia="宋体" w:cs="宋体"/>
                <w:color w:val="auto"/>
                <w:kern w:val="0"/>
                <w:sz w:val="21"/>
                <w:szCs w:val="21"/>
                <w:highlight w:val="none"/>
              </w:rPr>
              <w:t>双氧水</w:t>
            </w:r>
            <w:r>
              <w:rPr>
                <w:rFonts w:hint="eastAsia" w:ascii="宋体" w:hAnsi="宋体" w:eastAsia="宋体" w:cs="宋体"/>
                <w:color w:val="auto"/>
                <w:kern w:val="0"/>
                <w:sz w:val="21"/>
                <w:szCs w:val="21"/>
                <w:highlight w:val="none"/>
                <w:lang w:eastAsia="zh-CN"/>
              </w:rPr>
              <w:t>、硝酸银</w:t>
            </w:r>
            <w:r>
              <w:rPr>
                <w:rFonts w:hint="eastAsia" w:ascii="宋体" w:hAnsi="宋体" w:eastAsia="宋体" w:cs="宋体"/>
                <w:color w:val="auto"/>
                <w:kern w:val="0"/>
                <w:sz w:val="21"/>
                <w:szCs w:val="21"/>
                <w:highlight w:val="none"/>
              </w:rPr>
              <w:t>购买、出入库、领取、使用、归还、处置等信息，并录入易制爆危险化学品信息系统。</w:t>
            </w:r>
          </w:p>
        </w:tc>
        <w:tc>
          <w:tcPr>
            <w:tcW w:w="397" w:type="pct"/>
            <w:noWrap/>
            <w:vAlign w:val="center"/>
          </w:tcPr>
          <w:p w14:paraId="47C978A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6062F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65EF160D">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6F73F31C">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易制爆危险化学品使用单位不得出借、转让其购买的易制爆危险化学品；因转产、停产、搬迁、关闭等确需转让的，应当向具有本办法第十条或者第十一条规定的相关许可证件或者证明文件的单位转让。</w:t>
            </w:r>
          </w:p>
          <w:p w14:paraId="6E5A2A5C">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双方应当在转让后五日内，将有关情况报告所在地县级公安机关。</w:t>
            </w:r>
          </w:p>
        </w:tc>
        <w:tc>
          <w:tcPr>
            <w:tcW w:w="662" w:type="pct"/>
            <w:noWrap/>
            <w:vAlign w:val="center"/>
          </w:tcPr>
          <w:p w14:paraId="204A4956">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18</w:t>
            </w:r>
            <w:r>
              <w:rPr>
                <w:rFonts w:hint="eastAsia" w:ascii="宋体" w:hAnsi="宋体" w:eastAsia="宋体" w:cs="宋体"/>
                <w:color w:val="auto"/>
                <w:kern w:val="0"/>
                <w:sz w:val="21"/>
                <w:szCs w:val="21"/>
                <w:highlight w:val="none"/>
              </w:rPr>
              <w:t>条</w:t>
            </w:r>
          </w:p>
        </w:tc>
        <w:tc>
          <w:tcPr>
            <w:tcW w:w="1270" w:type="pct"/>
            <w:noWrap/>
            <w:vAlign w:val="center"/>
          </w:tcPr>
          <w:p w14:paraId="1AAC13EA">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未出借、转让</w:t>
            </w:r>
            <w:r>
              <w:rPr>
                <w:rFonts w:hint="eastAsia" w:ascii="宋体" w:hAnsi="宋体" w:cs="宋体"/>
                <w:color w:val="auto"/>
                <w:kern w:val="0"/>
                <w:szCs w:val="21"/>
                <w:highlight w:val="none"/>
              </w:rPr>
              <w:t>六亚甲基四胺</w:t>
            </w:r>
            <w:r>
              <w:rPr>
                <w:rFonts w:hint="eastAsia" w:ascii="宋体" w:hAnsi="宋体" w:cs="宋体"/>
                <w:color w:val="auto"/>
                <w:kern w:val="0"/>
                <w:szCs w:val="21"/>
                <w:highlight w:val="none"/>
                <w:lang w:eastAsia="zh-CN"/>
              </w:rPr>
              <w:t>、</w:t>
            </w:r>
            <w:r>
              <w:rPr>
                <w:rFonts w:hint="eastAsia" w:ascii="宋体" w:hAnsi="宋体" w:eastAsia="宋体" w:cs="宋体"/>
                <w:color w:val="auto"/>
                <w:kern w:val="0"/>
                <w:sz w:val="21"/>
                <w:szCs w:val="21"/>
                <w:highlight w:val="none"/>
              </w:rPr>
              <w:t>双氧水</w:t>
            </w:r>
            <w:r>
              <w:rPr>
                <w:rFonts w:hint="eastAsia" w:ascii="宋体" w:hAnsi="宋体" w:eastAsia="宋体" w:cs="宋体"/>
                <w:color w:val="auto"/>
                <w:kern w:val="0"/>
                <w:sz w:val="21"/>
                <w:szCs w:val="21"/>
                <w:highlight w:val="none"/>
                <w:lang w:eastAsia="zh-CN"/>
              </w:rPr>
              <w:t>、硝酸银</w:t>
            </w:r>
            <w:r>
              <w:rPr>
                <w:rFonts w:hint="eastAsia" w:ascii="宋体" w:hAnsi="宋体" w:eastAsia="宋体" w:cs="宋体"/>
                <w:color w:val="auto"/>
                <w:kern w:val="0"/>
                <w:sz w:val="21"/>
                <w:szCs w:val="21"/>
                <w:highlight w:val="none"/>
              </w:rPr>
              <w:t>。</w:t>
            </w:r>
          </w:p>
        </w:tc>
        <w:tc>
          <w:tcPr>
            <w:tcW w:w="397" w:type="pct"/>
            <w:noWrap/>
            <w:vAlign w:val="center"/>
          </w:tcPr>
          <w:p w14:paraId="5665EE34">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3A966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267FDDC0">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27542B7E">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任何单位和个人不得交寄易制爆危险化学品或者在邮件、快递内夹带易制爆危险化学品，不得将易制爆危险化学品匿报或者谎报为普通物品交寄，不得将易制爆危险化学品交给不具有相应危险货物运输资质的企业托运。邮政企业、快递企业不得收寄易制爆危险化学品。运输企业、物流企业不得违反危险货物运输管理规定承运易制爆危险化学品。邮政企业、快递企业、运输企业、物流企业发现违反规定交寄或者托运易制爆危险化学品的，应当立即将有关情况报告公安机关和主管部门。</w:t>
            </w:r>
          </w:p>
        </w:tc>
        <w:tc>
          <w:tcPr>
            <w:tcW w:w="662" w:type="pct"/>
            <w:noWrap/>
            <w:vAlign w:val="center"/>
          </w:tcPr>
          <w:p w14:paraId="28268C7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21</w:t>
            </w:r>
            <w:r>
              <w:rPr>
                <w:rFonts w:hint="eastAsia" w:ascii="宋体" w:hAnsi="宋体" w:eastAsia="宋体" w:cs="宋体"/>
                <w:color w:val="auto"/>
                <w:kern w:val="0"/>
                <w:sz w:val="21"/>
                <w:szCs w:val="21"/>
                <w:highlight w:val="none"/>
              </w:rPr>
              <w:t>条</w:t>
            </w:r>
          </w:p>
        </w:tc>
        <w:tc>
          <w:tcPr>
            <w:tcW w:w="1270" w:type="pct"/>
            <w:noWrap/>
            <w:vAlign w:val="center"/>
          </w:tcPr>
          <w:p w14:paraId="0A2B8EC9">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易制爆危险化学品交给具有相应危险货物运输资质的企业托运。</w:t>
            </w:r>
          </w:p>
        </w:tc>
        <w:tc>
          <w:tcPr>
            <w:tcW w:w="397" w:type="pct"/>
            <w:noWrap/>
            <w:vAlign w:val="center"/>
          </w:tcPr>
          <w:p w14:paraId="23A3ADA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575F8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78361E4A">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34E532EA">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从业单位应当设置治安保卫机构，建立健全治安保卫制度，配备专职治安保卫人员负责易制爆危险化学品治安保卫工作，并将治安保卫机构的设置和人员的配备情况报所在地县级公安机关备案。治安保卫人员应当符合国家有关标准和规范要求，经培训后上岗。</w:t>
            </w:r>
          </w:p>
        </w:tc>
        <w:tc>
          <w:tcPr>
            <w:tcW w:w="662" w:type="pct"/>
            <w:noWrap/>
            <w:vAlign w:val="center"/>
          </w:tcPr>
          <w:p w14:paraId="5FA7007D">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25</w:t>
            </w:r>
            <w:r>
              <w:rPr>
                <w:rFonts w:hint="eastAsia" w:ascii="宋体" w:hAnsi="宋体" w:eastAsia="宋体" w:cs="宋体"/>
                <w:color w:val="auto"/>
                <w:kern w:val="0"/>
                <w:sz w:val="21"/>
                <w:szCs w:val="21"/>
                <w:highlight w:val="none"/>
              </w:rPr>
              <w:t>条</w:t>
            </w:r>
          </w:p>
        </w:tc>
        <w:tc>
          <w:tcPr>
            <w:tcW w:w="1270" w:type="pct"/>
            <w:noWrap/>
            <w:vAlign w:val="center"/>
          </w:tcPr>
          <w:p w14:paraId="03979B70">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置了治安保卫机构，建立了治安保卫制度，配备了专职治安保卫人员负责易制爆危险化学品治安保卫工作，并将治安保卫机构的设置和人员的配备情况报所在地县级公安机关备案。治安保卫人员符合国家有关标准和规范要求，经培训后上岗。</w:t>
            </w:r>
          </w:p>
        </w:tc>
        <w:tc>
          <w:tcPr>
            <w:tcW w:w="397" w:type="pct"/>
            <w:noWrap/>
            <w:vAlign w:val="center"/>
          </w:tcPr>
          <w:p w14:paraId="3D0E39D8">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42761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744F0227">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0EA5DBBD">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易制爆危险化学品应当按照国家有关标准和规范要求，储存在封闭式、半封闭式或者露天式危险化学品专用储存场所内，并根据危险品性能分区、分类、分库储存。</w:t>
            </w:r>
          </w:p>
          <w:p w14:paraId="07E755C2">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教学、科研、医疗、测试等易制爆危险化学品使用单位，可使用储存室或者储存柜储存易制爆危险化学品，单个储存室或者储存柜储存量应当在50公斤以下。</w:t>
            </w:r>
          </w:p>
        </w:tc>
        <w:tc>
          <w:tcPr>
            <w:tcW w:w="662" w:type="pct"/>
            <w:noWrap/>
            <w:vAlign w:val="center"/>
          </w:tcPr>
          <w:p w14:paraId="29272C82">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26</w:t>
            </w:r>
            <w:r>
              <w:rPr>
                <w:rFonts w:hint="eastAsia" w:ascii="宋体" w:hAnsi="宋体" w:eastAsia="宋体" w:cs="宋体"/>
                <w:color w:val="auto"/>
                <w:kern w:val="0"/>
                <w:sz w:val="21"/>
                <w:szCs w:val="21"/>
                <w:highlight w:val="none"/>
              </w:rPr>
              <w:t>条</w:t>
            </w:r>
          </w:p>
        </w:tc>
        <w:tc>
          <w:tcPr>
            <w:tcW w:w="1270" w:type="pct"/>
            <w:noWrap/>
            <w:vAlign w:val="center"/>
          </w:tcPr>
          <w:p w14:paraId="607DC0CF">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封闭式专用仓库储存。</w:t>
            </w:r>
          </w:p>
        </w:tc>
        <w:tc>
          <w:tcPr>
            <w:tcW w:w="397" w:type="pct"/>
            <w:noWrap/>
            <w:vAlign w:val="center"/>
          </w:tcPr>
          <w:p w14:paraId="5CFA4C93">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46FDB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58B8F575">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570C0377">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易制爆危险化学品储存场所应当按照国家有关标准和规范要求，设置相应的人力防范、实体防范、技术防范等治安防范设施，防止易制爆危险化学品丢失、被盗、被抢。</w:t>
            </w:r>
          </w:p>
        </w:tc>
        <w:tc>
          <w:tcPr>
            <w:tcW w:w="662" w:type="pct"/>
            <w:noWrap/>
            <w:vAlign w:val="center"/>
          </w:tcPr>
          <w:p w14:paraId="0F62DCD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27</w:t>
            </w:r>
            <w:r>
              <w:rPr>
                <w:rFonts w:hint="eastAsia" w:ascii="宋体" w:hAnsi="宋体" w:eastAsia="宋体" w:cs="宋体"/>
                <w:color w:val="auto"/>
                <w:kern w:val="0"/>
                <w:sz w:val="21"/>
                <w:szCs w:val="21"/>
                <w:highlight w:val="none"/>
              </w:rPr>
              <w:t>条</w:t>
            </w:r>
          </w:p>
        </w:tc>
        <w:tc>
          <w:tcPr>
            <w:tcW w:w="1270" w:type="pct"/>
            <w:noWrap/>
            <w:vAlign w:val="center"/>
          </w:tcPr>
          <w:p w14:paraId="2A76FA3C">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检查情况见表5.1-</w:t>
            </w:r>
            <w:r>
              <w:rPr>
                <w:rFonts w:hint="eastAsia" w:ascii="宋体" w:hAnsi="宋体" w:eastAsia="宋体" w:cs="宋体"/>
                <w:color w:val="auto"/>
                <w:kern w:val="0"/>
                <w:sz w:val="21"/>
                <w:szCs w:val="21"/>
                <w:highlight w:val="none"/>
                <w:lang w:val="en-US" w:eastAsia="zh-CN"/>
              </w:rPr>
              <w:t>7</w:t>
            </w:r>
            <w:r>
              <w:rPr>
                <w:rFonts w:hint="eastAsia" w:ascii="宋体" w:hAnsi="宋体" w:eastAsia="宋体" w:cs="宋体"/>
                <w:color w:val="auto"/>
                <w:kern w:val="0"/>
                <w:sz w:val="21"/>
                <w:szCs w:val="21"/>
                <w:highlight w:val="none"/>
              </w:rPr>
              <w:t>。</w:t>
            </w:r>
          </w:p>
        </w:tc>
        <w:tc>
          <w:tcPr>
            <w:tcW w:w="397" w:type="pct"/>
            <w:noWrap/>
            <w:vAlign w:val="center"/>
          </w:tcPr>
          <w:p w14:paraId="11325264">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2A76F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782A3265">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7343A65A">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易制爆危险化学品从业单位应当建立易制爆危险化学品出入库检查、登记制度，定期核对易制爆危险化学品存放情况。</w:t>
            </w:r>
          </w:p>
          <w:p w14:paraId="0E11EE5E">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易制爆危险化学品丢失、被盗、被抢的，应当立即报告公安机关。</w:t>
            </w:r>
          </w:p>
        </w:tc>
        <w:tc>
          <w:tcPr>
            <w:tcW w:w="662" w:type="pct"/>
            <w:noWrap/>
            <w:vAlign w:val="center"/>
          </w:tcPr>
          <w:p w14:paraId="4F80F8F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28</w:t>
            </w:r>
            <w:r>
              <w:rPr>
                <w:rFonts w:hint="eastAsia" w:ascii="宋体" w:hAnsi="宋体" w:eastAsia="宋体" w:cs="宋体"/>
                <w:color w:val="auto"/>
                <w:kern w:val="0"/>
                <w:sz w:val="21"/>
                <w:szCs w:val="21"/>
                <w:highlight w:val="none"/>
              </w:rPr>
              <w:t>条</w:t>
            </w:r>
          </w:p>
        </w:tc>
        <w:tc>
          <w:tcPr>
            <w:tcW w:w="1270" w:type="pct"/>
            <w:noWrap/>
            <w:vAlign w:val="center"/>
          </w:tcPr>
          <w:p w14:paraId="3845AD09">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建立易制爆危险化学品出入库检查、登记制度，定期核对易制爆危险化学品存放情况。</w:t>
            </w:r>
          </w:p>
        </w:tc>
        <w:tc>
          <w:tcPr>
            <w:tcW w:w="397" w:type="pct"/>
            <w:noWrap/>
            <w:vAlign w:val="center"/>
          </w:tcPr>
          <w:p w14:paraId="7C0E22B0">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712A8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9" w:type="pct"/>
            <w:noWrap/>
            <w:vAlign w:val="center"/>
          </w:tcPr>
          <w:p w14:paraId="7A59FF69">
            <w:pPr>
              <w:numPr>
                <w:ilvl w:val="0"/>
                <w:numId w:val="40"/>
              </w:numPr>
              <w:adjustRightInd w:val="0"/>
              <w:snapToGrid w:val="0"/>
              <w:jc w:val="center"/>
              <w:rPr>
                <w:rFonts w:hint="eastAsia" w:ascii="宋体" w:hAnsi="宋体" w:eastAsia="宋体" w:cs="宋体"/>
                <w:color w:val="auto"/>
                <w:kern w:val="0"/>
                <w:sz w:val="21"/>
                <w:szCs w:val="21"/>
                <w:highlight w:val="none"/>
              </w:rPr>
            </w:pPr>
          </w:p>
        </w:tc>
        <w:tc>
          <w:tcPr>
            <w:tcW w:w="2290" w:type="pct"/>
            <w:noWrap/>
            <w:vAlign w:val="center"/>
          </w:tcPr>
          <w:p w14:paraId="16CB16E4">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易制爆危险化学品储存场所（储存室、储存柜除外）治安防范状况应当纳入单位安全评价的内容，经安全评价合格后方可使用。</w:t>
            </w:r>
          </w:p>
        </w:tc>
        <w:tc>
          <w:tcPr>
            <w:tcW w:w="662" w:type="pct"/>
            <w:noWrap/>
            <w:vAlign w:val="center"/>
          </w:tcPr>
          <w:p w14:paraId="0911E5BF">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《易制爆危险化学品治安管理办法》第</w:t>
            </w:r>
            <w:r>
              <w:rPr>
                <w:rFonts w:hint="eastAsia" w:ascii="宋体" w:hAnsi="宋体" w:eastAsia="宋体" w:cs="宋体"/>
                <w:color w:val="auto"/>
                <w:kern w:val="0"/>
                <w:sz w:val="21"/>
                <w:szCs w:val="21"/>
                <w:highlight w:val="none"/>
                <w:lang w:val="en-US" w:eastAsia="zh-CN"/>
              </w:rPr>
              <w:t>29</w:t>
            </w:r>
            <w:r>
              <w:rPr>
                <w:rFonts w:hint="eastAsia" w:ascii="宋体" w:hAnsi="宋体" w:eastAsia="宋体" w:cs="宋体"/>
                <w:color w:val="auto"/>
                <w:kern w:val="0"/>
                <w:sz w:val="21"/>
                <w:szCs w:val="21"/>
                <w:highlight w:val="none"/>
              </w:rPr>
              <w:t>条</w:t>
            </w:r>
          </w:p>
        </w:tc>
        <w:tc>
          <w:tcPr>
            <w:tcW w:w="1270" w:type="pct"/>
            <w:noWrap/>
            <w:vAlign w:val="center"/>
          </w:tcPr>
          <w:p w14:paraId="7C13896D">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储存场所治安防范状况纳入单位安全评价的内容，经安全评价合格后使用。</w:t>
            </w:r>
          </w:p>
        </w:tc>
        <w:tc>
          <w:tcPr>
            <w:tcW w:w="397" w:type="pct"/>
            <w:noWrap/>
            <w:vAlign w:val="center"/>
          </w:tcPr>
          <w:p w14:paraId="399F8D04">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bl>
    <w:p w14:paraId="0F3B737B">
      <w:pPr>
        <w:adjustRightInd w:val="0"/>
        <w:snapToGrid w:val="0"/>
        <w:spacing w:before="100" w:beforeAutospacing="1" w:line="360" w:lineRule="auto"/>
        <w:ind w:firstLine="560" w:firstLineChars="200"/>
        <w:rPr>
          <w:rFonts w:hint="eastAsia" w:ascii="宋体" w:hAnsi="宋体"/>
          <w:color w:val="auto"/>
          <w:kern w:val="0"/>
          <w:sz w:val="28"/>
          <w:szCs w:val="28"/>
          <w:highlight w:val="none"/>
        </w:rPr>
      </w:pPr>
      <w:r>
        <w:rPr>
          <w:rFonts w:hint="eastAsia" w:ascii="宋体" w:hAnsi="宋体"/>
          <w:color w:val="auto"/>
          <w:kern w:val="0"/>
          <w:sz w:val="28"/>
          <w:szCs w:val="28"/>
          <w:highlight w:val="none"/>
        </w:rPr>
        <w:t>根据</w:t>
      </w:r>
      <w:r>
        <w:rPr>
          <w:rFonts w:ascii="宋体" w:hAnsi="宋体"/>
          <w:color w:val="auto"/>
          <w:kern w:val="0"/>
          <w:sz w:val="28"/>
          <w:szCs w:val="28"/>
          <w:highlight w:val="none"/>
        </w:rPr>
        <w:t>《易制爆危险化学品储存场所治安防范要求》GA1511-2018</w:t>
      </w:r>
      <w:r>
        <w:rPr>
          <w:rFonts w:hint="eastAsia" w:ascii="宋体" w:hAnsi="宋体"/>
          <w:color w:val="auto"/>
          <w:kern w:val="0"/>
          <w:sz w:val="28"/>
          <w:szCs w:val="28"/>
          <w:highlight w:val="none"/>
        </w:rPr>
        <w:t>的相关要求对5号仓储</w:t>
      </w:r>
      <w:r>
        <w:rPr>
          <w:rFonts w:hint="eastAsia" w:ascii="宋体" w:hAnsi="宋体"/>
          <w:color w:val="auto"/>
          <w:kern w:val="0"/>
          <w:sz w:val="28"/>
          <w:szCs w:val="28"/>
          <w:highlight w:val="none"/>
          <w:lang w:eastAsia="zh-CN"/>
        </w:rPr>
        <w:t>（储存双氧水等）和</w:t>
      </w:r>
      <w:r>
        <w:rPr>
          <w:rFonts w:hint="eastAsia" w:ascii="宋体" w:hAnsi="宋体"/>
          <w:color w:val="auto"/>
          <w:kern w:val="0"/>
          <w:sz w:val="28"/>
          <w:szCs w:val="28"/>
          <w:highlight w:val="none"/>
          <w:lang w:val="en-US" w:eastAsia="zh-CN"/>
        </w:rPr>
        <w:t>7</w:t>
      </w:r>
      <w:r>
        <w:rPr>
          <w:rFonts w:hint="eastAsia" w:ascii="宋体" w:hAnsi="宋体"/>
          <w:color w:val="auto"/>
          <w:kern w:val="0"/>
          <w:sz w:val="28"/>
          <w:szCs w:val="28"/>
          <w:highlight w:val="none"/>
        </w:rPr>
        <w:t>号仓储</w:t>
      </w:r>
      <w:r>
        <w:rPr>
          <w:rFonts w:hint="eastAsia" w:ascii="宋体" w:hAnsi="宋体"/>
          <w:color w:val="auto"/>
          <w:kern w:val="0"/>
          <w:sz w:val="28"/>
          <w:szCs w:val="28"/>
          <w:highlight w:val="none"/>
          <w:lang w:eastAsia="zh-CN"/>
        </w:rPr>
        <w:t>（储存</w:t>
      </w:r>
      <w:r>
        <w:rPr>
          <w:rFonts w:hint="eastAsia" w:ascii="宋体" w:hAnsi="宋体"/>
          <w:color w:val="auto"/>
          <w:kern w:val="0"/>
          <w:sz w:val="28"/>
          <w:szCs w:val="28"/>
          <w:highlight w:val="none"/>
        </w:rPr>
        <w:t>六亚甲基四胺</w:t>
      </w:r>
      <w:r>
        <w:rPr>
          <w:rFonts w:hint="eastAsia" w:ascii="宋体" w:hAnsi="宋体"/>
          <w:color w:val="auto"/>
          <w:kern w:val="0"/>
          <w:sz w:val="28"/>
          <w:szCs w:val="28"/>
          <w:highlight w:val="none"/>
          <w:lang w:eastAsia="zh-CN"/>
        </w:rPr>
        <w:t>、硝酸银）</w:t>
      </w:r>
      <w:r>
        <w:rPr>
          <w:rFonts w:ascii="宋体" w:hAnsi="宋体"/>
          <w:color w:val="auto"/>
          <w:kern w:val="0"/>
          <w:sz w:val="28"/>
          <w:szCs w:val="28"/>
          <w:highlight w:val="none"/>
        </w:rPr>
        <w:t>治安防范</w:t>
      </w:r>
      <w:r>
        <w:rPr>
          <w:rFonts w:hint="eastAsia" w:ascii="宋体" w:hAnsi="宋体"/>
          <w:color w:val="auto"/>
          <w:kern w:val="0"/>
          <w:sz w:val="28"/>
          <w:szCs w:val="28"/>
          <w:highlight w:val="none"/>
          <w:lang w:eastAsia="zh-CN"/>
        </w:rPr>
        <w:t>措施</w:t>
      </w:r>
      <w:r>
        <w:rPr>
          <w:rFonts w:hint="eastAsia" w:ascii="宋体" w:hAnsi="宋体"/>
          <w:color w:val="auto"/>
          <w:kern w:val="0"/>
          <w:sz w:val="28"/>
          <w:szCs w:val="28"/>
          <w:highlight w:val="none"/>
        </w:rPr>
        <w:t>情况进行</w:t>
      </w:r>
      <w:r>
        <w:rPr>
          <w:rFonts w:hint="eastAsia" w:ascii="宋体" w:hAnsi="宋体"/>
          <w:color w:val="auto"/>
          <w:kern w:val="0"/>
          <w:sz w:val="28"/>
          <w:szCs w:val="28"/>
          <w:highlight w:val="none"/>
          <w:lang w:eastAsia="zh-CN"/>
        </w:rPr>
        <w:t>检查</w:t>
      </w:r>
      <w:r>
        <w:rPr>
          <w:rFonts w:hint="eastAsia" w:ascii="宋体" w:hAnsi="宋体"/>
          <w:color w:val="auto"/>
          <w:kern w:val="0"/>
          <w:sz w:val="28"/>
          <w:szCs w:val="28"/>
          <w:highlight w:val="none"/>
        </w:rPr>
        <w:t>，检查情况</w:t>
      </w:r>
      <w:r>
        <w:rPr>
          <w:rFonts w:hint="eastAsia" w:ascii="宋体" w:hAnsi="宋体"/>
          <w:color w:val="auto"/>
          <w:kern w:val="0"/>
          <w:sz w:val="28"/>
          <w:szCs w:val="28"/>
          <w:highlight w:val="none"/>
          <w:lang w:eastAsia="zh-CN"/>
        </w:rPr>
        <w:t>见下表</w:t>
      </w:r>
      <w:r>
        <w:rPr>
          <w:rFonts w:hint="eastAsia" w:ascii="宋体" w:hAnsi="宋体"/>
          <w:color w:val="auto"/>
          <w:kern w:val="0"/>
          <w:sz w:val="28"/>
          <w:szCs w:val="28"/>
          <w:highlight w:val="none"/>
        </w:rPr>
        <w:t>。</w:t>
      </w:r>
    </w:p>
    <w:p w14:paraId="17D7890F">
      <w:pPr>
        <w:tabs>
          <w:tab w:val="left" w:pos="420"/>
        </w:tabs>
        <w:adjustRightInd w:val="0"/>
        <w:snapToGrid w:val="0"/>
        <w:spacing w:line="360" w:lineRule="auto"/>
        <w:jc w:val="center"/>
        <w:rPr>
          <w:rFonts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rPr>
        <w:t>表5.1-</w:t>
      </w:r>
      <w:r>
        <w:rPr>
          <w:rFonts w:hint="eastAsia" w:ascii="黑体" w:hAnsi="黑体" w:eastAsia="黑体" w:cs="黑体"/>
          <w:b/>
          <w:color w:val="auto"/>
          <w:kern w:val="0"/>
          <w:sz w:val="24"/>
          <w:szCs w:val="24"/>
          <w:highlight w:val="none"/>
          <w:lang w:val="en-US" w:eastAsia="zh-CN"/>
        </w:rPr>
        <w:t xml:space="preserve">8 </w:t>
      </w:r>
      <w:r>
        <w:rPr>
          <w:rFonts w:hint="eastAsia" w:ascii="黑体" w:hAnsi="黑体" w:eastAsia="黑体" w:cs="黑体"/>
          <w:b/>
          <w:color w:val="auto"/>
          <w:kern w:val="0"/>
          <w:sz w:val="24"/>
          <w:highlight w:val="none"/>
        </w:rPr>
        <w:t>5号仓储</w:t>
      </w:r>
      <w:r>
        <w:rPr>
          <w:rFonts w:hint="eastAsia" w:ascii="黑体" w:hAnsi="黑体" w:eastAsia="黑体" w:cs="黑体"/>
          <w:b/>
          <w:color w:val="auto"/>
          <w:kern w:val="0"/>
          <w:sz w:val="24"/>
          <w:szCs w:val="24"/>
          <w:highlight w:val="none"/>
        </w:rPr>
        <w:t>治安防范</w:t>
      </w:r>
      <w:r>
        <w:rPr>
          <w:rFonts w:hint="eastAsia" w:ascii="黑体" w:hAnsi="黑体" w:eastAsia="黑体" w:cs="黑体"/>
          <w:b/>
          <w:color w:val="auto"/>
          <w:kern w:val="0"/>
          <w:sz w:val="24"/>
          <w:szCs w:val="24"/>
          <w:highlight w:val="none"/>
          <w:lang w:eastAsia="zh-CN"/>
        </w:rPr>
        <w:t>措施</w:t>
      </w:r>
      <w:r>
        <w:rPr>
          <w:rFonts w:hint="eastAsia" w:ascii="黑体" w:hAnsi="黑体" w:eastAsia="黑体" w:cs="黑体"/>
          <w:b/>
          <w:color w:val="auto"/>
          <w:kern w:val="0"/>
          <w:sz w:val="24"/>
          <w:szCs w:val="24"/>
          <w:highlight w:val="none"/>
        </w:rPr>
        <w:t>检查表</w:t>
      </w:r>
    </w:p>
    <w:tbl>
      <w:tblPr>
        <w:tblStyle w:val="6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961"/>
        <w:gridCol w:w="5284"/>
        <w:gridCol w:w="2399"/>
        <w:gridCol w:w="756"/>
      </w:tblGrid>
      <w:tr w14:paraId="35E15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tblHeader/>
        </w:trPr>
        <w:tc>
          <w:tcPr>
            <w:tcW w:w="511" w:type="pct"/>
            <w:shd w:val="clear" w:color="auto" w:fill="FFFFFF"/>
            <w:noWrap/>
            <w:vAlign w:val="center"/>
          </w:tcPr>
          <w:p w14:paraId="307AD347">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810" w:type="pct"/>
            <w:shd w:val="clear" w:color="auto" w:fill="FFFFFF"/>
            <w:noWrap/>
            <w:vAlign w:val="center"/>
          </w:tcPr>
          <w:p w14:paraId="051293E4">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检查内容</w:t>
            </w:r>
          </w:p>
        </w:tc>
        <w:tc>
          <w:tcPr>
            <w:tcW w:w="1276" w:type="pct"/>
            <w:shd w:val="clear" w:color="auto" w:fill="FFFFFF"/>
            <w:noWrap/>
            <w:vAlign w:val="center"/>
          </w:tcPr>
          <w:p w14:paraId="741BC7EE">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实际情况说明</w:t>
            </w:r>
          </w:p>
        </w:tc>
        <w:tc>
          <w:tcPr>
            <w:tcW w:w="402" w:type="pct"/>
            <w:shd w:val="clear" w:color="auto" w:fill="FFFFFF"/>
            <w:noWrap/>
            <w:vAlign w:val="center"/>
          </w:tcPr>
          <w:p w14:paraId="32841E26">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检查结果</w:t>
            </w:r>
          </w:p>
        </w:tc>
      </w:tr>
      <w:tr w14:paraId="34AAB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25FA5E88">
            <w:pPr>
              <w:keepNext w:val="0"/>
              <w:keepLines w:val="0"/>
              <w:pageBreakBefore w:val="0"/>
              <w:widowControl w:val="0"/>
              <w:numPr>
                <w:ilvl w:val="0"/>
                <w:numId w:val="4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58427ED6">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6人力防范要求</w:t>
            </w:r>
          </w:p>
        </w:tc>
      </w:tr>
      <w:tr w14:paraId="518E4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146E0190">
            <w:pPr>
              <w:numPr>
                <w:ilvl w:val="0"/>
                <w:numId w:val="42"/>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6A2BB7E2">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6.1易制爆危险化学品从业单位应设置治安保卫机构，配备专职治安保卫人员负责易制爆危险化学品治安保卫工作。</w:t>
            </w:r>
          </w:p>
        </w:tc>
        <w:tc>
          <w:tcPr>
            <w:tcW w:w="1276" w:type="pct"/>
            <w:shd w:val="clear" w:color="auto" w:fill="FFFFFF"/>
            <w:noWrap/>
            <w:vAlign w:val="center"/>
          </w:tcPr>
          <w:p w14:paraId="05ED3B2D">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设置</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治安保卫机构，配备</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专职治安保卫人员负责易制爆危险化学品治安保卫工作。</w:t>
            </w:r>
          </w:p>
        </w:tc>
        <w:tc>
          <w:tcPr>
            <w:tcW w:w="402" w:type="pct"/>
            <w:shd w:val="clear" w:color="auto" w:fill="FFFFFF"/>
            <w:noWrap/>
            <w:vAlign w:val="center"/>
          </w:tcPr>
          <w:p w14:paraId="120E6794">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5600A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19F4C42F">
            <w:pPr>
              <w:numPr>
                <w:ilvl w:val="0"/>
                <w:numId w:val="42"/>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7DBF1634">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6.2易制爆危险化学品从业单位应设置保管员，如实登记易制爆危险化学品的销售、购买、出入库、领取、使用、归还、处置等信息，并按规定将相关信息录入流向管理信息系统。</w:t>
            </w:r>
          </w:p>
        </w:tc>
        <w:tc>
          <w:tcPr>
            <w:tcW w:w="1276" w:type="pct"/>
            <w:shd w:val="clear" w:color="auto" w:fill="FFFFFF"/>
            <w:noWrap/>
            <w:vAlign w:val="center"/>
          </w:tcPr>
          <w:p w14:paraId="14E92FB0">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设置</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保管员，如实登记易制爆危险化学品的购买、出入库、领取、使用、归还、处置等信息</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6761229A">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107E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441E765B">
            <w:pPr>
              <w:numPr>
                <w:ilvl w:val="0"/>
                <w:numId w:val="42"/>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70DB24F6">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6.3易制爆危险化学品从业单位应将治安保卫机构、治安保卫人员、保管员的设置情况报县级公安机关备案。</w:t>
            </w:r>
          </w:p>
        </w:tc>
        <w:tc>
          <w:tcPr>
            <w:tcW w:w="1276" w:type="pct"/>
            <w:shd w:val="clear" w:color="auto" w:fill="FFFFFF"/>
            <w:noWrap/>
            <w:vAlign w:val="center"/>
          </w:tcPr>
          <w:p w14:paraId="3F8E7F3E">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已取得</w:t>
            </w:r>
            <w:r>
              <w:rPr>
                <w:rFonts w:hint="eastAsia" w:ascii="宋体" w:hAnsi="宋体" w:eastAsia="宋体" w:cs="宋体"/>
                <w:color w:val="auto"/>
                <w:kern w:val="0"/>
                <w:sz w:val="21"/>
                <w:szCs w:val="21"/>
                <w:highlight w:val="none"/>
              </w:rPr>
              <w:t>备案</w:t>
            </w:r>
            <w:r>
              <w:rPr>
                <w:rFonts w:hint="eastAsia" w:ascii="宋体" w:hAnsi="宋体" w:eastAsia="宋体" w:cs="宋体"/>
                <w:color w:val="auto"/>
                <w:kern w:val="0"/>
                <w:sz w:val="21"/>
                <w:szCs w:val="21"/>
                <w:highlight w:val="none"/>
                <w:lang w:eastAsia="zh-CN"/>
              </w:rPr>
              <w:t>登记表</w:t>
            </w:r>
            <w:r>
              <w:rPr>
                <w:rFonts w:hint="eastAsia" w:ascii="宋体" w:hAnsi="宋体" w:eastAsia="宋体" w:cs="宋体"/>
                <w:color w:val="auto"/>
                <w:kern w:val="0"/>
                <w:sz w:val="21"/>
                <w:szCs w:val="21"/>
                <w:highlight w:val="none"/>
              </w:rPr>
              <w:t>。</w:t>
            </w:r>
          </w:p>
        </w:tc>
        <w:tc>
          <w:tcPr>
            <w:tcW w:w="402" w:type="pct"/>
            <w:shd w:val="clear" w:color="auto" w:fill="FFFFFF"/>
            <w:noWrap/>
            <w:vAlign w:val="center"/>
          </w:tcPr>
          <w:p w14:paraId="2C61BB23">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16F74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6F02A37F">
            <w:pPr>
              <w:numPr>
                <w:ilvl w:val="0"/>
                <w:numId w:val="42"/>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1B7B3147">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6.4治安保卫人员、保管员应符合下列条件并经培训后上岗：</w:t>
            </w:r>
          </w:p>
          <w:p w14:paraId="55DA1412">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a）年龄18～60周岁之间；</w:t>
            </w:r>
          </w:p>
          <w:p w14:paraId="1D1B1865">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b）具有完全民事行为能力，身体健康，无强制戒毒、刑事处罚的记录；</w:t>
            </w:r>
          </w:p>
          <w:p w14:paraId="29A0E055">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c）具有初中以上文化程度，能掌握岗位所需要的知识和技能。</w:t>
            </w:r>
          </w:p>
        </w:tc>
        <w:tc>
          <w:tcPr>
            <w:tcW w:w="1276" w:type="pct"/>
            <w:shd w:val="clear" w:color="auto" w:fill="FFFFFF"/>
            <w:noWrap/>
            <w:vAlign w:val="center"/>
          </w:tcPr>
          <w:p w14:paraId="451C0B32">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治安保卫人员、保管员符合条件并经培训后上岗</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4AD49810">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42F77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FD16915">
            <w:pPr>
              <w:numPr>
                <w:ilvl w:val="0"/>
                <w:numId w:val="42"/>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2A303227">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6.5小剂量存放场所以外的储存场所的保卫值班室应由治安保卫人员24 h值守。值守人员每2h对储存场所进行巡查，巡查时应携带自卫器具。保卫值班室应</w:t>
            </w:r>
            <w:r>
              <w:rPr>
                <w:rFonts w:hint="eastAsia" w:ascii="宋体" w:hAnsi="宋体" w:cs="宋体"/>
                <w:color w:val="auto"/>
                <w:kern w:val="0"/>
                <w:sz w:val="21"/>
                <w:szCs w:val="21"/>
                <w:highlight w:val="none"/>
                <w:lang w:eastAsia="zh-CN"/>
              </w:rPr>
              <w:t>配备通信</w:t>
            </w:r>
            <w:r>
              <w:rPr>
                <w:rFonts w:hint="eastAsia" w:ascii="宋体" w:hAnsi="宋体" w:eastAsia="宋体" w:cs="宋体"/>
                <w:color w:val="auto"/>
                <w:kern w:val="0"/>
                <w:sz w:val="21"/>
                <w:szCs w:val="21"/>
                <w:highlight w:val="none"/>
              </w:rPr>
              <w:t>工具并保持24 h畅通。</w:t>
            </w:r>
          </w:p>
        </w:tc>
        <w:tc>
          <w:tcPr>
            <w:tcW w:w="1276" w:type="pct"/>
            <w:shd w:val="clear" w:color="auto" w:fill="FFFFFF"/>
            <w:noWrap/>
            <w:vAlign w:val="center"/>
          </w:tcPr>
          <w:p w14:paraId="1AF030FD">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保卫值班室由治安保卫人员24 h值守。值守人员每2h对储存场所进行巡查，巡查时携带自卫器具。保卫值班室</w:t>
            </w:r>
            <w:r>
              <w:rPr>
                <w:rFonts w:hint="eastAsia" w:ascii="宋体" w:hAnsi="宋体" w:cs="宋体"/>
                <w:color w:val="auto"/>
                <w:kern w:val="0"/>
                <w:sz w:val="21"/>
                <w:szCs w:val="21"/>
                <w:highlight w:val="none"/>
                <w:lang w:eastAsia="zh-CN"/>
              </w:rPr>
              <w:t>配备通信</w:t>
            </w:r>
            <w:r>
              <w:rPr>
                <w:rFonts w:hint="eastAsia" w:ascii="宋体" w:hAnsi="宋体" w:eastAsia="宋体" w:cs="宋体"/>
                <w:color w:val="auto"/>
                <w:kern w:val="0"/>
                <w:sz w:val="21"/>
                <w:szCs w:val="21"/>
                <w:highlight w:val="none"/>
              </w:rPr>
              <w:t>工具并保持24 h畅通。</w:t>
            </w:r>
          </w:p>
        </w:tc>
        <w:tc>
          <w:tcPr>
            <w:tcW w:w="402" w:type="pct"/>
            <w:shd w:val="clear" w:color="auto" w:fill="FFFFFF"/>
            <w:noWrap/>
            <w:vAlign w:val="center"/>
          </w:tcPr>
          <w:p w14:paraId="570C92A8">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FE4C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6B29128A">
            <w:pPr>
              <w:numPr>
                <w:ilvl w:val="0"/>
                <w:numId w:val="42"/>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0F117B49">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6.6保管员应每天核对易制爆危险化学品存放情况，登记资料至少保存一年，发现易制爆危险化学品的包装、标签、标识等不符合安全要求的，应及时整改；发现账物不符的，应及时查找，查找不到下落的，应立即报告行业主管部门和所在地公安机关。</w:t>
            </w:r>
          </w:p>
        </w:tc>
        <w:tc>
          <w:tcPr>
            <w:tcW w:w="1276" w:type="pct"/>
            <w:shd w:val="clear" w:color="auto" w:fill="FFFFFF"/>
            <w:noWrap/>
            <w:vAlign w:val="center"/>
          </w:tcPr>
          <w:p w14:paraId="4EB04FB4">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保管员每天核对易制爆危险化学品存放情况，登记资料至少保存一年</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6EC749D0">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4A575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3923C95E">
            <w:pPr>
              <w:numPr>
                <w:ilvl w:val="0"/>
                <w:numId w:val="42"/>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01C20C13">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6.7易制爆危险化学品从业单位应定期对治安保卫人员、保管员开展以防盗抢、防丢失为主要内容的培训教育，每月至少召开一次安全会议并有记录。</w:t>
            </w:r>
          </w:p>
        </w:tc>
        <w:tc>
          <w:tcPr>
            <w:tcW w:w="1276" w:type="pct"/>
            <w:shd w:val="clear" w:color="auto" w:fill="FFFFFF"/>
            <w:noWrap/>
            <w:vAlign w:val="center"/>
          </w:tcPr>
          <w:p w14:paraId="5C5E21FA">
            <w:pPr>
              <w:adjustRightInd w:val="0"/>
              <w:snapToGrid w:val="0"/>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定期对治安保卫人员、保管员开展以防盗抢、防丢失为主要内容的培训教育</w:t>
            </w:r>
            <w:r>
              <w:rPr>
                <w:rFonts w:hint="eastAsia" w:ascii="宋体" w:hAnsi="宋体" w:eastAsia="宋体" w:cs="宋体"/>
                <w:color w:val="auto"/>
                <w:kern w:val="0"/>
                <w:sz w:val="21"/>
                <w:szCs w:val="21"/>
                <w:highlight w:val="none"/>
                <w:lang w:eastAsia="zh-CN"/>
              </w:rPr>
              <w:t>。</w:t>
            </w:r>
          </w:p>
          <w:p w14:paraId="5CD9DB77">
            <w:pPr>
              <w:adjustRightInd w:val="0"/>
              <w:snapToGrid w:val="0"/>
              <w:jc w:val="both"/>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有</w:t>
            </w:r>
            <w:r>
              <w:rPr>
                <w:rFonts w:hint="eastAsia" w:ascii="宋体" w:hAnsi="宋体" w:eastAsia="宋体" w:cs="宋体"/>
                <w:color w:val="auto"/>
                <w:kern w:val="0"/>
                <w:sz w:val="21"/>
                <w:szCs w:val="21"/>
                <w:highlight w:val="none"/>
              </w:rPr>
              <w:t>易制爆危险化学品安全会议</w:t>
            </w:r>
            <w:r>
              <w:rPr>
                <w:rFonts w:hint="eastAsia" w:ascii="宋体" w:hAnsi="宋体" w:eastAsia="宋体" w:cs="宋体"/>
                <w:color w:val="auto"/>
                <w:kern w:val="0"/>
                <w:sz w:val="21"/>
                <w:szCs w:val="21"/>
                <w:highlight w:val="none"/>
                <w:lang w:eastAsia="zh-CN"/>
              </w:rPr>
              <w:t>记录。</w:t>
            </w:r>
          </w:p>
        </w:tc>
        <w:tc>
          <w:tcPr>
            <w:tcW w:w="402" w:type="pct"/>
            <w:shd w:val="clear" w:color="auto" w:fill="FFFFFF"/>
            <w:noWrap/>
            <w:vAlign w:val="center"/>
          </w:tcPr>
          <w:p w14:paraId="7BB7BDCB">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1B24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1D4C6407">
            <w:pPr>
              <w:numPr>
                <w:ilvl w:val="0"/>
                <w:numId w:val="42"/>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55556CC2">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6.8易制爆危险化学品从业单位应建立易制爆危险化学品防盗、防抢、防破坏及技术防范系统发生故障等状态下的应急处置预案，并每年开展一次针对性的应急演练。</w:t>
            </w:r>
          </w:p>
        </w:tc>
        <w:tc>
          <w:tcPr>
            <w:tcW w:w="1276" w:type="pct"/>
            <w:shd w:val="clear" w:color="auto" w:fill="FFFFFF"/>
            <w:noWrap/>
            <w:vAlign w:val="center"/>
          </w:tcPr>
          <w:p w14:paraId="5CD6707A">
            <w:pPr>
              <w:adjustRightInd w:val="0"/>
              <w:snapToGrid w:val="0"/>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有易制爆危险化学品应急处置预案</w:t>
            </w:r>
            <w:r>
              <w:rPr>
                <w:rFonts w:hint="eastAsia" w:ascii="宋体" w:hAnsi="宋体" w:eastAsia="宋体" w:cs="宋体"/>
                <w:color w:val="auto"/>
                <w:kern w:val="0"/>
                <w:sz w:val="21"/>
                <w:szCs w:val="21"/>
                <w:highlight w:val="none"/>
                <w:lang w:eastAsia="zh-CN"/>
              </w:rPr>
              <w:t>。</w:t>
            </w:r>
          </w:p>
          <w:p w14:paraId="49F72769">
            <w:pPr>
              <w:pStyle w:val="60"/>
              <w:adjustRightInd w:val="0"/>
              <w:snapToGrid w:val="0"/>
              <w:spacing w:after="0"/>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cs="宋体"/>
                <w:color w:val="auto"/>
                <w:kern w:val="0"/>
                <w:sz w:val="21"/>
                <w:szCs w:val="21"/>
                <w:highlight w:val="none"/>
                <w:lang w:eastAsia="zh-CN"/>
              </w:rPr>
              <w:t>有</w:t>
            </w:r>
            <w:r>
              <w:rPr>
                <w:rFonts w:hint="eastAsia" w:ascii="宋体" w:hAnsi="宋体" w:eastAsia="宋体" w:cs="宋体"/>
                <w:color w:val="auto"/>
                <w:kern w:val="0"/>
                <w:sz w:val="21"/>
                <w:szCs w:val="21"/>
                <w:highlight w:val="none"/>
              </w:rPr>
              <w:t>易制爆危险化学品</w:t>
            </w:r>
            <w:r>
              <w:rPr>
                <w:rFonts w:hint="eastAsia" w:ascii="宋体" w:hAnsi="宋体" w:eastAsia="宋体" w:cs="宋体"/>
                <w:color w:val="auto"/>
                <w:kern w:val="0"/>
                <w:sz w:val="21"/>
                <w:szCs w:val="21"/>
                <w:highlight w:val="none"/>
                <w:lang w:eastAsia="zh-CN"/>
              </w:rPr>
              <w:t>应急演练记录。</w:t>
            </w:r>
          </w:p>
        </w:tc>
        <w:tc>
          <w:tcPr>
            <w:tcW w:w="402" w:type="pct"/>
            <w:shd w:val="clear" w:color="auto" w:fill="FFFFFF"/>
            <w:noWrap/>
            <w:vAlign w:val="center"/>
          </w:tcPr>
          <w:p w14:paraId="4D6C3946">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4E747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ECB1751">
            <w:pPr>
              <w:numPr>
                <w:ilvl w:val="0"/>
                <w:numId w:val="42"/>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0FBCDDD7">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6.9易制爆危险化学品从业单位应加强对治安防范工作的检查、考核和奖惩，及时发现、整改治安隐患，并保存检查、整改记录。</w:t>
            </w:r>
          </w:p>
        </w:tc>
        <w:tc>
          <w:tcPr>
            <w:tcW w:w="1276" w:type="pct"/>
            <w:shd w:val="clear" w:color="auto" w:fill="FFFFFF"/>
            <w:noWrap/>
            <w:vAlign w:val="center"/>
          </w:tcPr>
          <w:p w14:paraId="6366E65C">
            <w:pPr>
              <w:adjustRightInd w:val="0"/>
              <w:snapToGrid w:val="0"/>
              <w:jc w:val="both"/>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有</w:t>
            </w:r>
            <w:r>
              <w:rPr>
                <w:rFonts w:hint="eastAsia" w:ascii="宋体" w:hAnsi="宋体" w:eastAsia="宋体" w:cs="宋体"/>
                <w:color w:val="auto"/>
                <w:kern w:val="0"/>
                <w:sz w:val="21"/>
                <w:szCs w:val="21"/>
                <w:highlight w:val="none"/>
              </w:rPr>
              <w:t>治安防范工作的检查、考核和奖惩</w:t>
            </w:r>
            <w:r>
              <w:rPr>
                <w:rFonts w:hint="eastAsia" w:ascii="宋体" w:hAnsi="宋体" w:eastAsia="宋体" w:cs="宋体"/>
                <w:color w:val="auto"/>
                <w:kern w:val="0"/>
                <w:sz w:val="21"/>
                <w:szCs w:val="21"/>
                <w:highlight w:val="none"/>
                <w:lang w:eastAsia="zh-CN"/>
              </w:rPr>
              <w:t>记录。</w:t>
            </w:r>
          </w:p>
        </w:tc>
        <w:tc>
          <w:tcPr>
            <w:tcW w:w="402" w:type="pct"/>
            <w:shd w:val="clear" w:color="auto" w:fill="FFFFFF"/>
            <w:noWrap/>
            <w:vAlign w:val="center"/>
          </w:tcPr>
          <w:p w14:paraId="296F722F">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7D035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2DB31F0C">
            <w:pPr>
              <w:keepNext w:val="0"/>
              <w:keepLines w:val="0"/>
              <w:pageBreakBefore w:val="0"/>
              <w:widowControl w:val="0"/>
              <w:numPr>
                <w:ilvl w:val="0"/>
                <w:numId w:val="4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5E88CFC1">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7实体防范要求</w:t>
            </w:r>
          </w:p>
        </w:tc>
      </w:tr>
      <w:tr w14:paraId="6D6FC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8487546">
            <w:pPr>
              <w:numPr>
                <w:ilvl w:val="0"/>
                <w:numId w:val="43"/>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6F9EC215">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7.1封闭式、半封闭式储存场所的周界应设置围墙或栅栏。半封闭式储存场所的围墙或栅栏的顶部应</w:t>
            </w:r>
          </w:p>
          <w:p w14:paraId="467431F9">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设有防攀爬措施，围墙、栅栏的离地高度应大于等于2m。</w:t>
            </w:r>
          </w:p>
        </w:tc>
        <w:tc>
          <w:tcPr>
            <w:tcW w:w="1276" w:type="pct"/>
            <w:shd w:val="clear" w:color="auto" w:fill="FFFFFF"/>
            <w:noWrap/>
            <w:vAlign w:val="center"/>
          </w:tcPr>
          <w:p w14:paraId="18903478">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封闭式储存场所</w:t>
            </w:r>
            <w:r>
              <w:rPr>
                <w:rFonts w:hint="eastAsia" w:ascii="宋体" w:hAnsi="宋体" w:eastAsia="宋体" w:cs="宋体"/>
                <w:color w:val="auto"/>
                <w:kern w:val="0"/>
                <w:sz w:val="21"/>
                <w:szCs w:val="21"/>
                <w:highlight w:val="none"/>
                <w:lang w:eastAsia="zh-CN"/>
              </w:rPr>
              <w:t>，厂区设置了</w:t>
            </w:r>
            <w:r>
              <w:rPr>
                <w:rFonts w:hint="eastAsia" w:ascii="宋体" w:hAnsi="宋体" w:eastAsia="宋体" w:cs="宋体"/>
                <w:color w:val="auto"/>
                <w:kern w:val="0"/>
                <w:sz w:val="21"/>
                <w:szCs w:val="21"/>
                <w:highlight w:val="none"/>
              </w:rPr>
              <w:t>围墙</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05CE6036">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01721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63FD222B">
            <w:pPr>
              <w:numPr>
                <w:ilvl w:val="0"/>
                <w:numId w:val="43"/>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06C1981B">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7.2封闭式、半封闭式储存场所出入口应设置防火门，门应向疏散方向开启。</w:t>
            </w:r>
          </w:p>
        </w:tc>
        <w:tc>
          <w:tcPr>
            <w:tcW w:w="1276" w:type="pct"/>
            <w:shd w:val="clear" w:color="auto" w:fill="FFFFFF"/>
            <w:noWrap/>
            <w:vAlign w:val="center"/>
          </w:tcPr>
          <w:p w14:paraId="1F10A5A5">
            <w:pPr>
              <w:adjustRightInd w:val="0"/>
              <w:snapToGrid w:val="0"/>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5号仓储</w:t>
            </w:r>
            <w:r>
              <w:rPr>
                <w:rFonts w:hint="eastAsia" w:ascii="宋体" w:hAnsi="宋体" w:cs="宋体"/>
                <w:color w:val="auto"/>
                <w:kern w:val="0"/>
                <w:sz w:val="21"/>
                <w:szCs w:val="21"/>
                <w:highlight w:val="none"/>
                <w:lang w:val="en-US" w:eastAsia="zh-CN"/>
              </w:rPr>
              <w:t>、7号仓储</w:t>
            </w:r>
            <w:r>
              <w:rPr>
                <w:rFonts w:hint="eastAsia" w:ascii="宋体" w:hAnsi="宋体" w:eastAsia="宋体" w:cs="宋体"/>
                <w:color w:val="auto"/>
                <w:kern w:val="0"/>
                <w:sz w:val="21"/>
                <w:szCs w:val="21"/>
                <w:highlight w:val="none"/>
              </w:rPr>
              <w:t>出入口设置</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防火门，门向疏散方向开启。</w:t>
            </w:r>
          </w:p>
        </w:tc>
        <w:tc>
          <w:tcPr>
            <w:tcW w:w="402" w:type="pct"/>
            <w:shd w:val="clear" w:color="auto" w:fill="FFFFFF"/>
            <w:noWrap/>
            <w:vAlign w:val="center"/>
          </w:tcPr>
          <w:p w14:paraId="4884FCA8">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4FAC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698DFCC">
            <w:pPr>
              <w:numPr>
                <w:ilvl w:val="0"/>
                <w:numId w:val="43"/>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3CFF7B9C">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7.6保卫值班室出入口应设置防盗安全门。</w:t>
            </w:r>
          </w:p>
        </w:tc>
        <w:tc>
          <w:tcPr>
            <w:tcW w:w="1276" w:type="pct"/>
            <w:shd w:val="clear" w:color="auto" w:fill="FFFFFF"/>
            <w:noWrap/>
            <w:vAlign w:val="center"/>
          </w:tcPr>
          <w:p w14:paraId="302B0730">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保卫值班室出入口</w:t>
            </w:r>
            <w:r>
              <w:rPr>
                <w:rFonts w:hint="eastAsia" w:ascii="宋体" w:hAnsi="宋体" w:eastAsia="宋体" w:cs="宋体"/>
                <w:color w:val="auto"/>
                <w:kern w:val="0"/>
                <w:sz w:val="21"/>
                <w:szCs w:val="21"/>
                <w:highlight w:val="none"/>
                <w:lang w:eastAsia="zh-CN"/>
              </w:rPr>
              <w:t>未</w:t>
            </w:r>
            <w:r>
              <w:rPr>
                <w:rFonts w:hint="eastAsia" w:ascii="宋体" w:hAnsi="宋体" w:eastAsia="宋体" w:cs="宋体"/>
                <w:color w:val="auto"/>
                <w:kern w:val="0"/>
                <w:sz w:val="21"/>
                <w:szCs w:val="21"/>
                <w:highlight w:val="none"/>
              </w:rPr>
              <w:t>设置防盗安全门。</w:t>
            </w:r>
          </w:p>
        </w:tc>
        <w:tc>
          <w:tcPr>
            <w:tcW w:w="402" w:type="pct"/>
            <w:shd w:val="clear" w:color="auto" w:fill="FFFFFF"/>
            <w:noWrap/>
            <w:vAlign w:val="center"/>
          </w:tcPr>
          <w:p w14:paraId="19999A4C">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不符合</w:t>
            </w:r>
          </w:p>
        </w:tc>
      </w:tr>
      <w:tr w14:paraId="0759E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52AE7FC">
            <w:pPr>
              <w:numPr>
                <w:ilvl w:val="0"/>
                <w:numId w:val="43"/>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30745F78">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7.7安防监控中心应单独设置或设置在保卫值班室内。</w:t>
            </w:r>
          </w:p>
        </w:tc>
        <w:tc>
          <w:tcPr>
            <w:tcW w:w="1276" w:type="pct"/>
            <w:shd w:val="clear" w:color="auto" w:fill="FFFFFF"/>
            <w:noWrap/>
            <w:vAlign w:val="center"/>
          </w:tcPr>
          <w:p w14:paraId="1F5B80F8">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安防监控中心设置在保卫值班室内。</w:t>
            </w:r>
          </w:p>
        </w:tc>
        <w:tc>
          <w:tcPr>
            <w:tcW w:w="402" w:type="pct"/>
            <w:shd w:val="clear" w:color="auto" w:fill="FFFFFF"/>
            <w:noWrap/>
            <w:vAlign w:val="center"/>
          </w:tcPr>
          <w:p w14:paraId="6802864E">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4EF2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1" w:type="pct"/>
            <w:shd w:val="clear" w:color="auto" w:fill="FFFFFF"/>
            <w:noWrap/>
            <w:vAlign w:val="center"/>
          </w:tcPr>
          <w:p w14:paraId="4B434C0F">
            <w:pPr>
              <w:numPr>
                <w:ilvl w:val="0"/>
                <w:numId w:val="43"/>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04D7AA0F">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7.8封闭式储存场所、保卫值班室、安防监控中心的窗口、通风口应具有实体或电子防护措施。</w:t>
            </w:r>
          </w:p>
        </w:tc>
        <w:tc>
          <w:tcPr>
            <w:tcW w:w="1276" w:type="pct"/>
            <w:shd w:val="clear" w:color="auto" w:fill="FFFFFF"/>
            <w:noWrap/>
            <w:vAlign w:val="center"/>
          </w:tcPr>
          <w:p w14:paraId="6D91ECC6">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保卫值班室的窗口</w:t>
            </w:r>
            <w:r>
              <w:rPr>
                <w:rFonts w:hint="eastAsia" w:ascii="宋体" w:hAnsi="宋体" w:eastAsia="宋体" w:cs="宋体"/>
                <w:color w:val="auto"/>
                <w:kern w:val="0"/>
                <w:sz w:val="21"/>
                <w:szCs w:val="21"/>
                <w:highlight w:val="none"/>
                <w:lang w:eastAsia="zh-CN"/>
              </w:rPr>
              <w:t>未设置</w:t>
            </w:r>
            <w:r>
              <w:rPr>
                <w:rFonts w:hint="eastAsia" w:ascii="宋体" w:hAnsi="宋体" w:eastAsia="宋体" w:cs="宋体"/>
                <w:color w:val="auto"/>
                <w:kern w:val="0"/>
                <w:sz w:val="21"/>
                <w:szCs w:val="21"/>
                <w:highlight w:val="none"/>
              </w:rPr>
              <w:t>实体或电子防护措施。</w:t>
            </w:r>
          </w:p>
        </w:tc>
        <w:tc>
          <w:tcPr>
            <w:tcW w:w="402" w:type="pct"/>
            <w:shd w:val="clear" w:color="auto" w:fill="FFFFFF"/>
            <w:noWrap/>
            <w:vAlign w:val="center"/>
          </w:tcPr>
          <w:p w14:paraId="3BA771FD">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不符合</w:t>
            </w:r>
          </w:p>
        </w:tc>
      </w:tr>
      <w:tr w14:paraId="699CF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3B9345ED">
            <w:pPr>
              <w:numPr>
                <w:ilvl w:val="0"/>
                <w:numId w:val="43"/>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10B75B74">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7.9储存场所使用的防盗安全门应符合GB17565-2007的要求，其防盗安全级别应为乙级（含）以上；专用储存柜应具有防盗功能，符合双人双锁管理要求，并安装机械防盗锁，机械防盗锁应符合GA/T73的相关规定。</w:t>
            </w:r>
          </w:p>
        </w:tc>
        <w:tc>
          <w:tcPr>
            <w:tcW w:w="1276" w:type="pct"/>
            <w:shd w:val="clear" w:color="auto" w:fill="FFFFFF"/>
            <w:noWrap/>
            <w:vAlign w:val="center"/>
          </w:tcPr>
          <w:p w14:paraId="7C78FCAC">
            <w:pPr>
              <w:adjustRightInd w:val="0"/>
              <w:snapToGrid w:val="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防盗安全门符合GB17565-2007的要求，其防盗安全级别为乙级</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484E859F">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E746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71CDC7F7">
            <w:pPr>
              <w:numPr>
                <w:ilvl w:val="0"/>
                <w:numId w:val="43"/>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419758AC">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7.10储存场所使用的钢筋栅栏应采用直径大于等于12 mm的实心钢筋；钢管栅栏应采用直径大于等于20 mm，壁厚大于等于2 mm的钢管；钢板栅栏应采用单根横截面大于等于8 mm×20 mm的钢筋（钢管、钢板）。相邻钢筋（钢管、钢板）间隔应小于等于100 mm，高度每超过800 mm的应在中点处再加一道横向钢筋（钢管、钢板）。窗口、通风口的防盗栅栏应采用直径大于等于12 mm的膨胀螺栓固定，安装应牢固可靠。储存场所周界设置的栅栏应与地面牢固固定。</w:t>
            </w:r>
          </w:p>
        </w:tc>
        <w:tc>
          <w:tcPr>
            <w:tcW w:w="1276" w:type="pct"/>
            <w:shd w:val="clear" w:color="auto" w:fill="FFFFFF"/>
            <w:noWrap/>
            <w:vAlign w:val="center"/>
          </w:tcPr>
          <w:p w14:paraId="498C107E">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5号仓储</w:t>
            </w:r>
            <w:r>
              <w:rPr>
                <w:rFonts w:hint="eastAsia" w:ascii="宋体" w:hAnsi="宋体" w:eastAsia="宋体" w:cs="宋体"/>
                <w:color w:val="auto"/>
                <w:kern w:val="0"/>
                <w:sz w:val="21"/>
                <w:szCs w:val="21"/>
                <w:highlight w:val="none"/>
              </w:rPr>
              <w:t>通风口的防盗栅栏采用直径等于12 mm的膨胀螺栓固定，安装牢固可靠。</w:t>
            </w:r>
          </w:p>
        </w:tc>
        <w:tc>
          <w:tcPr>
            <w:tcW w:w="402" w:type="pct"/>
            <w:shd w:val="clear" w:color="auto" w:fill="FFFFFF"/>
            <w:noWrap/>
            <w:vAlign w:val="center"/>
          </w:tcPr>
          <w:p w14:paraId="6EDF134F">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850D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7E54E179">
            <w:pPr>
              <w:keepNext w:val="0"/>
              <w:keepLines w:val="0"/>
              <w:pageBreakBefore w:val="0"/>
              <w:widowControl w:val="0"/>
              <w:numPr>
                <w:ilvl w:val="0"/>
                <w:numId w:val="4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5475EF5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8技术防范要求</w:t>
            </w:r>
          </w:p>
        </w:tc>
      </w:tr>
      <w:tr w14:paraId="616F5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A51C26C">
            <w:pPr>
              <w:keepNext w:val="0"/>
              <w:keepLines w:val="0"/>
              <w:pageBreakBefore w:val="0"/>
              <w:widowControl w:val="0"/>
              <w:numPr>
                <w:ilvl w:val="0"/>
                <w:numId w:val="44"/>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297C0A5C">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8.1防护要求</w:t>
            </w:r>
          </w:p>
        </w:tc>
      </w:tr>
      <w:tr w14:paraId="3A3F4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4BDD23F1">
            <w:pPr>
              <w:numPr>
                <w:ilvl w:val="0"/>
                <w:numId w:val="45"/>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7C90CCBB">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8.1.1封闭式、半封闭式、露天式储存场所的周界应安装视频监控装置，监视和回放图像应能清晰显示储存场所周边的现场情况。</w:t>
            </w:r>
          </w:p>
        </w:tc>
        <w:tc>
          <w:tcPr>
            <w:tcW w:w="1276" w:type="pct"/>
            <w:shd w:val="clear" w:color="auto" w:fill="FFFFFF"/>
            <w:noWrap/>
            <w:vAlign w:val="center"/>
          </w:tcPr>
          <w:p w14:paraId="04BB11EA">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危化品仓库</w:t>
            </w:r>
            <w:r>
              <w:rPr>
                <w:rFonts w:hint="eastAsia" w:ascii="宋体" w:hAnsi="宋体" w:eastAsia="宋体" w:cs="宋体"/>
                <w:color w:val="auto"/>
                <w:kern w:val="0"/>
                <w:sz w:val="21"/>
                <w:szCs w:val="21"/>
                <w:highlight w:val="none"/>
              </w:rPr>
              <w:t>周界安装</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视频监控装置</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56E09741">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1694A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7335ACB8">
            <w:pPr>
              <w:numPr>
                <w:ilvl w:val="0"/>
                <w:numId w:val="45"/>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10045973">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8.1.2封闭式、半封闭式、露天式储存场所出入口应安装入侵报警装置、出入口控制装置和视频监控装置，监视和回放图像应能清晰辨别进出场所人员的面部特征和物品出入场所交接情况。</w:t>
            </w:r>
          </w:p>
        </w:tc>
        <w:tc>
          <w:tcPr>
            <w:tcW w:w="1276" w:type="pct"/>
            <w:shd w:val="clear" w:color="auto" w:fill="FFFFFF"/>
            <w:noWrap/>
            <w:vAlign w:val="center"/>
          </w:tcPr>
          <w:p w14:paraId="63399935">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危化品仓库</w:t>
            </w:r>
            <w:r>
              <w:rPr>
                <w:rFonts w:hint="eastAsia" w:ascii="宋体" w:hAnsi="宋体" w:eastAsia="宋体" w:cs="宋体"/>
                <w:color w:val="auto"/>
                <w:kern w:val="0"/>
                <w:sz w:val="21"/>
                <w:szCs w:val="21"/>
                <w:highlight w:val="none"/>
              </w:rPr>
              <w:t>出入口安装</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入侵报警装置、出入口控制装置和视频监控装置</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2EA01784">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BD3D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6FED4542">
            <w:pPr>
              <w:numPr>
                <w:ilvl w:val="0"/>
                <w:numId w:val="45"/>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3E9FCD40">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8.1.6保卫值班室、安防监控中心内部应安装视频监控装置，监视和回放图像应能清晰显示人员值守及活动情况。</w:t>
            </w:r>
          </w:p>
        </w:tc>
        <w:tc>
          <w:tcPr>
            <w:tcW w:w="1276" w:type="pct"/>
            <w:shd w:val="clear" w:color="auto" w:fill="FFFFFF"/>
            <w:noWrap/>
            <w:vAlign w:val="center"/>
          </w:tcPr>
          <w:p w14:paraId="17BCF2BD">
            <w:pPr>
              <w:adjustRightInd w:val="0"/>
              <w:snapToGrid w:val="0"/>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保卫值班室、安防监控中心内部安装</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视频监控装置</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28AF5082">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F0BD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25EFC588">
            <w:pPr>
              <w:numPr>
                <w:ilvl w:val="0"/>
                <w:numId w:val="45"/>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5E50E993">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8.1.7安防监控中心出入口应安装出入口控制装置。</w:t>
            </w:r>
          </w:p>
        </w:tc>
        <w:tc>
          <w:tcPr>
            <w:tcW w:w="1276" w:type="pct"/>
            <w:shd w:val="clear" w:color="auto" w:fill="FFFFFF"/>
            <w:noWrap/>
            <w:vAlign w:val="center"/>
          </w:tcPr>
          <w:p w14:paraId="7AACEC84">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安防监控中心出入口安装</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出入口控制装置。</w:t>
            </w:r>
          </w:p>
        </w:tc>
        <w:tc>
          <w:tcPr>
            <w:tcW w:w="402" w:type="pct"/>
            <w:shd w:val="clear" w:color="auto" w:fill="FFFFFF"/>
            <w:noWrap/>
            <w:vAlign w:val="center"/>
          </w:tcPr>
          <w:p w14:paraId="57843BEF">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15319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31B48B05">
            <w:pPr>
              <w:numPr>
                <w:ilvl w:val="0"/>
                <w:numId w:val="45"/>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5661B944">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8.1.8封闭式、半封闭式、露天式储存场所的周界、出入口等区域或部位应安装电子巡查装置。</w:t>
            </w:r>
          </w:p>
        </w:tc>
        <w:tc>
          <w:tcPr>
            <w:tcW w:w="1276" w:type="pct"/>
            <w:shd w:val="clear" w:color="auto" w:fill="FFFFFF"/>
            <w:noWrap/>
            <w:vAlign w:val="center"/>
          </w:tcPr>
          <w:p w14:paraId="3D35B1D4">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安装</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电子巡查装置。</w:t>
            </w:r>
          </w:p>
        </w:tc>
        <w:tc>
          <w:tcPr>
            <w:tcW w:w="402" w:type="pct"/>
            <w:shd w:val="clear" w:color="auto" w:fill="FFFFFF"/>
            <w:noWrap/>
            <w:vAlign w:val="center"/>
          </w:tcPr>
          <w:p w14:paraId="5290F684">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712F5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3D3135E">
            <w:pPr>
              <w:keepNext w:val="0"/>
              <w:keepLines w:val="0"/>
              <w:pageBreakBefore w:val="0"/>
              <w:widowControl w:val="0"/>
              <w:numPr>
                <w:ilvl w:val="0"/>
                <w:numId w:val="44"/>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0E177EE9">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8.2系统技术要求</w:t>
            </w:r>
          </w:p>
        </w:tc>
      </w:tr>
      <w:tr w14:paraId="504C3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1F0F4B9">
            <w:pPr>
              <w:keepNext w:val="0"/>
              <w:keepLines w:val="0"/>
              <w:pageBreakBefore w:val="0"/>
              <w:widowControl w:val="0"/>
              <w:numPr>
                <w:ilvl w:val="0"/>
                <w:numId w:val="4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2EC4614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8.2.1入侵和紧急报警系统</w:t>
            </w:r>
          </w:p>
        </w:tc>
      </w:tr>
      <w:tr w14:paraId="232E9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62CB901D">
            <w:pPr>
              <w:numPr>
                <w:ilvl w:val="0"/>
                <w:numId w:val="47"/>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6014A2A3">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8.2.1.1入侵和紧急报警系统应与视频监控系统联动，封闭式、半封闭式、露天式储存场所出入口的入侵报警信号与联动视频图像应发送到安防监控中心。</w:t>
            </w:r>
          </w:p>
        </w:tc>
        <w:tc>
          <w:tcPr>
            <w:tcW w:w="1276" w:type="pct"/>
            <w:shd w:val="clear" w:color="auto" w:fill="FFFFFF"/>
            <w:noWrap/>
            <w:vAlign w:val="center"/>
          </w:tcPr>
          <w:p w14:paraId="20F1821A">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入侵和紧急报警系统与视频监控系统联动，入侵报警信号与联动视频图像发送到安防监控中心。</w:t>
            </w:r>
          </w:p>
        </w:tc>
        <w:tc>
          <w:tcPr>
            <w:tcW w:w="402" w:type="pct"/>
            <w:shd w:val="clear" w:color="auto" w:fill="FFFFFF"/>
            <w:noWrap/>
            <w:vAlign w:val="center"/>
          </w:tcPr>
          <w:p w14:paraId="13BBF9B3">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5896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60DBAD21">
            <w:pPr>
              <w:numPr>
                <w:ilvl w:val="0"/>
                <w:numId w:val="47"/>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1BF31C69">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8.2.1.2安防监控中心应与行业监管部门、公安部门和报警运营服务机构远程联网或预留接口。</w:t>
            </w:r>
          </w:p>
        </w:tc>
        <w:tc>
          <w:tcPr>
            <w:tcW w:w="1276" w:type="pct"/>
            <w:shd w:val="clear" w:color="auto" w:fill="FFFFFF"/>
            <w:noWrap/>
            <w:vAlign w:val="center"/>
          </w:tcPr>
          <w:p w14:paraId="3B2E2B78">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预留接口。</w:t>
            </w:r>
          </w:p>
        </w:tc>
        <w:tc>
          <w:tcPr>
            <w:tcW w:w="402" w:type="pct"/>
            <w:shd w:val="clear" w:color="auto" w:fill="FFFFFF"/>
            <w:noWrap/>
            <w:vAlign w:val="center"/>
          </w:tcPr>
          <w:p w14:paraId="674F7D53">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62922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4B6EB5C0">
            <w:pPr>
              <w:numPr>
                <w:ilvl w:val="0"/>
                <w:numId w:val="47"/>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738D76C3">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8.2.1.3入侵和紧急报警系统布防、撤防、故障和报警信息存储时间应大于等于90天。</w:t>
            </w:r>
          </w:p>
        </w:tc>
        <w:tc>
          <w:tcPr>
            <w:tcW w:w="1276" w:type="pct"/>
            <w:shd w:val="clear" w:color="auto" w:fill="FFFFFF"/>
            <w:noWrap/>
            <w:vAlign w:val="center"/>
          </w:tcPr>
          <w:p w14:paraId="41EBE758">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入侵和紧急报警系统布防、撤防、故障和报警信息存储90天。</w:t>
            </w:r>
          </w:p>
        </w:tc>
        <w:tc>
          <w:tcPr>
            <w:tcW w:w="402" w:type="pct"/>
            <w:shd w:val="clear" w:color="auto" w:fill="FFFFFF"/>
            <w:noWrap/>
            <w:vAlign w:val="center"/>
          </w:tcPr>
          <w:p w14:paraId="12C62DEF">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11F3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39ECC12">
            <w:pPr>
              <w:keepNext w:val="0"/>
              <w:keepLines w:val="0"/>
              <w:pageBreakBefore w:val="0"/>
              <w:widowControl w:val="0"/>
              <w:numPr>
                <w:ilvl w:val="0"/>
                <w:numId w:val="4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33463E69">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8.2.2视频监控系统</w:t>
            </w:r>
          </w:p>
        </w:tc>
      </w:tr>
      <w:tr w14:paraId="2237A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5C9481DC">
            <w:pPr>
              <w:numPr>
                <w:ilvl w:val="0"/>
                <w:numId w:val="48"/>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159CBFC9">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8.2.2.1视频监控系统本地监视、存储和回放的视频图像分辨率应大于等于1280×720，图像帧率应大于等于25 fps。</w:t>
            </w:r>
          </w:p>
        </w:tc>
        <w:tc>
          <w:tcPr>
            <w:tcW w:w="1276" w:type="pct"/>
            <w:shd w:val="clear" w:color="auto" w:fill="FFFFFF"/>
            <w:noWrap/>
            <w:vAlign w:val="center"/>
          </w:tcPr>
          <w:p w14:paraId="6D91ED60">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视频监控系统本地监视、存储和回放的视频图像分辨率</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图像帧率</w:t>
            </w:r>
            <w:r>
              <w:rPr>
                <w:rFonts w:hint="eastAsia" w:ascii="宋体" w:hAnsi="宋体" w:eastAsia="宋体" w:cs="宋体"/>
                <w:color w:val="auto"/>
                <w:kern w:val="0"/>
                <w:sz w:val="21"/>
                <w:szCs w:val="21"/>
                <w:highlight w:val="none"/>
                <w:lang w:eastAsia="zh-CN"/>
              </w:rPr>
              <w:t>符合要求。</w:t>
            </w:r>
          </w:p>
        </w:tc>
        <w:tc>
          <w:tcPr>
            <w:tcW w:w="402" w:type="pct"/>
            <w:shd w:val="clear" w:color="auto" w:fill="FFFFFF"/>
            <w:noWrap/>
            <w:vAlign w:val="center"/>
          </w:tcPr>
          <w:p w14:paraId="44E5FB33">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44818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4869440A">
            <w:pPr>
              <w:numPr>
                <w:ilvl w:val="0"/>
                <w:numId w:val="48"/>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5819017B">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8.2.2.2视频图像存储时间应大于等于30天。</w:t>
            </w:r>
          </w:p>
        </w:tc>
        <w:tc>
          <w:tcPr>
            <w:tcW w:w="1276" w:type="pct"/>
            <w:shd w:val="clear" w:color="auto" w:fill="FFFFFF"/>
            <w:noWrap/>
            <w:vAlign w:val="center"/>
          </w:tcPr>
          <w:p w14:paraId="14FAE9CE">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视频图像存储</w:t>
            </w:r>
            <w:r>
              <w:rPr>
                <w:rFonts w:hint="eastAsia" w:ascii="宋体" w:hAnsi="宋体" w:eastAsia="宋体" w:cs="宋体"/>
                <w:color w:val="auto"/>
                <w:kern w:val="0"/>
                <w:sz w:val="21"/>
                <w:szCs w:val="21"/>
                <w:highlight w:val="none"/>
                <w:lang w:val="en-US" w:eastAsia="zh-CN"/>
              </w:rPr>
              <w:t>90</w:t>
            </w:r>
            <w:r>
              <w:rPr>
                <w:rFonts w:hint="eastAsia" w:ascii="宋体" w:hAnsi="宋体" w:eastAsia="宋体" w:cs="宋体"/>
                <w:color w:val="auto"/>
                <w:kern w:val="0"/>
                <w:sz w:val="21"/>
                <w:szCs w:val="21"/>
                <w:highlight w:val="none"/>
              </w:rPr>
              <w:t>天。</w:t>
            </w:r>
          </w:p>
        </w:tc>
        <w:tc>
          <w:tcPr>
            <w:tcW w:w="402" w:type="pct"/>
            <w:shd w:val="clear" w:color="auto" w:fill="FFFFFF"/>
            <w:noWrap/>
            <w:vAlign w:val="center"/>
          </w:tcPr>
          <w:p w14:paraId="5C6752B4">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B25C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3A995218">
            <w:pPr>
              <w:keepNext w:val="0"/>
              <w:keepLines w:val="0"/>
              <w:pageBreakBefore w:val="0"/>
              <w:widowControl w:val="0"/>
              <w:numPr>
                <w:ilvl w:val="0"/>
                <w:numId w:val="4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6C2EB11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8.2.3出入口控制系统</w:t>
            </w:r>
          </w:p>
        </w:tc>
      </w:tr>
      <w:tr w14:paraId="0CA92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30E5DFCE">
            <w:pPr>
              <w:numPr>
                <w:ilvl w:val="0"/>
                <w:numId w:val="49"/>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422026AB">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8.2.3.1出入口控制系统应能对强行破坏、非法进入的行为或不正确的识读发出报警信号，报警信号应与相关出入口的视频图像联动。储存场所出入口的报警信号与联动视频图像应发送到安防监控中心。</w:t>
            </w:r>
          </w:p>
        </w:tc>
        <w:tc>
          <w:tcPr>
            <w:tcW w:w="1276" w:type="pct"/>
            <w:shd w:val="clear" w:color="auto" w:fill="FFFFFF"/>
            <w:noWrap/>
            <w:vAlign w:val="center"/>
          </w:tcPr>
          <w:p w14:paraId="620972A0">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出入口控制系统能对强行破坏、非法进入的行为或不正确的识读发出报警信号，报警信号与相关出入口的视频图像联动。储存场所出入口的报警信号与联动视频图像发送到安防监控中心。</w:t>
            </w:r>
          </w:p>
        </w:tc>
        <w:tc>
          <w:tcPr>
            <w:tcW w:w="402" w:type="pct"/>
            <w:shd w:val="clear" w:color="auto" w:fill="FFFFFF"/>
            <w:noWrap/>
            <w:vAlign w:val="center"/>
          </w:tcPr>
          <w:p w14:paraId="67294172">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0BBC5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7E5BD02C">
            <w:pPr>
              <w:numPr>
                <w:ilvl w:val="0"/>
                <w:numId w:val="49"/>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42083821">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8.2.3.2出入口控制系统信息存储时间应大于等于180天。</w:t>
            </w:r>
          </w:p>
        </w:tc>
        <w:tc>
          <w:tcPr>
            <w:tcW w:w="1276" w:type="pct"/>
            <w:shd w:val="clear" w:color="auto" w:fill="FFFFFF"/>
            <w:noWrap/>
            <w:vAlign w:val="center"/>
          </w:tcPr>
          <w:p w14:paraId="4BACE89C">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出入口控制系统信息存储180天。</w:t>
            </w:r>
          </w:p>
        </w:tc>
        <w:tc>
          <w:tcPr>
            <w:tcW w:w="402" w:type="pct"/>
            <w:shd w:val="clear" w:color="auto" w:fill="FFFFFF"/>
            <w:noWrap/>
            <w:vAlign w:val="center"/>
          </w:tcPr>
          <w:p w14:paraId="11F73C70">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44C9A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469D86B8">
            <w:pPr>
              <w:keepNext w:val="0"/>
              <w:keepLines w:val="0"/>
              <w:pageBreakBefore w:val="0"/>
              <w:widowControl w:val="0"/>
              <w:numPr>
                <w:ilvl w:val="0"/>
                <w:numId w:val="4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7F7AB272">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8.2.4电子巡查系统</w:t>
            </w:r>
          </w:p>
        </w:tc>
      </w:tr>
      <w:tr w14:paraId="05C4A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0CB7D032">
            <w:pPr>
              <w:numPr>
                <w:ilvl w:val="0"/>
                <w:numId w:val="50"/>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19ADDE18">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8.2.4.1电子巡查系统的巡查路线、巡查时间应能根据安全管理需要进行设定和修改。</w:t>
            </w:r>
          </w:p>
        </w:tc>
        <w:tc>
          <w:tcPr>
            <w:tcW w:w="1276" w:type="pct"/>
            <w:shd w:val="clear" w:color="auto" w:fill="FFFFFF"/>
            <w:noWrap/>
            <w:vAlign w:val="center"/>
          </w:tcPr>
          <w:p w14:paraId="49873A55">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电子巡查系统的巡查路线、巡查时间能根据安全管理需要进行设定和修改。</w:t>
            </w:r>
          </w:p>
        </w:tc>
        <w:tc>
          <w:tcPr>
            <w:tcW w:w="402" w:type="pct"/>
            <w:shd w:val="clear" w:color="auto" w:fill="FFFFFF"/>
            <w:noWrap/>
            <w:vAlign w:val="center"/>
          </w:tcPr>
          <w:p w14:paraId="2B7AE6D6">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159F2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13D7D98A">
            <w:pPr>
              <w:numPr>
                <w:ilvl w:val="0"/>
                <w:numId w:val="50"/>
              </w:numPr>
              <w:adjustRightInd w:val="0"/>
              <w:snapToGrid w:val="0"/>
              <w:ind w:left="0" w:leftChars="0" w:firstLine="0" w:firstLineChars="0"/>
              <w:jc w:val="center"/>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71367231">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8.2.4.2巡查记录保存时间应大于等于90天。</w:t>
            </w:r>
          </w:p>
        </w:tc>
        <w:tc>
          <w:tcPr>
            <w:tcW w:w="1276" w:type="pct"/>
            <w:shd w:val="clear" w:color="auto" w:fill="FFFFFF"/>
            <w:noWrap/>
            <w:vAlign w:val="center"/>
          </w:tcPr>
          <w:p w14:paraId="5C04B01A">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巡查记录保存90天。</w:t>
            </w:r>
          </w:p>
        </w:tc>
        <w:tc>
          <w:tcPr>
            <w:tcW w:w="402" w:type="pct"/>
            <w:shd w:val="clear" w:color="auto" w:fill="FFFFFF"/>
            <w:noWrap/>
            <w:vAlign w:val="center"/>
          </w:tcPr>
          <w:p w14:paraId="0A5A6345">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34D6B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1315D05A">
            <w:pPr>
              <w:keepNext w:val="0"/>
              <w:keepLines w:val="0"/>
              <w:pageBreakBefore w:val="0"/>
              <w:widowControl w:val="0"/>
              <w:numPr>
                <w:ilvl w:val="0"/>
                <w:numId w:val="4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47CFC745">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8.2.5系统校时</w:t>
            </w:r>
          </w:p>
          <w:p w14:paraId="62D0DEED">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系统应能对系统内具有计时功能的设备进行校时，设备的时钟与北京时间误差应小于等于10 s。</w:t>
            </w:r>
          </w:p>
        </w:tc>
        <w:tc>
          <w:tcPr>
            <w:tcW w:w="1276" w:type="pct"/>
            <w:shd w:val="clear" w:color="auto" w:fill="FFFFFF"/>
            <w:noWrap/>
            <w:vAlign w:val="center"/>
          </w:tcPr>
          <w:p w14:paraId="6094161D">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系统能对系统内具有计时功能的设备进行校时</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707B4CB7">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05602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64FDDB4C">
            <w:pPr>
              <w:keepNext w:val="0"/>
              <w:keepLines w:val="0"/>
              <w:pageBreakBefore w:val="0"/>
              <w:widowControl w:val="0"/>
              <w:numPr>
                <w:ilvl w:val="0"/>
                <w:numId w:val="4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331D9283">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8.2.6备用电源</w:t>
            </w:r>
          </w:p>
          <w:p w14:paraId="6FF48FFF">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系统应有备用电源</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应保证主电源断电后入侵报警系统正常工作大于等于8 h，视频监控系统关键设备正常工作大于等于1 h，出入口控制系统正常工作大于等于48 h。</w:t>
            </w:r>
          </w:p>
        </w:tc>
        <w:tc>
          <w:tcPr>
            <w:tcW w:w="1276" w:type="pct"/>
            <w:shd w:val="clear" w:color="auto" w:fill="FFFFFF"/>
            <w:noWrap/>
            <w:vAlign w:val="center"/>
          </w:tcPr>
          <w:p w14:paraId="5340C23C">
            <w:pPr>
              <w:adjustRightInd w:val="0"/>
              <w:snapToGrid w:val="0"/>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有备用电源</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79A7F632">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0934C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4D396B95">
            <w:pPr>
              <w:keepNext w:val="0"/>
              <w:keepLines w:val="0"/>
              <w:pageBreakBefore w:val="0"/>
              <w:widowControl w:val="0"/>
              <w:numPr>
                <w:ilvl w:val="0"/>
                <w:numId w:val="4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488" w:type="pct"/>
            <w:gridSpan w:val="3"/>
            <w:shd w:val="clear" w:color="auto" w:fill="FFFFFF"/>
            <w:noWrap/>
            <w:vAlign w:val="center"/>
          </w:tcPr>
          <w:p w14:paraId="6168936B">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9安全防范系统的检验、验收、运行与维护</w:t>
            </w:r>
          </w:p>
        </w:tc>
      </w:tr>
      <w:tr w14:paraId="2AD82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4794E9CD">
            <w:pPr>
              <w:keepNext w:val="0"/>
              <w:keepLines w:val="0"/>
              <w:pageBreakBefore w:val="0"/>
              <w:widowControl w:val="0"/>
              <w:numPr>
                <w:ilvl w:val="0"/>
                <w:numId w:val="5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548070DF">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9.2小剂量存放场所以外的储存场所的安全防范系统建设完成后，应进行检验和验收。</w:t>
            </w:r>
          </w:p>
        </w:tc>
        <w:tc>
          <w:tcPr>
            <w:tcW w:w="1276" w:type="pct"/>
            <w:shd w:val="clear" w:color="auto" w:fill="FFFFFF"/>
            <w:noWrap/>
            <w:vAlign w:val="center"/>
          </w:tcPr>
          <w:p w14:paraId="240A8E87">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进行</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安全防范系统检验和验收。</w:t>
            </w:r>
          </w:p>
        </w:tc>
        <w:tc>
          <w:tcPr>
            <w:tcW w:w="402" w:type="pct"/>
            <w:shd w:val="clear" w:color="auto" w:fill="FFFFFF"/>
            <w:noWrap/>
            <w:vAlign w:val="center"/>
          </w:tcPr>
          <w:p w14:paraId="40E4B148">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3C3D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1" w:type="pct"/>
            <w:shd w:val="clear" w:color="auto" w:fill="FFFFFF"/>
            <w:noWrap/>
            <w:vAlign w:val="center"/>
          </w:tcPr>
          <w:p w14:paraId="0D9B91E5">
            <w:pPr>
              <w:keepNext w:val="0"/>
              <w:keepLines w:val="0"/>
              <w:pageBreakBefore w:val="0"/>
              <w:widowControl w:val="0"/>
              <w:numPr>
                <w:ilvl w:val="0"/>
                <w:numId w:val="5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810" w:type="pct"/>
            <w:shd w:val="clear" w:color="auto" w:fill="FFFFFF"/>
            <w:noWrap/>
            <w:vAlign w:val="center"/>
          </w:tcPr>
          <w:p w14:paraId="165A637D">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9.3易制爆危险化学品从业单位应加强对安全防范系统和设施的维护、保养，出现故障应在48 h内恢复功能，维修期间应启动应急预案</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且应在24 h内报所属行业主管部门，超过48 h不能恢复功能的</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应报告所在地公安机关。安全防范系统运行与维护应符合GB50348和GA</w:t>
            </w:r>
            <w:r>
              <w:rPr>
                <w:rFonts w:hint="default" w:ascii="宋体" w:hAnsi="宋体" w:cs="宋体"/>
                <w:color w:val="auto"/>
                <w:kern w:val="0"/>
                <w:sz w:val="21"/>
                <w:szCs w:val="21"/>
                <w:highlight w:val="none"/>
                <w:lang w:val="en-US"/>
              </w:rPr>
              <w:t>/T</w:t>
            </w:r>
            <w:r>
              <w:rPr>
                <w:rFonts w:hint="eastAsia" w:ascii="宋体" w:hAnsi="宋体" w:eastAsia="宋体" w:cs="宋体"/>
                <w:color w:val="auto"/>
                <w:kern w:val="0"/>
                <w:sz w:val="21"/>
                <w:szCs w:val="21"/>
                <w:highlight w:val="none"/>
              </w:rPr>
              <w:t>1081的相关规定。</w:t>
            </w:r>
          </w:p>
        </w:tc>
        <w:tc>
          <w:tcPr>
            <w:tcW w:w="1276" w:type="pct"/>
            <w:shd w:val="clear" w:color="auto" w:fill="FFFFFF"/>
            <w:noWrap/>
            <w:vAlign w:val="center"/>
          </w:tcPr>
          <w:p w14:paraId="4745519C">
            <w:pPr>
              <w:adjustRightInd w:val="0"/>
              <w:snapToGrid w:val="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对安全防范系统和设施</w:t>
            </w:r>
            <w:r>
              <w:rPr>
                <w:rFonts w:hint="eastAsia" w:ascii="宋体" w:hAnsi="宋体" w:eastAsia="宋体" w:cs="宋体"/>
                <w:color w:val="auto"/>
                <w:kern w:val="0"/>
                <w:sz w:val="21"/>
                <w:szCs w:val="21"/>
                <w:highlight w:val="none"/>
                <w:lang w:eastAsia="zh-CN"/>
              </w:rPr>
              <w:t>进行</w:t>
            </w:r>
            <w:r>
              <w:rPr>
                <w:rFonts w:hint="eastAsia" w:ascii="宋体" w:hAnsi="宋体" w:eastAsia="宋体" w:cs="宋体"/>
                <w:color w:val="auto"/>
                <w:kern w:val="0"/>
                <w:sz w:val="21"/>
                <w:szCs w:val="21"/>
                <w:highlight w:val="none"/>
              </w:rPr>
              <w:t>维护、保养</w:t>
            </w:r>
            <w:r>
              <w:rPr>
                <w:rFonts w:hint="eastAsia" w:ascii="宋体" w:hAnsi="宋体" w:eastAsia="宋体" w:cs="宋体"/>
                <w:color w:val="auto"/>
                <w:kern w:val="0"/>
                <w:sz w:val="21"/>
                <w:szCs w:val="21"/>
                <w:highlight w:val="none"/>
                <w:lang w:eastAsia="zh-CN"/>
              </w:rPr>
              <w:t>。</w:t>
            </w:r>
          </w:p>
        </w:tc>
        <w:tc>
          <w:tcPr>
            <w:tcW w:w="402" w:type="pct"/>
            <w:shd w:val="clear" w:color="auto" w:fill="FFFFFF"/>
            <w:noWrap/>
            <w:vAlign w:val="center"/>
          </w:tcPr>
          <w:p w14:paraId="44A5D70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bl>
    <w:p w14:paraId="04B8145A">
      <w:pPr>
        <w:adjustRightInd w:val="0"/>
        <w:snapToGrid w:val="0"/>
        <w:spacing w:before="157" w:beforeLines="50" w:afterLines="0" w:line="360" w:lineRule="auto"/>
        <w:ind w:firstLine="560" w:firstLineChars="200"/>
        <w:rPr>
          <w:rFonts w:hint="eastAsia" w:ascii="宋体" w:hAnsi="宋体"/>
          <w:color w:val="auto"/>
          <w:kern w:val="0"/>
          <w:sz w:val="28"/>
          <w:szCs w:val="28"/>
          <w:highlight w:val="none"/>
        </w:rPr>
      </w:pPr>
      <w:r>
        <w:rPr>
          <w:rFonts w:hint="eastAsia" w:ascii="宋体" w:hAnsi="宋体"/>
          <w:color w:val="auto"/>
          <w:kern w:val="0"/>
          <w:sz w:val="28"/>
          <w:szCs w:val="28"/>
          <w:highlight w:val="none"/>
          <w:shd w:val="clear" w:color="auto" w:fill="FFFFFF"/>
        </w:rPr>
        <w:t>评价小结</w:t>
      </w:r>
      <w:r>
        <w:rPr>
          <w:rFonts w:hint="eastAsia" w:ascii="宋体" w:hAnsi="宋体"/>
          <w:color w:val="auto"/>
          <w:kern w:val="0"/>
          <w:sz w:val="28"/>
          <w:szCs w:val="28"/>
          <w:highlight w:val="none"/>
          <w:shd w:val="clear" w:color="auto" w:fill="FFFFFF"/>
          <w:lang w:eastAsia="zh-CN"/>
        </w:rPr>
        <w:t>，存在问题</w:t>
      </w:r>
      <w:r>
        <w:rPr>
          <w:rFonts w:hint="eastAsia" w:ascii="宋体" w:hAnsi="宋体"/>
          <w:color w:val="auto"/>
          <w:kern w:val="0"/>
          <w:sz w:val="28"/>
          <w:szCs w:val="28"/>
          <w:highlight w:val="none"/>
          <w:shd w:val="clear" w:color="auto" w:fill="FFFFFF"/>
        </w:rPr>
        <w:t>：</w:t>
      </w:r>
    </w:p>
    <w:p w14:paraId="05342B05">
      <w:pPr>
        <w:numPr>
          <w:ilvl w:val="0"/>
          <w:numId w:val="52"/>
        </w:numPr>
        <w:adjustRightInd w:val="0"/>
        <w:snapToGrid w:val="0"/>
        <w:spacing w:beforeLines="0" w:afterLines="0" w:line="360" w:lineRule="auto"/>
        <w:ind w:left="0" w:firstLine="560" w:firstLineChars="200"/>
        <w:rPr>
          <w:rFonts w:hint="eastAsia" w:ascii="宋体" w:hAnsi="宋体"/>
          <w:color w:val="auto"/>
          <w:kern w:val="0"/>
          <w:sz w:val="28"/>
          <w:szCs w:val="28"/>
          <w:highlight w:val="none"/>
        </w:rPr>
      </w:pPr>
      <w:r>
        <w:rPr>
          <w:rFonts w:hint="eastAsia" w:ascii="宋体" w:hAnsi="宋体"/>
          <w:color w:val="auto"/>
          <w:kern w:val="0"/>
          <w:sz w:val="28"/>
          <w:szCs w:val="28"/>
          <w:highlight w:val="none"/>
        </w:rPr>
        <w:t>保卫值班室出入口未设置防盗安全门。</w:t>
      </w:r>
    </w:p>
    <w:p w14:paraId="67034760">
      <w:pPr>
        <w:numPr>
          <w:ilvl w:val="0"/>
          <w:numId w:val="52"/>
        </w:numPr>
        <w:adjustRightInd w:val="0"/>
        <w:snapToGrid w:val="0"/>
        <w:spacing w:beforeLines="0" w:afterLines="0" w:line="360" w:lineRule="auto"/>
        <w:ind w:left="0" w:firstLine="560" w:firstLineChars="200"/>
        <w:rPr>
          <w:rFonts w:hint="eastAsia" w:ascii="宋体" w:hAnsi="宋体"/>
          <w:color w:val="auto"/>
          <w:kern w:val="0"/>
          <w:sz w:val="28"/>
          <w:szCs w:val="28"/>
          <w:highlight w:val="none"/>
          <w:shd w:val="clear"/>
        </w:rPr>
      </w:pPr>
      <w:r>
        <w:rPr>
          <w:rFonts w:hint="eastAsia" w:ascii="宋体" w:hAnsi="宋体"/>
          <w:color w:val="auto"/>
          <w:kern w:val="0"/>
          <w:sz w:val="28"/>
          <w:szCs w:val="28"/>
          <w:highlight w:val="none"/>
        </w:rPr>
        <w:t>保卫值班室的窗口未设置实体或电子防护措施。</w:t>
      </w:r>
    </w:p>
    <w:p w14:paraId="69D1D015">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1744" w:name="_Toc13190"/>
      <w:bookmarkStart w:id="1745" w:name="_Toc791"/>
      <w:bookmarkStart w:id="1746" w:name="_Toc17341"/>
      <w:bookmarkStart w:id="1747" w:name="_Toc10267"/>
      <w:bookmarkStart w:id="1748" w:name="_Toc10359"/>
      <w:bookmarkStart w:id="1749" w:name="_Toc137"/>
      <w:bookmarkStart w:id="1750" w:name="_Toc22751"/>
      <w:bookmarkStart w:id="1751" w:name="_Toc18905"/>
      <w:bookmarkStart w:id="1752" w:name="_Toc25248"/>
      <w:bookmarkStart w:id="1753" w:name="_Toc24139"/>
      <w:bookmarkStart w:id="1754" w:name="_Toc1044"/>
      <w:bookmarkStart w:id="1755" w:name="_Toc12919"/>
      <w:bookmarkStart w:id="1756" w:name="_Toc3326"/>
      <w:bookmarkStart w:id="1757" w:name="_Toc14816"/>
      <w:bookmarkStart w:id="1758" w:name="_Toc27504"/>
      <w:bookmarkStart w:id="1759" w:name="_Toc16479"/>
      <w:bookmarkStart w:id="1760" w:name="_Toc27392"/>
      <w:r>
        <w:rPr>
          <w:rFonts w:ascii="黑体" w:hAnsi="黑体" w:eastAsia="黑体" w:cs="Times New Roman"/>
          <w:b/>
          <w:color w:val="auto"/>
          <w:sz w:val="28"/>
          <w:szCs w:val="28"/>
          <w:highlight w:val="none"/>
        </w:rPr>
        <w:t>5.1.</w:t>
      </w:r>
      <w:r>
        <w:rPr>
          <w:rFonts w:hint="eastAsia" w:ascii="黑体" w:hAnsi="黑体" w:eastAsia="黑体" w:cs="Times New Roman"/>
          <w:b/>
          <w:color w:val="auto"/>
          <w:sz w:val="28"/>
          <w:szCs w:val="28"/>
          <w:highlight w:val="none"/>
          <w:lang w:val="en-US" w:eastAsia="zh-CN"/>
        </w:rPr>
        <w:t>5</w:t>
      </w:r>
      <w:r>
        <w:rPr>
          <w:rFonts w:ascii="黑体" w:hAnsi="黑体" w:eastAsia="黑体" w:cs="Times New Roman"/>
          <w:b/>
          <w:color w:val="auto"/>
          <w:sz w:val="28"/>
          <w:szCs w:val="28"/>
          <w:highlight w:val="none"/>
        </w:rPr>
        <w:t xml:space="preserve"> </w:t>
      </w:r>
      <w:r>
        <w:rPr>
          <w:rFonts w:hint="eastAsia" w:ascii="黑体" w:hAnsi="黑体" w:eastAsia="黑体" w:cs="Times New Roman"/>
          <w:b/>
          <w:color w:val="auto"/>
          <w:sz w:val="28"/>
          <w:szCs w:val="28"/>
          <w:highlight w:val="none"/>
        </w:rPr>
        <w:t>重点监管危险化学品安全设施检查情况评价</w:t>
      </w:r>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p>
    <w:p w14:paraId="6D0127CA">
      <w:pPr>
        <w:pStyle w:val="690"/>
        <w:spacing w:beforeLines="0" w:afterLines="0"/>
        <w:rPr>
          <w:rFonts w:hint="eastAsia"/>
          <w:color w:val="auto"/>
          <w:highlight w:val="none"/>
        </w:rPr>
      </w:pPr>
      <w:r>
        <w:rPr>
          <w:rFonts w:hint="eastAsia"/>
          <w:color w:val="auto"/>
          <w:highlight w:val="none"/>
        </w:rPr>
        <w:t>按照《国家安全监管总局办公厅关于印发首批重点监管的危险化学品安全措施和应急处置原则的通知》安监总厅管三〔2011〕142号</w:t>
      </w:r>
      <w:r>
        <w:rPr>
          <w:rFonts w:hint="eastAsia"/>
          <w:color w:val="auto"/>
          <w:highlight w:val="none"/>
          <w:lang w:eastAsia="zh-CN"/>
        </w:rPr>
        <w:t>、</w:t>
      </w:r>
      <w:r>
        <w:rPr>
          <w:rFonts w:hint="eastAsia"/>
          <w:color w:val="auto"/>
          <w:highlight w:val="none"/>
        </w:rPr>
        <w:t>《国家安全监管总局关于公布第二批重点监管危险化学品名录的通知》安监总管三〔</w:t>
      </w:r>
      <w:r>
        <w:rPr>
          <w:color w:val="auto"/>
          <w:highlight w:val="none"/>
        </w:rPr>
        <w:t>2013〕12号的要求，对</w:t>
      </w:r>
      <w:r>
        <w:rPr>
          <w:rFonts w:hint="eastAsia"/>
          <w:color w:val="auto"/>
          <w:highlight w:val="none"/>
          <w:lang w:eastAsia="zh-CN"/>
        </w:rPr>
        <w:t>危化品仓库储存的</w:t>
      </w:r>
      <w:r>
        <w:rPr>
          <w:color w:val="auto"/>
          <w:highlight w:val="none"/>
        </w:rPr>
        <w:t>重点监管危险化学品</w:t>
      </w:r>
      <w:r>
        <w:rPr>
          <w:rFonts w:hint="eastAsia"/>
          <w:color w:val="auto"/>
          <w:highlight w:val="none"/>
          <w:lang w:eastAsia="zh-CN"/>
        </w:rPr>
        <w:t>（</w:t>
      </w:r>
      <w:r>
        <w:rPr>
          <w:rFonts w:hint="eastAsia"/>
          <w:color w:val="auto"/>
          <w:highlight w:val="none"/>
        </w:rPr>
        <w:t>苯乙烯、过氧化二苯甲酰及过氧化甲乙酮</w:t>
      </w:r>
      <w:r>
        <w:rPr>
          <w:rFonts w:hint="eastAsia"/>
          <w:color w:val="auto"/>
          <w:highlight w:val="none"/>
          <w:lang w:eastAsia="zh-CN"/>
        </w:rPr>
        <w:t>）</w:t>
      </w:r>
      <w:r>
        <w:rPr>
          <w:color w:val="auto"/>
          <w:highlight w:val="none"/>
        </w:rPr>
        <w:t>的安全措施进行检查，检查</w:t>
      </w:r>
      <w:r>
        <w:rPr>
          <w:rFonts w:hint="eastAsia"/>
          <w:color w:val="auto"/>
          <w:highlight w:val="none"/>
          <w:lang w:eastAsia="zh-CN"/>
        </w:rPr>
        <w:t>情况见下表</w:t>
      </w:r>
      <w:r>
        <w:rPr>
          <w:rFonts w:hint="eastAsia"/>
          <w:color w:val="auto"/>
          <w:highlight w:val="none"/>
        </w:rPr>
        <w:t>。</w:t>
      </w:r>
    </w:p>
    <w:p w14:paraId="75C7B974">
      <w:pPr>
        <w:adjustRightInd w:val="0"/>
        <w:snapToGrid w:val="0"/>
        <w:spacing w:line="360" w:lineRule="auto"/>
        <w:ind w:firstLine="0" w:firstLineChars="0"/>
        <w:jc w:val="center"/>
        <w:rPr>
          <w:rFonts w:ascii="黑体" w:hAnsi="黑体" w:eastAsia="黑体"/>
          <w:b/>
          <w:bCs/>
          <w:color w:val="auto"/>
          <w:sz w:val="24"/>
          <w:szCs w:val="24"/>
          <w:highlight w:val="none"/>
        </w:rPr>
      </w:pPr>
      <w:r>
        <w:rPr>
          <w:rFonts w:ascii="黑体" w:hAnsi="黑体" w:eastAsia="黑体"/>
          <w:b/>
          <w:bCs/>
          <w:color w:val="auto"/>
          <w:sz w:val="24"/>
          <w:szCs w:val="24"/>
          <w:highlight w:val="none"/>
        </w:rPr>
        <w:t>表5.1-</w:t>
      </w:r>
      <w:r>
        <w:rPr>
          <w:rFonts w:hint="eastAsia" w:ascii="黑体" w:hAnsi="黑体" w:eastAsia="黑体"/>
          <w:b/>
          <w:bCs/>
          <w:color w:val="auto"/>
          <w:sz w:val="24"/>
          <w:szCs w:val="24"/>
          <w:highlight w:val="none"/>
          <w:lang w:val="en-US" w:eastAsia="zh-CN"/>
        </w:rPr>
        <w:t>9</w:t>
      </w:r>
      <w:r>
        <w:rPr>
          <w:rFonts w:ascii="黑体" w:hAnsi="黑体" w:eastAsia="黑体"/>
          <w:b/>
          <w:bCs/>
          <w:color w:val="auto"/>
          <w:sz w:val="24"/>
          <w:szCs w:val="24"/>
          <w:highlight w:val="none"/>
        </w:rPr>
        <w:t xml:space="preserve"> </w:t>
      </w:r>
      <w:r>
        <w:rPr>
          <w:rFonts w:hint="eastAsia" w:ascii="黑体" w:hAnsi="黑体" w:eastAsia="黑体"/>
          <w:b/>
          <w:bCs/>
          <w:color w:val="auto"/>
          <w:sz w:val="24"/>
          <w:szCs w:val="24"/>
          <w:highlight w:val="none"/>
        </w:rPr>
        <w:t>苯乙烯储存安全措施</w:t>
      </w:r>
      <w:r>
        <w:rPr>
          <w:rFonts w:ascii="黑体" w:hAnsi="黑体" w:eastAsia="黑体"/>
          <w:b/>
          <w:bCs/>
          <w:color w:val="auto"/>
          <w:sz w:val="24"/>
          <w:szCs w:val="24"/>
          <w:highlight w:val="none"/>
        </w:rPr>
        <w:t>检查表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4165"/>
        <w:gridCol w:w="3778"/>
        <w:gridCol w:w="792"/>
      </w:tblGrid>
      <w:tr w14:paraId="73577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54" w:type="pct"/>
            <w:vAlign w:val="center"/>
          </w:tcPr>
          <w:p w14:paraId="0886657D">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215" w:type="pct"/>
            <w:vAlign w:val="center"/>
          </w:tcPr>
          <w:p w14:paraId="38A45A2D">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“通知”文件要求</w:t>
            </w:r>
          </w:p>
        </w:tc>
        <w:tc>
          <w:tcPr>
            <w:tcW w:w="2009" w:type="pct"/>
            <w:vAlign w:val="center"/>
          </w:tcPr>
          <w:p w14:paraId="0A292F38">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实际情况</w:t>
            </w:r>
          </w:p>
        </w:tc>
        <w:tc>
          <w:tcPr>
            <w:tcW w:w="420" w:type="pct"/>
            <w:vAlign w:val="center"/>
          </w:tcPr>
          <w:p w14:paraId="77E7334E">
            <w:pPr>
              <w:adjustRightInd w:val="0"/>
              <w:snapToGrid w:val="0"/>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检查</w:t>
            </w:r>
            <w:r>
              <w:rPr>
                <w:rFonts w:hint="eastAsia" w:ascii="宋体" w:hAnsi="宋体" w:eastAsia="宋体" w:cs="宋体"/>
                <w:b/>
                <w:bCs/>
                <w:color w:val="auto"/>
                <w:sz w:val="21"/>
                <w:szCs w:val="21"/>
                <w:highlight w:val="none"/>
                <w:lang w:eastAsia="zh-CN"/>
              </w:rPr>
              <w:t>结果</w:t>
            </w:r>
          </w:p>
        </w:tc>
      </w:tr>
      <w:tr w14:paraId="2302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2DF02C5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w:t>
            </w:r>
          </w:p>
        </w:tc>
        <w:tc>
          <w:tcPr>
            <w:tcW w:w="4645" w:type="pct"/>
            <w:gridSpan w:val="3"/>
            <w:vAlign w:val="center"/>
          </w:tcPr>
          <w:p w14:paraId="15A1684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一般要求</w:t>
            </w:r>
          </w:p>
        </w:tc>
      </w:tr>
      <w:tr w14:paraId="12D44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51C83AAE">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15" w:type="pct"/>
            <w:vAlign w:val="center"/>
          </w:tcPr>
          <w:p w14:paraId="26AC7601">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操作人员必须经过专门培训，严格遵守操作规程。熟练掌握操作技能，具备应急处置知识。</w:t>
            </w:r>
          </w:p>
        </w:tc>
        <w:tc>
          <w:tcPr>
            <w:tcW w:w="2009" w:type="pct"/>
            <w:vAlign w:val="center"/>
          </w:tcPr>
          <w:p w14:paraId="1088B26F">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CN"/>
              </w:rPr>
              <w:t>危化品仓库作业人员经</w:t>
            </w:r>
            <w:r>
              <w:rPr>
                <w:rFonts w:hint="eastAsia" w:ascii="宋体" w:hAnsi="宋体" w:eastAsia="宋体" w:cs="宋体"/>
                <w:color w:val="auto"/>
                <w:kern w:val="0"/>
                <w:sz w:val="21"/>
                <w:szCs w:val="21"/>
                <w:highlight w:val="none"/>
              </w:rPr>
              <w:t>安全培训合格</w:t>
            </w:r>
            <w:r>
              <w:rPr>
                <w:rFonts w:hint="eastAsia" w:ascii="宋体" w:hAnsi="宋体" w:eastAsia="宋体" w:cs="宋体"/>
                <w:color w:val="auto"/>
                <w:kern w:val="0"/>
                <w:sz w:val="21"/>
                <w:szCs w:val="21"/>
                <w:highlight w:val="none"/>
                <w:lang w:eastAsia="zh-CN"/>
              </w:rPr>
              <w:t>。</w:t>
            </w:r>
          </w:p>
        </w:tc>
        <w:tc>
          <w:tcPr>
            <w:tcW w:w="420" w:type="pct"/>
            <w:vAlign w:val="center"/>
          </w:tcPr>
          <w:p w14:paraId="3921FA6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017EA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31868C3F">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15" w:type="pct"/>
            <w:vAlign w:val="center"/>
          </w:tcPr>
          <w:p w14:paraId="4BFEA945">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操作应严加密闭。要求有局部排风设施和全面通风。</w:t>
            </w:r>
          </w:p>
        </w:tc>
        <w:tc>
          <w:tcPr>
            <w:tcW w:w="2009" w:type="pct"/>
            <w:vAlign w:val="center"/>
          </w:tcPr>
          <w:p w14:paraId="16CF01CE">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173D438E">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5C4A9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74E342C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215" w:type="pct"/>
            <w:vAlign w:val="center"/>
          </w:tcPr>
          <w:p w14:paraId="4DC845DE">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置固定式可燃气体报警器，或配备便携式可燃气体报警器，宜增设有毒气体报警仪。选用屏蔽泵或磁力泵等无泄漏泵来输送本介质。苯乙烯储罐采取人工脱水方式时，应增配检测有毒气体检测报警仪（固定式或便携式）。采样宜采用循环密闭采样系统。使用防爆型的通风系统和设备，穿工作服，戴防护手套。空气中浓度超标时，佩戴防毒面具。紧急事态抢救或撤离时，佩戴正压自给式空气呼吸器。在作业现场应提供安全淋浴和洗眼设备。安全喷淋、洗眼器应在生产装置开车时进行校验。工作场所严禁吸烟。</w:t>
            </w:r>
          </w:p>
        </w:tc>
        <w:tc>
          <w:tcPr>
            <w:tcW w:w="2009" w:type="pct"/>
            <w:vAlign w:val="center"/>
          </w:tcPr>
          <w:p w14:paraId="40A8C214">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设置了固定式可燃气体报警器；使用防爆型的通风系统，配备了工作服、防护手套、防毒面具、正压自给式空气呼吸器、洗眼冲淋装置。严禁烟火。</w:t>
            </w:r>
          </w:p>
        </w:tc>
        <w:tc>
          <w:tcPr>
            <w:tcW w:w="420" w:type="pct"/>
            <w:vAlign w:val="center"/>
          </w:tcPr>
          <w:p w14:paraId="79EE093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5FE39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539B0B0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215" w:type="pct"/>
            <w:vAlign w:val="center"/>
          </w:tcPr>
          <w:p w14:paraId="43C947E6">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储罐等容器和设备应设置液位计、温度计，并应装有带液位、温度远传记录和报警功能的安全装置。</w:t>
            </w:r>
          </w:p>
        </w:tc>
        <w:tc>
          <w:tcPr>
            <w:tcW w:w="2009" w:type="pct"/>
            <w:vAlign w:val="center"/>
          </w:tcPr>
          <w:p w14:paraId="21696722">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43B11DF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583D0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2EEC4E2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215" w:type="pct"/>
            <w:vAlign w:val="center"/>
          </w:tcPr>
          <w:p w14:paraId="0DD2AE50">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中为防止自聚所用到的阻聚剂属于高毒或剧毒类化学品，加注时除应采用自吸式的设备或装置外，还应在加注岗位附近设置冲洗设施以备应急之用。对加注的阻聚剂的安全和职业卫生防护知识应进行针对性培训。</w:t>
            </w:r>
          </w:p>
        </w:tc>
        <w:tc>
          <w:tcPr>
            <w:tcW w:w="2009" w:type="pct"/>
            <w:vAlign w:val="center"/>
          </w:tcPr>
          <w:p w14:paraId="1E8D9D1B">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57570F3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10520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226FB0D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215" w:type="pct"/>
            <w:vAlign w:val="center"/>
          </w:tcPr>
          <w:p w14:paraId="76001109">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与氧化剂、酸类等反应。能发生聚合放热，避免接触光照、接触空气。</w:t>
            </w:r>
          </w:p>
        </w:tc>
        <w:tc>
          <w:tcPr>
            <w:tcW w:w="2009" w:type="pct"/>
            <w:vAlign w:val="center"/>
          </w:tcPr>
          <w:p w14:paraId="440383F5">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与氧化剂、酸类</w:t>
            </w:r>
            <w:r>
              <w:rPr>
                <w:rFonts w:hint="eastAsia" w:ascii="宋体" w:hAnsi="宋体" w:eastAsia="宋体" w:cs="宋体"/>
                <w:color w:val="auto"/>
                <w:sz w:val="21"/>
                <w:szCs w:val="21"/>
                <w:highlight w:val="none"/>
                <w:lang w:eastAsia="zh-CN"/>
              </w:rPr>
              <w:t>分离</w:t>
            </w:r>
            <w:r>
              <w:rPr>
                <w:rFonts w:hint="eastAsia" w:ascii="宋体" w:hAnsi="宋体" w:eastAsia="宋体" w:cs="宋体"/>
                <w:color w:val="auto"/>
                <w:sz w:val="21"/>
                <w:szCs w:val="21"/>
                <w:highlight w:val="none"/>
              </w:rPr>
              <w:t>储存；窗户设置有窗帘。</w:t>
            </w:r>
          </w:p>
        </w:tc>
        <w:tc>
          <w:tcPr>
            <w:tcW w:w="420" w:type="pct"/>
            <w:vAlign w:val="center"/>
          </w:tcPr>
          <w:p w14:paraId="4A84E101">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74BB1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3B3CBDA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w:t>
            </w:r>
          </w:p>
        </w:tc>
        <w:tc>
          <w:tcPr>
            <w:tcW w:w="4645" w:type="pct"/>
            <w:gridSpan w:val="3"/>
            <w:vAlign w:val="center"/>
          </w:tcPr>
          <w:p w14:paraId="5F27E6A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储存安全</w:t>
            </w:r>
          </w:p>
        </w:tc>
      </w:tr>
      <w:tr w14:paraId="68319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1AFC4A3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15" w:type="pct"/>
            <w:vAlign w:val="center"/>
          </w:tcPr>
          <w:p w14:paraId="5A272332">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通常加有稳定剂。储存于阴凉、通风仓库内。远离火种、热源。库房温度不宜超过37℃。防止阳光直射。包装要求密封，不可与空气接触。不宜大量或久存。</w:t>
            </w:r>
          </w:p>
        </w:tc>
        <w:tc>
          <w:tcPr>
            <w:tcW w:w="2009" w:type="pct"/>
            <w:vAlign w:val="center"/>
          </w:tcPr>
          <w:p w14:paraId="4D5A67B7">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加有稳定剂。</w:t>
            </w:r>
            <w:r>
              <w:rPr>
                <w:rFonts w:hint="eastAsia" w:ascii="宋体" w:hAnsi="宋体" w:eastAsia="宋体" w:cs="宋体"/>
                <w:color w:val="auto"/>
                <w:sz w:val="21"/>
                <w:szCs w:val="21"/>
                <w:highlight w:val="none"/>
                <w:lang w:eastAsia="zh-CN"/>
              </w:rPr>
              <w:t>设有轴流排风机，</w:t>
            </w:r>
            <w:r>
              <w:rPr>
                <w:rFonts w:hint="eastAsia" w:ascii="宋体" w:hAnsi="宋体" w:eastAsia="宋体" w:cs="宋体"/>
                <w:color w:val="auto"/>
                <w:sz w:val="21"/>
                <w:szCs w:val="21"/>
                <w:highlight w:val="none"/>
              </w:rPr>
              <w:t>设有防爆空调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库房温度不超过</w:t>
            </w:r>
            <w:r>
              <w:rPr>
                <w:rFonts w:hint="eastAsia" w:ascii="宋体" w:hAnsi="宋体" w:eastAsia="宋体" w:cs="宋体"/>
                <w:color w:val="auto"/>
                <w:sz w:val="21"/>
                <w:szCs w:val="21"/>
                <w:highlight w:val="none"/>
                <w:lang w:val="en-US" w:eastAsia="zh-CN"/>
              </w:rPr>
              <w:t>29</w:t>
            </w:r>
            <w:r>
              <w:rPr>
                <w:rFonts w:hint="eastAsia" w:ascii="宋体" w:hAnsi="宋体" w:eastAsia="宋体" w:cs="宋体"/>
                <w:color w:val="auto"/>
                <w:sz w:val="21"/>
                <w:szCs w:val="21"/>
                <w:highlight w:val="none"/>
              </w:rPr>
              <w:t>℃。窗户设置有窗帘。包装密封</w:t>
            </w:r>
            <w:r>
              <w:rPr>
                <w:rFonts w:hint="eastAsia" w:ascii="宋体" w:hAnsi="宋体" w:eastAsia="宋体" w:cs="宋体"/>
                <w:color w:val="auto"/>
                <w:sz w:val="21"/>
                <w:szCs w:val="21"/>
                <w:highlight w:val="none"/>
                <w:lang w:eastAsia="zh-CN"/>
              </w:rPr>
              <w:t>。</w:t>
            </w:r>
          </w:p>
        </w:tc>
        <w:tc>
          <w:tcPr>
            <w:tcW w:w="420" w:type="pct"/>
            <w:vAlign w:val="center"/>
          </w:tcPr>
          <w:p w14:paraId="594F3C1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19941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44A507D0">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15" w:type="pct"/>
            <w:vAlign w:val="center"/>
          </w:tcPr>
          <w:p w14:paraId="707CC89B">
            <w:pPr>
              <w:adjustRightInd w:val="0"/>
              <w:snapToGrid w:val="0"/>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与氧化剂、酸类分开存放。储存间内的照明、通风等设施应采用防爆型。罐储时要有防火防爆技术措施。禁止使用易产生火花的机械设备和工具。灌装时应注意流速（不超过3m/s），且有接地装置，防止静电积聚。搬运时要轻装轻卸，防止包装及容器损坏。</w:t>
            </w:r>
          </w:p>
        </w:tc>
        <w:tc>
          <w:tcPr>
            <w:tcW w:w="2009" w:type="pct"/>
            <w:vAlign w:val="center"/>
          </w:tcPr>
          <w:p w14:paraId="34E2578C">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与氧化剂、酸类</w:t>
            </w:r>
            <w:r>
              <w:rPr>
                <w:rFonts w:hint="eastAsia" w:ascii="宋体" w:hAnsi="宋体" w:eastAsia="宋体" w:cs="宋体"/>
                <w:color w:val="auto"/>
                <w:sz w:val="21"/>
                <w:szCs w:val="21"/>
                <w:highlight w:val="none"/>
                <w:lang w:eastAsia="zh-CN"/>
              </w:rPr>
              <w:t>分离</w:t>
            </w:r>
            <w:r>
              <w:rPr>
                <w:rFonts w:hint="eastAsia" w:ascii="宋体" w:hAnsi="宋体" w:eastAsia="宋体" w:cs="宋体"/>
                <w:color w:val="auto"/>
                <w:sz w:val="21"/>
                <w:szCs w:val="21"/>
                <w:highlight w:val="none"/>
              </w:rPr>
              <w:t>储存；危化品仓库内照明、通风、空调等设施采用防爆型。</w:t>
            </w:r>
          </w:p>
        </w:tc>
        <w:tc>
          <w:tcPr>
            <w:tcW w:w="420" w:type="pct"/>
            <w:vAlign w:val="center"/>
          </w:tcPr>
          <w:p w14:paraId="24C7F72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36586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0A92F602">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215" w:type="pct"/>
            <w:vAlign w:val="center"/>
          </w:tcPr>
          <w:p w14:paraId="5299566C">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罐宜采用氮封系统或者内浮顶，但采用内浮顶罐储存苯乙烯时应有相应的对策措施防范可能出现的苯乙烯自聚，并确保内浮盘良好的密封性能。生产装置重要岗位如罐区设置工业电视监控。储罐应设固定或移动式消防冷却水系统。</w:t>
            </w:r>
          </w:p>
        </w:tc>
        <w:tc>
          <w:tcPr>
            <w:tcW w:w="2009" w:type="pct"/>
            <w:vAlign w:val="center"/>
          </w:tcPr>
          <w:p w14:paraId="336758F0">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56FEEB5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28C5E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7A9B47C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215" w:type="pct"/>
            <w:vAlign w:val="center"/>
          </w:tcPr>
          <w:p w14:paraId="6DE2E2FC">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介质为高温、有毒或强腐蚀性的设备及管线上的压力表与设备之间应有能隔离介质的装置或切断阀。另外，装置中的甲、乙类设备和管道应有惰性气体置换设施。</w:t>
            </w:r>
          </w:p>
        </w:tc>
        <w:tc>
          <w:tcPr>
            <w:tcW w:w="2009" w:type="pct"/>
            <w:vAlign w:val="center"/>
          </w:tcPr>
          <w:p w14:paraId="1EA1FA18">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6D8F9E8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42025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680D85A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w:t>
            </w:r>
          </w:p>
        </w:tc>
        <w:tc>
          <w:tcPr>
            <w:tcW w:w="4645" w:type="pct"/>
            <w:gridSpan w:val="3"/>
            <w:vAlign w:val="center"/>
          </w:tcPr>
          <w:p w14:paraId="053368E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运输安全</w:t>
            </w:r>
          </w:p>
        </w:tc>
      </w:tr>
      <w:tr w14:paraId="5A278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68CB1A2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15" w:type="pct"/>
            <w:vAlign w:val="center"/>
          </w:tcPr>
          <w:p w14:paraId="15BFBADF">
            <w:pPr>
              <w:adjustRightInd w:val="0"/>
              <w:snapToGrid w:val="0"/>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运输车辆应有危险货物运输标志、安装具有行驶记录功能的卫星定位装置。未经公安机关批准，运输车辆不得进入危险化学品运输车辆限制通行的区域。</w:t>
            </w:r>
          </w:p>
        </w:tc>
        <w:tc>
          <w:tcPr>
            <w:tcW w:w="2009" w:type="pct"/>
            <w:vAlign w:val="center"/>
          </w:tcPr>
          <w:p w14:paraId="1A0F44D2">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不涉及，由供应商负责运输到公司</w:t>
            </w:r>
          </w:p>
        </w:tc>
        <w:tc>
          <w:tcPr>
            <w:tcW w:w="420" w:type="pct"/>
            <w:vAlign w:val="center"/>
          </w:tcPr>
          <w:p w14:paraId="69AD001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27837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280D386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15" w:type="pct"/>
            <w:vAlign w:val="center"/>
          </w:tcPr>
          <w:p w14:paraId="73CFC499">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槽车运输时要用专用槽车。槽车安装的阻火器（火星熄灭器）必须完好。槽车和运输卡车要有导静电拖线；槽车上要备有2只以上干粉或二氧化碳灭火器和防爆工具。</w:t>
            </w:r>
          </w:p>
        </w:tc>
        <w:tc>
          <w:tcPr>
            <w:tcW w:w="2009" w:type="pct"/>
            <w:vAlign w:val="center"/>
          </w:tcPr>
          <w:p w14:paraId="60E23A34">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不涉及，由供应商负责运输到公司</w:t>
            </w:r>
          </w:p>
        </w:tc>
        <w:tc>
          <w:tcPr>
            <w:tcW w:w="420" w:type="pct"/>
            <w:vAlign w:val="center"/>
          </w:tcPr>
          <w:p w14:paraId="5778032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11139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21330E6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215" w:type="pct"/>
            <w:vAlign w:val="center"/>
          </w:tcPr>
          <w:p w14:paraId="2E1A93E2">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车辆运输钢瓶时</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瓶口一律朝向车辆行驶方向的右方，堆放高度不得超过车辆的防护栏板，并用三角木垫卡牢，防止滚动。不准同车混装有抵触性质的物品和让无关人员搭车。运输途中远离火种，不准在有明火地点或人多地段停车，停车时要有人看管。</w:t>
            </w:r>
          </w:p>
        </w:tc>
        <w:tc>
          <w:tcPr>
            <w:tcW w:w="2009" w:type="pct"/>
            <w:vAlign w:val="center"/>
          </w:tcPr>
          <w:p w14:paraId="538C6DF0">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不涉及，由供应商负责运输到公司</w:t>
            </w:r>
          </w:p>
        </w:tc>
        <w:tc>
          <w:tcPr>
            <w:tcW w:w="420" w:type="pct"/>
            <w:vAlign w:val="center"/>
          </w:tcPr>
          <w:p w14:paraId="66A9162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bl>
    <w:p w14:paraId="7BDDE72A">
      <w:pPr>
        <w:adjustRightInd w:val="0"/>
        <w:snapToGrid w:val="0"/>
        <w:spacing w:before="157" w:beforeLines="50" w:line="360" w:lineRule="auto"/>
        <w:ind w:firstLine="0" w:firstLineChars="0"/>
        <w:jc w:val="center"/>
        <w:rPr>
          <w:rFonts w:ascii="黑体" w:hAnsi="黑体" w:eastAsia="黑体"/>
          <w:b/>
          <w:bCs/>
          <w:color w:val="auto"/>
          <w:sz w:val="24"/>
          <w:szCs w:val="24"/>
          <w:highlight w:val="none"/>
        </w:rPr>
      </w:pPr>
      <w:r>
        <w:rPr>
          <w:rFonts w:ascii="黑体" w:hAnsi="黑体" w:eastAsia="黑体"/>
          <w:b/>
          <w:bCs/>
          <w:color w:val="auto"/>
          <w:sz w:val="24"/>
          <w:szCs w:val="24"/>
          <w:highlight w:val="none"/>
        </w:rPr>
        <w:t>表5.1-</w:t>
      </w:r>
      <w:r>
        <w:rPr>
          <w:rFonts w:hint="eastAsia" w:ascii="黑体" w:hAnsi="黑体" w:eastAsia="黑体"/>
          <w:b/>
          <w:bCs/>
          <w:color w:val="auto"/>
          <w:sz w:val="24"/>
          <w:szCs w:val="24"/>
          <w:highlight w:val="none"/>
          <w:lang w:val="en-US" w:eastAsia="zh-CN"/>
        </w:rPr>
        <w:t>10</w:t>
      </w:r>
      <w:r>
        <w:rPr>
          <w:rFonts w:ascii="黑体" w:hAnsi="黑体" w:eastAsia="黑体"/>
          <w:b/>
          <w:bCs/>
          <w:color w:val="auto"/>
          <w:sz w:val="24"/>
          <w:szCs w:val="24"/>
          <w:highlight w:val="none"/>
        </w:rPr>
        <w:t xml:space="preserve"> </w:t>
      </w:r>
      <w:r>
        <w:rPr>
          <w:rFonts w:hint="eastAsia" w:ascii="黑体" w:hAnsi="黑体" w:eastAsia="黑体"/>
          <w:b/>
          <w:bCs/>
          <w:color w:val="auto"/>
          <w:sz w:val="24"/>
          <w:szCs w:val="24"/>
          <w:highlight w:val="none"/>
        </w:rPr>
        <w:t>过氧化甲乙酮储存安全措施</w:t>
      </w:r>
      <w:r>
        <w:rPr>
          <w:rFonts w:ascii="黑体" w:hAnsi="黑体" w:eastAsia="黑体"/>
          <w:b/>
          <w:bCs/>
          <w:color w:val="auto"/>
          <w:sz w:val="24"/>
          <w:szCs w:val="24"/>
          <w:highlight w:val="none"/>
        </w:rPr>
        <w:t>检查表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4165"/>
        <w:gridCol w:w="3778"/>
        <w:gridCol w:w="792"/>
      </w:tblGrid>
      <w:tr w14:paraId="72CD8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54" w:type="pct"/>
            <w:vAlign w:val="center"/>
          </w:tcPr>
          <w:p w14:paraId="3CC7D674">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215" w:type="pct"/>
            <w:vAlign w:val="center"/>
          </w:tcPr>
          <w:p w14:paraId="06601369">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“通知”文件要求</w:t>
            </w:r>
          </w:p>
        </w:tc>
        <w:tc>
          <w:tcPr>
            <w:tcW w:w="2009" w:type="pct"/>
            <w:vAlign w:val="center"/>
          </w:tcPr>
          <w:p w14:paraId="480734AE">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实际情况</w:t>
            </w:r>
          </w:p>
        </w:tc>
        <w:tc>
          <w:tcPr>
            <w:tcW w:w="420" w:type="pct"/>
            <w:vAlign w:val="center"/>
          </w:tcPr>
          <w:p w14:paraId="106149A0">
            <w:pPr>
              <w:adjustRightInd w:val="0"/>
              <w:snapToGrid w:val="0"/>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检查</w:t>
            </w:r>
            <w:r>
              <w:rPr>
                <w:rFonts w:hint="eastAsia" w:ascii="宋体" w:hAnsi="宋体" w:eastAsia="宋体" w:cs="宋体"/>
                <w:b/>
                <w:bCs/>
                <w:color w:val="auto"/>
                <w:sz w:val="21"/>
                <w:szCs w:val="21"/>
                <w:highlight w:val="none"/>
                <w:lang w:eastAsia="zh-CN"/>
              </w:rPr>
              <w:t>结果</w:t>
            </w:r>
          </w:p>
        </w:tc>
      </w:tr>
      <w:tr w14:paraId="57384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71B5AFE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w:t>
            </w:r>
          </w:p>
        </w:tc>
        <w:tc>
          <w:tcPr>
            <w:tcW w:w="4645" w:type="pct"/>
            <w:gridSpan w:val="3"/>
            <w:vAlign w:val="center"/>
          </w:tcPr>
          <w:p w14:paraId="6BF7CFD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一般要求</w:t>
            </w:r>
          </w:p>
        </w:tc>
      </w:tr>
      <w:tr w14:paraId="77472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71E709B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15" w:type="pct"/>
            <w:vAlign w:val="center"/>
          </w:tcPr>
          <w:p w14:paraId="02E00F10">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操作人员必须经过专门培训，严格遵守操作规程，熟练掌握操作技能，具备应急处置知识。</w:t>
            </w:r>
          </w:p>
        </w:tc>
        <w:tc>
          <w:tcPr>
            <w:tcW w:w="2009" w:type="pct"/>
            <w:vAlign w:val="center"/>
          </w:tcPr>
          <w:p w14:paraId="13737CE0">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CN"/>
              </w:rPr>
              <w:t>危化品仓库作业人员经</w:t>
            </w:r>
            <w:r>
              <w:rPr>
                <w:rFonts w:hint="eastAsia" w:ascii="宋体" w:hAnsi="宋体" w:eastAsia="宋体" w:cs="宋体"/>
                <w:color w:val="auto"/>
                <w:kern w:val="0"/>
                <w:sz w:val="21"/>
                <w:szCs w:val="21"/>
                <w:highlight w:val="none"/>
              </w:rPr>
              <w:t>安全培训合格</w:t>
            </w:r>
            <w:r>
              <w:rPr>
                <w:rFonts w:hint="eastAsia" w:ascii="宋体" w:hAnsi="宋体" w:eastAsia="宋体" w:cs="宋体"/>
                <w:color w:val="auto"/>
                <w:kern w:val="0"/>
                <w:sz w:val="21"/>
                <w:szCs w:val="21"/>
                <w:highlight w:val="none"/>
                <w:lang w:eastAsia="zh-CN"/>
              </w:rPr>
              <w:t>。</w:t>
            </w:r>
          </w:p>
        </w:tc>
        <w:tc>
          <w:tcPr>
            <w:tcW w:w="420" w:type="pct"/>
            <w:vAlign w:val="center"/>
          </w:tcPr>
          <w:p w14:paraId="601602C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62738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2EB0D3E0">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15" w:type="pct"/>
            <w:vAlign w:val="center"/>
          </w:tcPr>
          <w:p w14:paraId="5A644BB2">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过程密闭，加强通风。使用防爆型的通风系统和设备，提供安全淋浴和洗眼设备。穿防静电工作服，戴化学安全防护眼镜、橡胶防护手套。空气中浓度超标时，佩戴防毒面具。作业现场禁止吸烟、进食和饮水。</w:t>
            </w:r>
          </w:p>
        </w:tc>
        <w:tc>
          <w:tcPr>
            <w:tcW w:w="2009" w:type="pct"/>
            <w:vAlign w:val="center"/>
          </w:tcPr>
          <w:p w14:paraId="18733AA4">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5C08F92E">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71FDA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72A6BE3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215" w:type="pct"/>
            <w:vAlign w:val="center"/>
          </w:tcPr>
          <w:p w14:paraId="1F49A021">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远离火种、热源。应与禁配物分开存放，切忌混储。</w:t>
            </w:r>
          </w:p>
        </w:tc>
        <w:tc>
          <w:tcPr>
            <w:tcW w:w="2009" w:type="pct"/>
            <w:vAlign w:val="center"/>
          </w:tcPr>
          <w:p w14:paraId="243C8165">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远离火种、热源；与禁配物</w:t>
            </w:r>
            <w:r>
              <w:rPr>
                <w:rFonts w:hint="eastAsia" w:ascii="宋体" w:hAnsi="宋体" w:eastAsia="宋体" w:cs="宋体"/>
                <w:color w:val="auto"/>
                <w:sz w:val="21"/>
                <w:szCs w:val="21"/>
                <w:highlight w:val="none"/>
                <w:lang w:eastAsia="zh-CN"/>
              </w:rPr>
              <w:t>隔开或分离</w:t>
            </w:r>
            <w:r>
              <w:rPr>
                <w:rFonts w:hint="eastAsia" w:ascii="宋体" w:hAnsi="宋体" w:eastAsia="宋体" w:cs="宋体"/>
                <w:color w:val="auto"/>
                <w:sz w:val="21"/>
                <w:szCs w:val="21"/>
                <w:highlight w:val="none"/>
              </w:rPr>
              <w:t>存放</w:t>
            </w:r>
            <w:r>
              <w:rPr>
                <w:rFonts w:hint="eastAsia" w:ascii="宋体" w:hAnsi="宋体" w:eastAsia="宋体" w:cs="宋体"/>
                <w:color w:val="auto"/>
                <w:sz w:val="21"/>
                <w:szCs w:val="21"/>
                <w:highlight w:val="none"/>
                <w:lang w:eastAsia="zh-CN"/>
              </w:rPr>
              <w:t>。</w:t>
            </w:r>
          </w:p>
        </w:tc>
        <w:tc>
          <w:tcPr>
            <w:tcW w:w="420" w:type="pct"/>
            <w:vAlign w:val="center"/>
          </w:tcPr>
          <w:p w14:paraId="5D6B2CC2">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0AFBB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564213FB">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215" w:type="pct"/>
            <w:vAlign w:val="center"/>
          </w:tcPr>
          <w:p w14:paraId="4A65D6C0">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生产、储存区域应设置安全警示标志。禁止震动、撞击和摩擦。配备相应品种和数量的消防器材及泄漏应急处理设备。</w:t>
            </w:r>
          </w:p>
        </w:tc>
        <w:tc>
          <w:tcPr>
            <w:tcW w:w="2009" w:type="pct"/>
            <w:vAlign w:val="center"/>
          </w:tcPr>
          <w:p w14:paraId="396C6499">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储存区域设置安全警示标志</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配备相应品种和数量的消防器材及泄漏应急处理设备。</w:t>
            </w:r>
          </w:p>
        </w:tc>
        <w:tc>
          <w:tcPr>
            <w:tcW w:w="420" w:type="pct"/>
            <w:vAlign w:val="center"/>
          </w:tcPr>
          <w:p w14:paraId="7E22A8A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7B7D5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08BB78D0">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215" w:type="pct"/>
            <w:vAlign w:val="center"/>
          </w:tcPr>
          <w:p w14:paraId="3BB79098">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生产过程中易引起燃烧爆炸的机械化作业应设置自动报警、自动停机、自动泄爆、自动雨淋等安全自控装置；自动化生产线的单机设备除有自动控制系统监控外，在现场还应设置应急控制操作装置。</w:t>
            </w:r>
          </w:p>
        </w:tc>
        <w:tc>
          <w:tcPr>
            <w:tcW w:w="2009" w:type="pct"/>
            <w:vAlign w:val="center"/>
          </w:tcPr>
          <w:p w14:paraId="65A80E98">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4D83F91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245A7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0BCFE1B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215" w:type="pct"/>
            <w:vAlign w:val="center"/>
          </w:tcPr>
          <w:p w14:paraId="0CC535FA">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生产过程中产生的不合格品和废品应隔离存放、及时处理；内包装材料应统一回收存放在远离热源的场所，并及时销毁。</w:t>
            </w:r>
          </w:p>
        </w:tc>
        <w:tc>
          <w:tcPr>
            <w:tcW w:w="2009" w:type="pct"/>
            <w:vAlign w:val="center"/>
          </w:tcPr>
          <w:p w14:paraId="4EF34390">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026CC58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4F67C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44E2C3B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w:t>
            </w:r>
          </w:p>
        </w:tc>
        <w:tc>
          <w:tcPr>
            <w:tcW w:w="4645" w:type="pct"/>
            <w:gridSpan w:val="3"/>
            <w:vAlign w:val="center"/>
          </w:tcPr>
          <w:p w14:paraId="006593CB">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储存安全</w:t>
            </w:r>
          </w:p>
        </w:tc>
      </w:tr>
      <w:tr w14:paraId="30350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1CEBC1B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15" w:type="pct"/>
            <w:vAlign w:val="center"/>
          </w:tcPr>
          <w:p w14:paraId="08B00863">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储存于阴凉、通风的库房。远离火种、热源，避免阳光直射。库房温度不超过25℃。</w:t>
            </w:r>
          </w:p>
        </w:tc>
        <w:tc>
          <w:tcPr>
            <w:tcW w:w="2009" w:type="pct"/>
            <w:vAlign w:val="center"/>
          </w:tcPr>
          <w:p w14:paraId="714E0DED">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设有轴流排风机。</w:t>
            </w:r>
            <w:r>
              <w:rPr>
                <w:rFonts w:hint="eastAsia" w:ascii="宋体" w:hAnsi="宋体" w:eastAsia="宋体" w:cs="宋体"/>
                <w:color w:val="auto"/>
                <w:sz w:val="21"/>
                <w:szCs w:val="21"/>
                <w:highlight w:val="none"/>
              </w:rPr>
              <w:t>远离火种、热源，</w:t>
            </w:r>
            <w:r>
              <w:rPr>
                <w:rFonts w:hint="eastAsia" w:ascii="宋体" w:hAnsi="宋体" w:eastAsia="宋体" w:cs="宋体"/>
                <w:color w:val="auto"/>
                <w:sz w:val="21"/>
                <w:szCs w:val="21"/>
                <w:highlight w:val="none"/>
                <w:lang w:eastAsia="zh-CN"/>
              </w:rPr>
              <w:t>无</w:t>
            </w:r>
            <w:r>
              <w:rPr>
                <w:rFonts w:hint="eastAsia" w:ascii="宋体" w:hAnsi="宋体" w:eastAsia="宋体" w:cs="宋体"/>
                <w:color w:val="auto"/>
                <w:sz w:val="21"/>
                <w:szCs w:val="21"/>
                <w:highlight w:val="none"/>
              </w:rPr>
              <w:t>阳光直射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设有空调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库房温度</w:t>
            </w:r>
            <w:r>
              <w:rPr>
                <w:rFonts w:hint="eastAsia" w:ascii="宋体" w:hAnsi="宋体" w:eastAsia="宋体" w:cs="宋体"/>
                <w:color w:val="auto"/>
                <w:sz w:val="21"/>
                <w:szCs w:val="21"/>
                <w:highlight w:val="none"/>
                <w:lang w:eastAsia="zh-CN"/>
              </w:rPr>
              <w:t>保持</w:t>
            </w:r>
            <w:r>
              <w:rPr>
                <w:rFonts w:hint="eastAsia" w:ascii="宋体" w:hAnsi="宋体" w:eastAsia="宋体" w:cs="宋体"/>
                <w:color w:val="auto"/>
                <w:sz w:val="21"/>
                <w:szCs w:val="21"/>
                <w:highlight w:val="none"/>
                <w:lang w:val="en-US" w:eastAsia="zh-CN"/>
              </w:rPr>
              <w:t>2-25</w:t>
            </w:r>
            <w:r>
              <w:rPr>
                <w:rFonts w:hint="eastAsia" w:ascii="宋体" w:hAnsi="宋体" w:eastAsia="宋体" w:cs="宋体"/>
                <w:color w:val="auto"/>
                <w:sz w:val="21"/>
                <w:szCs w:val="21"/>
                <w:highlight w:val="none"/>
              </w:rPr>
              <w:t>℃。</w:t>
            </w:r>
          </w:p>
        </w:tc>
        <w:tc>
          <w:tcPr>
            <w:tcW w:w="420" w:type="pct"/>
            <w:vAlign w:val="center"/>
          </w:tcPr>
          <w:p w14:paraId="5BF9199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119CA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681984DB">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15" w:type="pct"/>
            <w:vAlign w:val="center"/>
          </w:tcPr>
          <w:p w14:paraId="48B6C761">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应与还原剂、钴盐、强酸、胺、有机物、易（可）燃物分开存放，切忌混储。储存区应备有合适的材料收容泄漏物。禁止震动、撞击和摩擦。禁止使用易产生火花的机械设备和工具。</w:t>
            </w:r>
          </w:p>
        </w:tc>
        <w:tc>
          <w:tcPr>
            <w:tcW w:w="2009" w:type="pct"/>
            <w:vAlign w:val="center"/>
          </w:tcPr>
          <w:p w14:paraId="64D54540">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与钴盐、强酸、有机物、易（可）燃物</w:t>
            </w:r>
            <w:r>
              <w:rPr>
                <w:rFonts w:hint="eastAsia" w:ascii="宋体" w:hAnsi="宋体" w:eastAsia="宋体" w:cs="宋体"/>
                <w:color w:val="auto"/>
                <w:sz w:val="21"/>
                <w:szCs w:val="21"/>
                <w:highlight w:val="none"/>
                <w:lang w:eastAsia="zh-CN"/>
              </w:rPr>
              <w:t>隔开或分离</w:t>
            </w:r>
            <w:r>
              <w:rPr>
                <w:rFonts w:hint="eastAsia" w:ascii="宋体" w:hAnsi="宋体" w:eastAsia="宋体" w:cs="宋体"/>
                <w:color w:val="auto"/>
                <w:sz w:val="21"/>
                <w:szCs w:val="21"/>
                <w:highlight w:val="none"/>
              </w:rPr>
              <w:t>存放</w:t>
            </w:r>
            <w:r>
              <w:rPr>
                <w:rFonts w:hint="eastAsia" w:ascii="宋体" w:hAnsi="宋体" w:eastAsia="宋体" w:cs="宋体"/>
                <w:color w:val="auto"/>
                <w:sz w:val="21"/>
                <w:szCs w:val="21"/>
                <w:highlight w:val="none"/>
                <w:lang w:eastAsia="zh-CN"/>
              </w:rPr>
              <w:t>。设置有消防砂。无</w:t>
            </w:r>
            <w:r>
              <w:rPr>
                <w:rFonts w:hint="eastAsia" w:ascii="宋体" w:hAnsi="宋体" w:eastAsia="宋体" w:cs="宋体"/>
                <w:color w:val="auto"/>
                <w:sz w:val="21"/>
                <w:szCs w:val="21"/>
                <w:highlight w:val="none"/>
              </w:rPr>
              <w:t>震动、撞击和摩擦。使用</w:t>
            </w:r>
            <w:r>
              <w:rPr>
                <w:rFonts w:hint="eastAsia" w:ascii="宋体" w:hAnsi="宋体" w:eastAsia="宋体" w:cs="宋体"/>
                <w:color w:val="auto"/>
                <w:sz w:val="21"/>
                <w:szCs w:val="21"/>
                <w:highlight w:val="none"/>
                <w:lang w:eastAsia="zh-CN"/>
              </w:rPr>
              <w:t>铜制开桶扳手</w:t>
            </w:r>
            <w:r>
              <w:rPr>
                <w:rFonts w:hint="eastAsia" w:ascii="宋体" w:hAnsi="宋体" w:eastAsia="宋体" w:cs="宋体"/>
                <w:color w:val="auto"/>
                <w:sz w:val="21"/>
                <w:szCs w:val="21"/>
                <w:highlight w:val="none"/>
              </w:rPr>
              <w:t>。</w:t>
            </w:r>
          </w:p>
        </w:tc>
        <w:tc>
          <w:tcPr>
            <w:tcW w:w="420" w:type="pct"/>
            <w:vAlign w:val="center"/>
          </w:tcPr>
          <w:p w14:paraId="1DC34EF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15CAF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0F47E33B">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w:t>
            </w:r>
          </w:p>
        </w:tc>
        <w:tc>
          <w:tcPr>
            <w:tcW w:w="4645" w:type="pct"/>
            <w:gridSpan w:val="3"/>
            <w:vAlign w:val="center"/>
          </w:tcPr>
          <w:p w14:paraId="1F4F1AC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运输安全</w:t>
            </w:r>
          </w:p>
        </w:tc>
      </w:tr>
      <w:tr w14:paraId="425F5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439DD1A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15" w:type="pct"/>
            <w:vAlign w:val="center"/>
          </w:tcPr>
          <w:p w14:paraId="3A24963C">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运输车辆应有危险货物运输标志、安装具有行驶记录功能的卫星定位装置。未经公安机关批准，运输车辆不得进入危险化学品运输车辆限制通行的区域。</w:t>
            </w:r>
          </w:p>
        </w:tc>
        <w:tc>
          <w:tcPr>
            <w:tcW w:w="2009" w:type="pct"/>
            <w:vAlign w:val="center"/>
          </w:tcPr>
          <w:p w14:paraId="22093471">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不涉及，由供应商负责运输到公司</w:t>
            </w:r>
          </w:p>
        </w:tc>
        <w:tc>
          <w:tcPr>
            <w:tcW w:w="420" w:type="pct"/>
            <w:vAlign w:val="center"/>
          </w:tcPr>
          <w:p w14:paraId="09912E6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2C58C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4E4B9E9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15" w:type="pct"/>
            <w:vAlign w:val="center"/>
          </w:tcPr>
          <w:p w14:paraId="45B92BFC">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输过程中应有遮盖物，防止曝晒和雨淋、猛烈撞击、包装破损，不得倒置。严禁与还原剂、钴盐、强酸、胺、有机物、易（可）燃物等同车混运，尤其是钴盐。运输过程中要确保容器不泄漏、不倒塌、不坠落、不损坏。运输时运输车辆应配备相应品种和数量的消防器材。搬运时要轻装轻卸，防止包装及容器损坏。禁止震动、撞击和摩擦。</w:t>
            </w:r>
          </w:p>
        </w:tc>
        <w:tc>
          <w:tcPr>
            <w:tcW w:w="2009" w:type="pct"/>
            <w:vAlign w:val="center"/>
          </w:tcPr>
          <w:p w14:paraId="7BFEC7F8">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不涉及，由供应商负责运输到公司</w:t>
            </w:r>
          </w:p>
        </w:tc>
        <w:tc>
          <w:tcPr>
            <w:tcW w:w="420" w:type="pct"/>
            <w:vAlign w:val="center"/>
          </w:tcPr>
          <w:p w14:paraId="0F7D1F2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15B0C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4" w:type="pct"/>
            <w:vAlign w:val="center"/>
          </w:tcPr>
          <w:p w14:paraId="4E89BDF2">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215" w:type="pct"/>
            <w:vAlign w:val="center"/>
          </w:tcPr>
          <w:p w14:paraId="14DED1FD">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拥有齐全的危险化学品运输资质，必须配备押运人员，并随时处于押运人员的监管之下，不得超装、超载，不得进入危险化学品运输车辆禁止通行的区域；确需进入禁止通行区域的，应当事先向当地公安部门报告，运输时车速不宜过快，不得强行超车。运输车辆装卸前后，均应彻底清扫、洗净，严禁混入有机物、易燃物等杂质。</w:t>
            </w:r>
          </w:p>
        </w:tc>
        <w:tc>
          <w:tcPr>
            <w:tcW w:w="2009" w:type="pct"/>
            <w:vAlign w:val="center"/>
          </w:tcPr>
          <w:p w14:paraId="6091E4C7">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不涉及，由供应商负责运输到公司</w:t>
            </w:r>
          </w:p>
        </w:tc>
        <w:tc>
          <w:tcPr>
            <w:tcW w:w="420" w:type="pct"/>
            <w:vAlign w:val="center"/>
          </w:tcPr>
          <w:p w14:paraId="22140C9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bl>
    <w:p w14:paraId="5CECAC1F">
      <w:pPr>
        <w:adjustRightInd w:val="0"/>
        <w:snapToGrid w:val="0"/>
        <w:spacing w:before="157" w:beforeLines="50" w:line="360" w:lineRule="auto"/>
        <w:ind w:firstLine="0" w:firstLineChars="0"/>
        <w:jc w:val="center"/>
        <w:rPr>
          <w:rFonts w:ascii="黑体" w:hAnsi="黑体" w:eastAsia="黑体"/>
          <w:b/>
          <w:bCs/>
          <w:color w:val="auto"/>
          <w:sz w:val="24"/>
          <w:szCs w:val="24"/>
          <w:highlight w:val="none"/>
        </w:rPr>
      </w:pPr>
      <w:r>
        <w:rPr>
          <w:rFonts w:ascii="黑体" w:hAnsi="黑体" w:eastAsia="黑体"/>
          <w:b/>
          <w:bCs/>
          <w:color w:val="auto"/>
          <w:sz w:val="24"/>
          <w:szCs w:val="24"/>
          <w:highlight w:val="none"/>
        </w:rPr>
        <w:t>表5.1-</w:t>
      </w:r>
      <w:r>
        <w:rPr>
          <w:rFonts w:hint="eastAsia" w:ascii="黑体" w:hAnsi="黑体" w:eastAsia="黑体"/>
          <w:b/>
          <w:bCs/>
          <w:color w:val="auto"/>
          <w:sz w:val="24"/>
          <w:szCs w:val="24"/>
          <w:highlight w:val="none"/>
          <w:lang w:val="en-US" w:eastAsia="zh-CN"/>
        </w:rPr>
        <w:t>11</w:t>
      </w:r>
      <w:r>
        <w:rPr>
          <w:rFonts w:ascii="黑体" w:hAnsi="黑体" w:eastAsia="黑体"/>
          <w:b/>
          <w:bCs/>
          <w:color w:val="auto"/>
          <w:sz w:val="24"/>
          <w:szCs w:val="24"/>
          <w:highlight w:val="none"/>
        </w:rPr>
        <w:t xml:space="preserve"> </w:t>
      </w:r>
      <w:r>
        <w:rPr>
          <w:rFonts w:hint="eastAsia" w:ascii="黑体" w:hAnsi="黑体" w:eastAsia="黑体"/>
          <w:b/>
          <w:bCs/>
          <w:color w:val="auto"/>
          <w:sz w:val="24"/>
          <w:szCs w:val="24"/>
          <w:highlight w:val="none"/>
        </w:rPr>
        <w:t>过氧化二苯甲酰储存安全措施</w:t>
      </w:r>
      <w:r>
        <w:rPr>
          <w:rFonts w:ascii="黑体" w:hAnsi="黑体" w:eastAsia="黑体"/>
          <w:b/>
          <w:bCs/>
          <w:color w:val="auto"/>
          <w:sz w:val="24"/>
          <w:szCs w:val="24"/>
          <w:highlight w:val="none"/>
        </w:rPr>
        <w:t>检查表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4165"/>
        <w:gridCol w:w="3780"/>
        <w:gridCol w:w="792"/>
      </w:tblGrid>
      <w:tr w14:paraId="7815B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53" w:type="pct"/>
            <w:vAlign w:val="center"/>
          </w:tcPr>
          <w:p w14:paraId="26F7EF86">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215" w:type="pct"/>
            <w:vAlign w:val="center"/>
          </w:tcPr>
          <w:p w14:paraId="027676CB">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“通知”文件要求</w:t>
            </w:r>
          </w:p>
        </w:tc>
        <w:tc>
          <w:tcPr>
            <w:tcW w:w="2010" w:type="pct"/>
            <w:vAlign w:val="center"/>
          </w:tcPr>
          <w:p w14:paraId="39B30663">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实际情况</w:t>
            </w:r>
          </w:p>
        </w:tc>
        <w:tc>
          <w:tcPr>
            <w:tcW w:w="420" w:type="pct"/>
            <w:vAlign w:val="center"/>
          </w:tcPr>
          <w:p w14:paraId="2784FA28">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检查结论</w:t>
            </w:r>
          </w:p>
        </w:tc>
      </w:tr>
      <w:tr w14:paraId="2278E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1715438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w:t>
            </w:r>
          </w:p>
        </w:tc>
        <w:tc>
          <w:tcPr>
            <w:tcW w:w="4646" w:type="pct"/>
            <w:gridSpan w:val="3"/>
            <w:vAlign w:val="center"/>
          </w:tcPr>
          <w:p w14:paraId="6F8A41E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一般要求</w:t>
            </w:r>
          </w:p>
        </w:tc>
      </w:tr>
      <w:tr w14:paraId="0669C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00CBD19F">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15" w:type="pct"/>
            <w:vAlign w:val="center"/>
          </w:tcPr>
          <w:p w14:paraId="3D8859EF">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操作人员必须经过专门培训，严格遵守操作规程，熟练掌握操作技能，具备应急处置知识。</w:t>
            </w:r>
          </w:p>
        </w:tc>
        <w:tc>
          <w:tcPr>
            <w:tcW w:w="2010" w:type="pct"/>
            <w:vAlign w:val="center"/>
          </w:tcPr>
          <w:p w14:paraId="0BF0CD16">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CN"/>
              </w:rPr>
              <w:t>危化品仓库作业人员经</w:t>
            </w:r>
            <w:r>
              <w:rPr>
                <w:rFonts w:hint="eastAsia" w:ascii="宋体" w:hAnsi="宋体" w:eastAsia="宋体" w:cs="宋体"/>
                <w:color w:val="auto"/>
                <w:kern w:val="0"/>
                <w:sz w:val="21"/>
                <w:szCs w:val="21"/>
                <w:highlight w:val="none"/>
              </w:rPr>
              <w:t>安全培训合格</w:t>
            </w:r>
            <w:r>
              <w:rPr>
                <w:rFonts w:hint="eastAsia" w:ascii="宋体" w:hAnsi="宋体" w:eastAsia="宋体" w:cs="宋体"/>
                <w:color w:val="auto"/>
                <w:kern w:val="0"/>
                <w:sz w:val="21"/>
                <w:szCs w:val="21"/>
                <w:highlight w:val="none"/>
                <w:lang w:eastAsia="zh-CN"/>
              </w:rPr>
              <w:t>。</w:t>
            </w:r>
          </w:p>
        </w:tc>
        <w:tc>
          <w:tcPr>
            <w:tcW w:w="420" w:type="pct"/>
            <w:vAlign w:val="center"/>
          </w:tcPr>
          <w:p w14:paraId="67AFCEA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7DBCB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098E3A5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15" w:type="pct"/>
            <w:vAlign w:val="center"/>
          </w:tcPr>
          <w:p w14:paraId="643EDAB2">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生产过程密闭，加强通风。使用防爆型的通风系统和设备，提供安全淋浴和洗眼设备。可能接触其粉尘时，建议佩戴自吸过滤式防尘口罩。戴化学安全防护眼镜，戴橡胶手套。作业现场禁止吸烟、进食和饮水。</w:t>
            </w:r>
          </w:p>
        </w:tc>
        <w:tc>
          <w:tcPr>
            <w:tcW w:w="2010" w:type="pct"/>
            <w:vAlign w:val="center"/>
          </w:tcPr>
          <w:p w14:paraId="659B8191">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3700CF6E">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47EBA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5DC78B8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215" w:type="pct"/>
            <w:vAlign w:val="center"/>
          </w:tcPr>
          <w:p w14:paraId="320073F6">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远离火种、热源。应与禁配物分开存放，切忌混储。</w:t>
            </w:r>
          </w:p>
        </w:tc>
        <w:tc>
          <w:tcPr>
            <w:tcW w:w="2010" w:type="pct"/>
            <w:vAlign w:val="center"/>
          </w:tcPr>
          <w:p w14:paraId="195BA090">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远离火种、热源</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与禁配物</w:t>
            </w:r>
            <w:r>
              <w:rPr>
                <w:rFonts w:hint="eastAsia" w:ascii="宋体" w:hAnsi="宋体" w:eastAsia="宋体" w:cs="宋体"/>
                <w:color w:val="auto"/>
                <w:sz w:val="21"/>
                <w:szCs w:val="21"/>
                <w:highlight w:val="none"/>
                <w:lang w:eastAsia="zh-CN"/>
              </w:rPr>
              <w:t>隔开或分离</w:t>
            </w:r>
            <w:r>
              <w:rPr>
                <w:rFonts w:hint="eastAsia" w:ascii="宋体" w:hAnsi="宋体" w:eastAsia="宋体" w:cs="宋体"/>
                <w:color w:val="auto"/>
                <w:sz w:val="21"/>
                <w:szCs w:val="21"/>
                <w:highlight w:val="none"/>
              </w:rPr>
              <w:t>存放</w:t>
            </w:r>
            <w:r>
              <w:rPr>
                <w:rFonts w:hint="eastAsia" w:ascii="宋体" w:hAnsi="宋体" w:eastAsia="宋体" w:cs="宋体"/>
                <w:color w:val="auto"/>
                <w:sz w:val="21"/>
                <w:szCs w:val="21"/>
                <w:highlight w:val="none"/>
                <w:lang w:eastAsia="zh-CN"/>
              </w:rPr>
              <w:t>。</w:t>
            </w:r>
          </w:p>
        </w:tc>
        <w:tc>
          <w:tcPr>
            <w:tcW w:w="420" w:type="pct"/>
            <w:vAlign w:val="center"/>
          </w:tcPr>
          <w:p w14:paraId="1852E8E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45DB3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31C18C2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215" w:type="pct"/>
            <w:vAlign w:val="center"/>
          </w:tcPr>
          <w:p w14:paraId="495C047A">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生产、储存区域应设置安全警示标志。禁止震动、撞击和摩擦。配备相应品种和数量的消防器材及泄漏应急处理设备。</w:t>
            </w:r>
          </w:p>
        </w:tc>
        <w:tc>
          <w:tcPr>
            <w:tcW w:w="2010" w:type="pct"/>
            <w:vAlign w:val="center"/>
          </w:tcPr>
          <w:p w14:paraId="3E49558B">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储存区域设置安全警示标志</w:t>
            </w:r>
            <w:r>
              <w:rPr>
                <w:rFonts w:hint="eastAsia" w:ascii="宋体" w:hAnsi="宋体" w:eastAsia="宋体" w:cs="宋体"/>
                <w:color w:val="auto"/>
                <w:sz w:val="21"/>
                <w:szCs w:val="21"/>
                <w:highlight w:val="none"/>
                <w:lang w:eastAsia="zh-CN"/>
              </w:rPr>
              <w:t>。无</w:t>
            </w:r>
            <w:r>
              <w:rPr>
                <w:rFonts w:hint="eastAsia" w:ascii="宋体" w:hAnsi="宋体" w:eastAsia="宋体" w:cs="宋体"/>
                <w:color w:val="auto"/>
                <w:sz w:val="21"/>
                <w:szCs w:val="21"/>
                <w:highlight w:val="none"/>
              </w:rPr>
              <w:t>震动、撞击和摩擦。配备相应品种和数量的消防器材及泄漏应急处理设备。</w:t>
            </w:r>
          </w:p>
        </w:tc>
        <w:tc>
          <w:tcPr>
            <w:tcW w:w="420" w:type="pct"/>
            <w:vAlign w:val="center"/>
          </w:tcPr>
          <w:p w14:paraId="1AE227B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4CE00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556BC86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215" w:type="pct"/>
            <w:vAlign w:val="center"/>
          </w:tcPr>
          <w:p w14:paraId="33AD53DE">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湿法粉碎工艺时，应待物料全部浸湿后方可开机；当采用金属球和金属球磨筒方式进行粉碎时，宜用水或含水溶剂作为介质。粉碎混合加工过程中应设置自动导出静电的装置，出料时应将接料车和出料器用导线可靠连接并整体接地。</w:t>
            </w:r>
          </w:p>
        </w:tc>
        <w:tc>
          <w:tcPr>
            <w:tcW w:w="2010" w:type="pct"/>
            <w:vAlign w:val="center"/>
          </w:tcPr>
          <w:p w14:paraId="2864E399">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147A068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44CE9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4B437512">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215" w:type="pct"/>
            <w:vAlign w:val="center"/>
          </w:tcPr>
          <w:p w14:paraId="51BDA080">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生产过程中易引起燃烧爆炸的机械化作业应设置自动报警、自动停机、自动泄爆、自动雨淋等安全自控装置；自动化生产线的单机设备除有自动控制系统监控外，在现场还应设置应急控制操作装置。</w:t>
            </w:r>
          </w:p>
        </w:tc>
        <w:tc>
          <w:tcPr>
            <w:tcW w:w="2010" w:type="pct"/>
            <w:vAlign w:val="center"/>
          </w:tcPr>
          <w:p w14:paraId="3833176A">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5317B35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3437F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41D8EBCF">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215" w:type="pct"/>
            <w:vAlign w:val="center"/>
          </w:tcPr>
          <w:p w14:paraId="193201A1">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生产过程中产生的不合格品和废品应隔离存放、及时处理；内包装材料应统一回收存放在远离热源的场所，并及时销毁。</w:t>
            </w:r>
          </w:p>
        </w:tc>
        <w:tc>
          <w:tcPr>
            <w:tcW w:w="2010" w:type="pct"/>
            <w:vAlign w:val="center"/>
          </w:tcPr>
          <w:p w14:paraId="1D3758F0">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不涉及</w:t>
            </w:r>
            <w:r>
              <w:rPr>
                <w:rFonts w:hint="eastAsia" w:ascii="宋体" w:hAnsi="宋体" w:eastAsia="宋体" w:cs="宋体"/>
                <w:color w:val="auto"/>
                <w:sz w:val="21"/>
                <w:szCs w:val="21"/>
                <w:highlight w:val="none"/>
                <w:lang w:eastAsia="zh-CN"/>
              </w:rPr>
              <w:t>。</w:t>
            </w:r>
          </w:p>
        </w:tc>
        <w:tc>
          <w:tcPr>
            <w:tcW w:w="420" w:type="pct"/>
            <w:vAlign w:val="center"/>
          </w:tcPr>
          <w:p w14:paraId="081F025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29F9A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76F0B94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w:t>
            </w:r>
          </w:p>
        </w:tc>
        <w:tc>
          <w:tcPr>
            <w:tcW w:w="4646" w:type="pct"/>
            <w:gridSpan w:val="3"/>
            <w:vAlign w:val="center"/>
          </w:tcPr>
          <w:p w14:paraId="1A4E052F">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储存安全</w:t>
            </w:r>
          </w:p>
        </w:tc>
      </w:tr>
      <w:tr w14:paraId="505E5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422721B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15" w:type="pct"/>
            <w:vAlign w:val="center"/>
          </w:tcPr>
          <w:p w14:paraId="180D1ABE">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储存时以水作稳定剂，一般含水30%。储存于阴凉、通风的库房。远离火种、热源，避免阳光直射。库房温度保持在2-25℃。</w:t>
            </w:r>
          </w:p>
        </w:tc>
        <w:tc>
          <w:tcPr>
            <w:tcW w:w="2010" w:type="pct"/>
            <w:vAlign w:val="center"/>
          </w:tcPr>
          <w:p w14:paraId="237C0ACA">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设有轴流排风机。</w:t>
            </w:r>
            <w:r>
              <w:rPr>
                <w:rFonts w:hint="eastAsia" w:ascii="宋体" w:hAnsi="宋体" w:eastAsia="宋体" w:cs="宋体"/>
                <w:color w:val="auto"/>
                <w:sz w:val="21"/>
                <w:szCs w:val="21"/>
                <w:highlight w:val="none"/>
              </w:rPr>
              <w:t>远离火种、热源，</w:t>
            </w:r>
            <w:r>
              <w:rPr>
                <w:rFonts w:hint="eastAsia" w:ascii="宋体" w:hAnsi="宋体" w:eastAsia="宋体" w:cs="宋体"/>
                <w:color w:val="auto"/>
                <w:sz w:val="21"/>
                <w:szCs w:val="21"/>
                <w:highlight w:val="none"/>
                <w:lang w:eastAsia="zh-CN"/>
              </w:rPr>
              <w:t>无</w:t>
            </w:r>
            <w:r>
              <w:rPr>
                <w:rFonts w:hint="eastAsia" w:ascii="宋体" w:hAnsi="宋体" w:eastAsia="宋体" w:cs="宋体"/>
                <w:color w:val="auto"/>
                <w:sz w:val="21"/>
                <w:szCs w:val="21"/>
                <w:highlight w:val="none"/>
              </w:rPr>
              <w:t>阳光直射。设有防爆空调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库房温度</w:t>
            </w:r>
            <w:r>
              <w:rPr>
                <w:rFonts w:hint="eastAsia" w:ascii="宋体" w:hAnsi="宋体" w:eastAsia="宋体" w:cs="宋体"/>
                <w:color w:val="auto"/>
                <w:sz w:val="21"/>
                <w:szCs w:val="21"/>
                <w:highlight w:val="none"/>
                <w:lang w:eastAsia="zh-CN"/>
              </w:rPr>
              <w:t>保持</w:t>
            </w:r>
            <w:r>
              <w:rPr>
                <w:rFonts w:hint="eastAsia" w:ascii="宋体" w:hAnsi="宋体" w:eastAsia="宋体" w:cs="宋体"/>
                <w:color w:val="auto"/>
                <w:sz w:val="21"/>
                <w:szCs w:val="21"/>
                <w:highlight w:val="none"/>
                <w:lang w:val="en-US" w:eastAsia="zh-CN"/>
              </w:rPr>
              <w:t>2-25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p>
        </w:tc>
        <w:tc>
          <w:tcPr>
            <w:tcW w:w="420" w:type="pct"/>
            <w:vAlign w:val="center"/>
          </w:tcPr>
          <w:p w14:paraId="28EF3B3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39657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1C4CC96A">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15" w:type="pct"/>
            <w:vAlign w:val="center"/>
          </w:tcPr>
          <w:p w14:paraId="3C9EEEC1">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应与还原剂、钴盐、强酸、胺、有机物、易（可）燃物分开存放，切忌混储。储存区应备有合适的材料收容泄漏物。禁止震动、撞击和摩擦。禁止使用易产生火花的机械设备和工具。</w:t>
            </w:r>
          </w:p>
        </w:tc>
        <w:tc>
          <w:tcPr>
            <w:tcW w:w="2010" w:type="pct"/>
            <w:vAlign w:val="center"/>
          </w:tcPr>
          <w:p w14:paraId="58A06C8E">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与钴盐、强酸、有机物、易（可）燃物</w:t>
            </w:r>
            <w:r>
              <w:rPr>
                <w:rFonts w:hint="eastAsia" w:ascii="宋体" w:hAnsi="宋体" w:eastAsia="宋体" w:cs="宋体"/>
                <w:color w:val="auto"/>
                <w:sz w:val="21"/>
                <w:szCs w:val="21"/>
                <w:highlight w:val="none"/>
                <w:lang w:eastAsia="zh-CN"/>
              </w:rPr>
              <w:t>隔开或分离</w:t>
            </w:r>
            <w:r>
              <w:rPr>
                <w:rFonts w:hint="eastAsia" w:ascii="宋体" w:hAnsi="宋体" w:eastAsia="宋体" w:cs="宋体"/>
                <w:color w:val="auto"/>
                <w:sz w:val="21"/>
                <w:szCs w:val="21"/>
                <w:highlight w:val="none"/>
              </w:rPr>
              <w:t>存放</w:t>
            </w:r>
            <w:r>
              <w:rPr>
                <w:rFonts w:hint="eastAsia" w:ascii="宋体" w:hAnsi="宋体" w:eastAsia="宋体" w:cs="宋体"/>
                <w:color w:val="auto"/>
                <w:sz w:val="21"/>
                <w:szCs w:val="21"/>
                <w:highlight w:val="none"/>
                <w:lang w:eastAsia="zh-CN"/>
              </w:rPr>
              <w:t>。设置有消防砂。无</w:t>
            </w:r>
            <w:r>
              <w:rPr>
                <w:rFonts w:hint="eastAsia" w:ascii="宋体" w:hAnsi="宋体" w:eastAsia="宋体" w:cs="宋体"/>
                <w:color w:val="auto"/>
                <w:sz w:val="21"/>
                <w:szCs w:val="21"/>
                <w:highlight w:val="none"/>
              </w:rPr>
              <w:t>震动、撞击和摩擦。使用</w:t>
            </w:r>
            <w:r>
              <w:rPr>
                <w:rFonts w:hint="eastAsia" w:ascii="宋体" w:hAnsi="宋体" w:eastAsia="宋体" w:cs="宋体"/>
                <w:color w:val="auto"/>
                <w:sz w:val="21"/>
                <w:szCs w:val="21"/>
                <w:highlight w:val="none"/>
                <w:lang w:eastAsia="zh-CN"/>
              </w:rPr>
              <w:t>铜制开桶扳手</w:t>
            </w:r>
            <w:r>
              <w:rPr>
                <w:rFonts w:hint="eastAsia" w:ascii="宋体" w:hAnsi="宋体" w:eastAsia="宋体" w:cs="宋体"/>
                <w:color w:val="auto"/>
                <w:sz w:val="21"/>
                <w:szCs w:val="21"/>
                <w:highlight w:val="none"/>
              </w:rPr>
              <w:t>。</w:t>
            </w:r>
          </w:p>
        </w:tc>
        <w:tc>
          <w:tcPr>
            <w:tcW w:w="420" w:type="pct"/>
            <w:vAlign w:val="center"/>
          </w:tcPr>
          <w:p w14:paraId="050C28E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4BD56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5B329AB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w:t>
            </w:r>
          </w:p>
        </w:tc>
        <w:tc>
          <w:tcPr>
            <w:tcW w:w="4646" w:type="pct"/>
            <w:gridSpan w:val="3"/>
            <w:vAlign w:val="center"/>
          </w:tcPr>
          <w:p w14:paraId="7525B18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运输安全</w:t>
            </w:r>
          </w:p>
        </w:tc>
      </w:tr>
      <w:tr w14:paraId="6A9E1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5BB8A35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15" w:type="pct"/>
            <w:vAlign w:val="center"/>
          </w:tcPr>
          <w:p w14:paraId="2EEED15A">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运输车辆应有危险货物运输标志、安装具有行驶记录功能的卫星定位装置。未经公安机关批准，运输车辆不得进入危险化学品运输车辆限制通行的区域。</w:t>
            </w:r>
          </w:p>
        </w:tc>
        <w:tc>
          <w:tcPr>
            <w:tcW w:w="2010" w:type="pct"/>
            <w:vAlign w:val="center"/>
          </w:tcPr>
          <w:p w14:paraId="6C1AF8B2">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不涉及，由供应商负责运输到公司</w:t>
            </w:r>
          </w:p>
        </w:tc>
        <w:tc>
          <w:tcPr>
            <w:tcW w:w="420" w:type="pct"/>
            <w:vAlign w:val="center"/>
          </w:tcPr>
          <w:p w14:paraId="21E0A42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2FEE4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2614D7E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15" w:type="pct"/>
            <w:vAlign w:val="center"/>
          </w:tcPr>
          <w:p w14:paraId="0D9773E9">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输过程中应有遮盖物，防止曝晒和雨淋、猛烈撞击、包装破损，不得倒置。严禁与还原剂、钴盐、强酸、胺、有机物、易（可）燃物等同车混运，尤其是钴盐。运输过程中要确保容器不泄漏、不倒塌、不坠落、不损坏。运输时运输车辆应配备相应品种和数量的消防器材。搬运时要轻装轻卸，防止包装及容器损坏。禁止震动、撞击和摩擦。</w:t>
            </w:r>
          </w:p>
        </w:tc>
        <w:tc>
          <w:tcPr>
            <w:tcW w:w="2010" w:type="pct"/>
            <w:vAlign w:val="center"/>
          </w:tcPr>
          <w:p w14:paraId="09AF8287">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不涉及，由供应商负责运输到公司</w:t>
            </w:r>
          </w:p>
        </w:tc>
        <w:tc>
          <w:tcPr>
            <w:tcW w:w="420" w:type="pct"/>
            <w:vAlign w:val="center"/>
          </w:tcPr>
          <w:p w14:paraId="49E32F2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0B9E0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53" w:type="pct"/>
            <w:vAlign w:val="center"/>
          </w:tcPr>
          <w:p w14:paraId="3F23DAA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215" w:type="pct"/>
            <w:vAlign w:val="center"/>
          </w:tcPr>
          <w:p w14:paraId="78735B2D">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拥有齐全的危险化学品运输资质，必须配备押运人员，并随时处于押运人员的监管之下，不得超装、超载，不得进入危险化学品运输车辆禁止通行的区域；确需进入禁止通行区域的，应当事先向当地公安部门报告，运输时车速不宜过快，不得强行超车。运输车辆装卸前后，均应彻底清扫、洗净，严禁混入有机物、易燃物等杂质。</w:t>
            </w:r>
          </w:p>
        </w:tc>
        <w:tc>
          <w:tcPr>
            <w:tcW w:w="2010" w:type="pct"/>
            <w:vAlign w:val="center"/>
          </w:tcPr>
          <w:p w14:paraId="7BB2AA6A">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不涉及，由供应商负责运输到公司</w:t>
            </w:r>
          </w:p>
        </w:tc>
        <w:tc>
          <w:tcPr>
            <w:tcW w:w="420" w:type="pct"/>
            <w:vAlign w:val="center"/>
          </w:tcPr>
          <w:p w14:paraId="3F10694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bl>
    <w:p w14:paraId="32E79FBC">
      <w:pPr>
        <w:pStyle w:val="690"/>
        <w:spacing w:before="157" w:beforeLines="50"/>
        <w:rPr>
          <w:color w:val="auto"/>
          <w:highlight w:val="none"/>
        </w:rPr>
      </w:pPr>
      <w:r>
        <w:rPr>
          <w:rFonts w:hint="eastAsia"/>
          <w:color w:val="auto"/>
          <w:highlight w:val="none"/>
          <w:lang w:eastAsia="zh-CN"/>
        </w:rPr>
        <w:t>评价</w:t>
      </w:r>
      <w:r>
        <w:rPr>
          <w:rFonts w:hint="eastAsia"/>
          <w:color w:val="auto"/>
          <w:highlight w:val="none"/>
        </w:rPr>
        <w:t>小结：苯乙烯</w:t>
      </w:r>
      <w:r>
        <w:rPr>
          <w:rFonts w:hint="eastAsia"/>
          <w:color w:val="auto"/>
          <w:highlight w:val="none"/>
          <w:lang w:eastAsia="zh-CN"/>
        </w:rPr>
        <w:t>的</w:t>
      </w:r>
      <w:r>
        <w:rPr>
          <w:rFonts w:hint="eastAsia"/>
          <w:color w:val="auto"/>
          <w:highlight w:val="none"/>
        </w:rPr>
        <w:t>安全措施</w:t>
      </w:r>
      <w:r>
        <w:rPr>
          <w:rFonts w:hint="eastAsia"/>
          <w:color w:val="auto"/>
          <w:highlight w:val="none"/>
          <w:lang w:eastAsia="zh-CN"/>
        </w:rPr>
        <w:t>符合</w:t>
      </w:r>
      <w:r>
        <w:rPr>
          <w:rFonts w:hint="eastAsia"/>
          <w:color w:val="auto"/>
          <w:highlight w:val="none"/>
        </w:rPr>
        <w:t>《国家安全监管总局办公厅关于印发首批重点监管的危险化学品安全措施和应急处置原则的通知》安监总厅管三〔2011〕142号</w:t>
      </w:r>
      <w:r>
        <w:rPr>
          <w:rFonts w:hint="eastAsia"/>
          <w:color w:val="auto"/>
          <w:highlight w:val="none"/>
          <w:lang w:eastAsia="zh-CN"/>
        </w:rPr>
        <w:t>的要求，</w:t>
      </w:r>
      <w:r>
        <w:rPr>
          <w:rFonts w:hint="eastAsia"/>
          <w:color w:val="auto"/>
          <w:highlight w:val="none"/>
        </w:rPr>
        <w:t>过氧化二苯甲酰及过氧化甲乙酮</w:t>
      </w:r>
      <w:r>
        <w:rPr>
          <w:rFonts w:hint="eastAsia"/>
          <w:color w:val="auto"/>
          <w:highlight w:val="none"/>
          <w:lang w:eastAsia="zh-CN"/>
        </w:rPr>
        <w:t>的</w:t>
      </w:r>
      <w:r>
        <w:rPr>
          <w:rFonts w:hint="eastAsia"/>
          <w:color w:val="auto"/>
          <w:highlight w:val="none"/>
        </w:rPr>
        <w:t>安全措施</w:t>
      </w:r>
      <w:r>
        <w:rPr>
          <w:rFonts w:hint="eastAsia"/>
          <w:color w:val="auto"/>
          <w:highlight w:val="none"/>
          <w:lang w:eastAsia="zh-CN"/>
        </w:rPr>
        <w:t>符合</w:t>
      </w:r>
      <w:r>
        <w:rPr>
          <w:rFonts w:hint="eastAsia"/>
          <w:color w:val="auto"/>
          <w:highlight w:val="none"/>
        </w:rPr>
        <w:t>《国家安全监管总局关于公布第二批重点监管危险化学品名录的通知》安监总管三〔</w:t>
      </w:r>
      <w:r>
        <w:rPr>
          <w:color w:val="auto"/>
          <w:highlight w:val="none"/>
        </w:rPr>
        <w:t>2013〕12号的要求</w:t>
      </w:r>
      <w:r>
        <w:rPr>
          <w:rFonts w:hint="eastAsia"/>
          <w:color w:val="auto"/>
          <w:highlight w:val="none"/>
        </w:rPr>
        <w:t>。</w:t>
      </w:r>
    </w:p>
    <w:p w14:paraId="084DD87C">
      <w:pPr>
        <w:adjustRightInd w:val="0"/>
        <w:snapToGrid w:val="0"/>
        <w:spacing w:beforeLines="0" w:afterLines="0" w:line="360" w:lineRule="auto"/>
        <w:outlineLvl w:val="2"/>
        <w:rPr>
          <w:rFonts w:ascii="黑体" w:hAnsi="黑体" w:eastAsia="黑体" w:cs="Times New Roman"/>
          <w:b/>
          <w:color w:val="auto"/>
          <w:sz w:val="28"/>
          <w:szCs w:val="28"/>
          <w:highlight w:val="none"/>
        </w:rPr>
      </w:pPr>
      <w:bookmarkStart w:id="1761" w:name="_Toc18350"/>
      <w:bookmarkStart w:id="1762" w:name="_Toc22165"/>
      <w:bookmarkStart w:id="1763" w:name="_Toc15180"/>
      <w:bookmarkStart w:id="1764" w:name="_Toc12679"/>
      <w:bookmarkStart w:id="1765" w:name="_Toc5193"/>
      <w:bookmarkStart w:id="1766" w:name="_Toc21187"/>
      <w:bookmarkStart w:id="1767" w:name="_Toc30723"/>
      <w:bookmarkStart w:id="1768" w:name="_Toc31411"/>
      <w:bookmarkStart w:id="1769" w:name="_Toc974"/>
      <w:bookmarkStart w:id="1770" w:name="_Toc8204"/>
      <w:bookmarkStart w:id="1771" w:name="_Toc1769"/>
      <w:bookmarkStart w:id="1772" w:name="_Toc25180"/>
      <w:bookmarkStart w:id="1773" w:name="_Toc14686"/>
      <w:bookmarkStart w:id="1774" w:name="_Toc8302"/>
      <w:bookmarkStart w:id="1775" w:name="_Toc23702"/>
      <w:bookmarkStart w:id="1776" w:name="_Toc14703"/>
      <w:bookmarkStart w:id="1777" w:name="_Toc24958"/>
      <w:r>
        <w:rPr>
          <w:rFonts w:ascii="黑体" w:hAnsi="黑体" w:eastAsia="黑体" w:cs="Times New Roman"/>
          <w:b/>
          <w:color w:val="auto"/>
          <w:sz w:val="28"/>
          <w:szCs w:val="28"/>
          <w:highlight w:val="none"/>
        </w:rPr>
        <w:t>5.1.</w:t>
      </w:r>
      <w:r>
        <w:rPr>
          <w:rFonts w:hint="eastAsia" w:ascii="黑体" w:hAnsi="黑体" w:eastAsia="黑体" w:cs="Times New Roman"/>
          <w:b/>
          <w:color w:val="auto"/>
          <w:sz w:val="28"/>
          <w:szCs w:val="28"/>
          <w:highlight w:val="none"/>
          <w:lang w:val="en-US" w:eastAsia="zh-CN"/>
        </w:rPr>
        <w:t>6</w:t>
      </w:r>
      <w:r>
        <w:rPr>
          <w:rFonts w:ascii="黑体" w:hAnsi="黑体" w:eastAsia="黑体" w:cs="Times New Roman"/>
          <w:b/>
          <w:color w:val="auto"/>
          <w:sz w:val="28"/>
          <w:szCs w:val="28"/>
          <w:highlight w:val="none"/>
        </w:rPr>
        <w:t xml:space="preserve"> </w:t>
      </w:r>
      <w:r>
        <w:rPr>
          <w:rFonts w:hint="eastAsia" w:ascii="黑体" w:hAnsi="黑体" w:eastAsia="黑体" w:cs="Times New Roman"/>
          <w:b/>
          <w:color w:val="auto"/>
          <w:sz w:val="28"/>
          <w:szCs w:val="28"/>
          <w:highlight w:val="none"/>
        </w:rPr>
        <w:t>特种设备</w:t>
      </w:r>
      <w:r>
        <w:rPr>
          <w:rFonts w:hint="eastAsia" w:ascii="黑体" w:hAnsi="黑体" w:eastAsia="黑体" w:cs="Times New Roman"/>
          <w:b/>
          <w:color w:val="auto"/>
          <w:sz w:val="28"/>
          <w:szCs w:val="28"/>
          <w:highlight w:val="none"/>
          <w:lang w:eastAsia="zh-CN"/>
        </w:rPr>
        <w:t>和</w:t>
      </w:r>
      <w:r>
        <w:rPr>
          <w:rFonts w:hint="eastAsia" w:ascii="黑体" w:hAnsi="黑体" w:eastAsia="黑体" w:cs="Times New Roman"/>
          <w:b/>
          <w:color w:val="auto"/>
          <w:sz w:val="28"/>
          <w:szCs w:val="28"/>
          <w:highlight w:val="none"/>
        </w:rPr>
        <w:t>特种设备作业人员评价</w:t>
      </w:r>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p>
    <w:p w14:paraId="3E132C52">
      <w:pPr>
        <w:adjustRightInd w:val="0"/>
        <w:snapToGrid w:val="0"/>
        <w:spacing w:line="360" w:lineRule="auto"/>
        <w:ind w:firstLine="560" w:firstLineChars="200"/>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依据《中华人民共和国特种设备安全法》主席令</w:t>
      </w:r>
      <w:r>
        <w:rPr>
          <w:rFonts w:hint="eastAsia" w:ascii="宋体" w:hAnsi="宋体" w:cs="宋体"/>
          <w:color w:val="auto"/>
          <w:kern w:val="0"/>
          <w:sz w:val="28"/>
          <w:szCs w:val="28"/>
          <w:highlight w:val="none"/>
          <w:lang w:eastAsia="zh-CN"/>
        </w:rPr>
        <w:t>〔</w:t>
      </w:r>
      <w:r>
        <w:rPr>
          <w:rFonts w:hint="eastAsia" w:ascii="宋体" w:hAnsi="宋体" w:cs="宋体"/>
          <w:color w:val="auto"/>
          <w:kern w:val="0"/>
          <w:sz w:val="28"/>
          <w:szCs w:val="28"/>
          <w:highlight w:val="none"/>
        </w:rPr>
        <w:t>2014</w:t>
      </w:r>
      <w:r>
        <w:rPr>
          <w:rFonts w:hint="eastAsia" w:ascii="宋体" w:hAnsi="宋体" w:cs="宋体"/>
          <w:color w:val="auto"/>
          <w:kern w:val="0"/>
          <w:sz w:val="28"/>
          <w:szCs w:val="28"/>
          <w:highlight w:val="none"/>
          <w:lang w:eastAsia="zh-CN"/>
        </w:rPr>
        <w:t>〕</w:t>
      </w:r>
      <w:r>
        <w:rPr>
          <w:rFonts w:hint="eastAsia" w:ascii="宋体" w:hAnsi="宋体" w:cs="宋体"/>
          <w:color w:val="auto"/>
          <w:kern w:val="0"/>
          <w:sz w:val="28"/>
          <w:szCs w:val="28"/>
          <w:highlight w:val="none"/>
        </w:rPr>
        <w:t>第4号、《特种设备安全监察条例》国务院令第549号对</w:t>
      </w:r>
      <w:r>
        <w:rPr>
          <w:rFonts w:hint="eastAsia" w:ascii="宋体" w:hAnsi="宋体" w:cs="宋体"/>
          <w:color w:val="auto"/>
          <w:sz w:val="28"/>
          <w:szCs w:val="28"/>
          <w:highlight w:val="none"/>
          <w:lang w:eastAsia="zh-CN"/>
        </w:rPr>
        <w:t>用于危化品仓库的危化品装卸的</w:t>
      </w:r>
      <w:r>
        <w:rPr>
          <w:rFonts w:hint="eastAsia" w:ascii="宋体" w:hAnsi="宋体" w:cs="宋体"/>
          <w:color w:val="auto"/>
          <w:kern w:val="0"/>
          <w:sz w:val="28"/>
          <w:szCs w:val="28"/>
          <w:highlight w:val="none"/>
          <w:lang w:eastAsia="zh-CN"/>
        </w:rPr>
        <w:t>叉车和叉车司机安全管理</w:t>
      </w:r>
      <w:r>
        <w:rPr>
          <w:rFonts w:hint="eastAsia" w:ascii="宋体" w:hAnsi="宋体" w:cs="宋体"/>
          <w:color w:val="auto"/>
          <w:kern w:val="0"/>
          <w:sz w:val="28"/>
          <w:szCs w:val="28"/>
          <w:highlight w:val="none"/>
        </w:rPr>
        <w:t>进行检查，检查情况</w:t>
      </w:r>
      <w:r>
        <w:rPr>
          <w:rFonts w:hint="eastAsia" w:ascii="宋体" w:hAnsi="宋体" w:cs="宋体"/>
          <w:color w:val="auto"/>
          <w:kern w:val="0"/>
          <w:sz w:val="28"/>
          <w:szCs w:val="28"/>
          <w:highlight w:val="none"/>
          <w:lang w:eastAsia="zh-CN"/>
        </w:rPr>
        <w:t>见下表</w:t>
      </w:r>
      <w:r>
        <w:rPr>
          <w:rFonts w:hint="eastAsia" w:ascii="宋体" w:hAnsi="宋体" w:cs="宋体"/>
          <w:color w:val="auto"/>
          <w:kern w:val="0"/>
          <w:sz w:val="28"/>
          <w:szCs w:val="28"/>
          <w:highlight w:val="none"/>
        </w:rPr>
        <w:t>。</w:t>
      </w:r>
    </w:p>
    <w:p w14:paraId="4842F5A3">
      <w:pPr>
        <w:pStyle w:val="60"/>
        <w:adjustRightInd w:val="0"/>
        <w:snapToGrid w:val="0"/>
        <w:rPr>
          <w:rFonts w:hint="eastAsia" w:ascii="宋体" w:hAnsi="宋体" w:cs="宋体"/>
          <w:color w:val="auto"/>
          <w:kern w:val="0"/>
          <w:sz w:val="28"/>
          <w:szCs w:val="28"/>
          <w:highlight w:val="none"/>
        </w:rPr>
      </w:pPr>
    </w:p>
    <w:p w14:paraId="4A5B0ADC">
      <w:pPr>
        <w:adjustRightInd w:val="0"/>
        <w:snapToGrid w:val="0"/>
        <w:rPr>
          <w:rFonts w:hint="eastAsia" w:ascii="宋体" w:hAnsi="宋体" w:cs="宋体"/>
          <w:color w:val="auto"/>
          <w:kern w:val="0"/>
          <w:sz w:val="28"/>
          <w:szCs w:val="28"/>
          <w:highlight w:val="none"/>
        </w:rPr>
      </w:pPr>
    </w:p>
    <w:p w14:paraId="6CEAB684">
      <w:pPr>
        <w:pStyle w:val="60"/>
        <w:adjustRightInd w:val="0"/>
        <w:snapToGrid w:val="0"/>
        <w:rPr>
          <w:rFonts w:hint="eastAsia"/>
          <w:color w:val="auto"/>
          <w:highlight w:val="none"/>
        </w:rPr>
      </w:pPr>
    </w:p>
    <w:p w14:paraId="1ED1A83C">
      <w:pPr>
        <w:pStyle w:val="136"/>
        <w:adjustRightInd w:val="0"/>
        <w:spacing w:line="360" w:lineRule="auto"/>
        <w:jc w:val="center"/>
        <w:rPr>
          <w:color w:val="auto"/>
          <w:kern w:val="0"/>
          <w:sz w:val="24"/>
          <w:szCs w:val="24"/>
          <w:highlight w:val="none"/>
        </w:rPr>
      </w:pPr>
      <w:r>
        <w:rPr>
          <w:rFonts w:hint="eastAsia" w:ascii="黑体" w:hAnsi="黑体" w:eastAsia="黑体"/>
          <w:b/>
          <w:color w:val="auto"/>
          <w:kern w:val="0"/>
          <w:sz w:val="24"/>
          <w:szCs w:val="24"/>
          <w:highlight w:val="none"/>
        </w:rPr>
        <w:t>表</w:t>
      </w:r>
      <w:r>
        <w:rPr>
          <w:rFonts w:ascii="黑体" w:hAnsi="黑体" w:eastAsia="黑体"/>
          <w:b/>
          <w:color w:val="auto"/>
          <w:kern w:val="0"/>
          <w:sz w:val="24"/>
          <w:szCs w:val="24"/>
          <w:highlight w:val="none"/>
        </w:rPr>
        <w:t>5.1-</w:t>
      </w:r>
      <w:r>
        <w:rPr>
          <w:rFonts w:hint="eastAsia"/>
          <w:b/>
          <w:color w:val="auto"/>
          <w:kern w:val="0"/>
          <w:sz w:val="24"/>
          <w:szCs w:val="24"/>
          <w:highlight w:val="none"/>
          <w:lang w:val="en-US" w:eastAsia="zh-CN"/>
        </w:rPr>
        <w:t xml:space="preserve">12 </w:t>
      </w:r>
      <w:r>
        <w:rPr>
          <w:rFonts w:hint="eastAsia" w:ascii="黑体" w:hAnsi="黑体" w:eastAsia="黑体"/>
          <w:b/>
          <w:color w:val="auto"/>
          <w:kern w:val="0"/>
          <w:sz w:val="24"/>
          <w:szCs w:val="24"/>
          <w:highlight w:val="none"/>
        </w:rPr>
        <w:t>特种设备</w:t>
      </w:r>
      <w:r>
        <w:rPr>
          <w:rFonts w:ascii="黑体" w:hAnsi="黑体" w:eastAsia="黑体"/>
          <w:b/>
          <w:color w:val="auto"/>
          <w:kern w:val="0"/>
          <w:sz w:val="24"/>
          <w:szCs w:val="24"/>
          <w:highlight w:val="none"/>
        </w:rPr>
        <w:t>安全检查表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4260"/>
        <w:gridCol w:w="1530"/>
        <w:gridCol w:w="2378"/>
        <w:gridCol w:w="721"/>
      </w:tblGrid>
      <w:tr w14:paraId="2B531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71" w:type="pct"/>
            <w:noWrap/>
            <w:vAlign w:val="center"/>
          </w:tcPr>
          <w:p w14:paraId="14FBD28B">
            <w:pPr>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265" w:type="pct"/>
            <w:noWrap/>
            <w:vAlign w:val="center"/>
          </w:tcPr>
          <w:p w14:paraId="2945A0E7">
            <w:pPr>
              <w:adjustRightInd w:val="0"/>
              <w:snapToGrid w:val="0"/>
              <w:spacing w:line="240" w:lineRule="auto"/>
              <w:ind w:firstLine="211" w:firstLineChars="10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检查项目及内容</w:t>
            </w:r>
          </w:p>
        </w:tc>
        <w:tc>
          <w:tcPr>
            <w:tcW w:w="813" w:type="pct"/>
            <w:noWrap/>
            <w:vAlign w:val="center"/>
          </w:tcPr>
          <w:p w14:paraId="336C0FD8">
            <w:pPr>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标准依据</w:t>
            </w:r>
          </w:p>
        </w:tc>
        <w:tc>
          <w:tcPr>
            <w:tcW w:w="1264" w:type="pct"/>
            <w:noWrap/>
            <w:vAlign w:val="center"/>
          </w:tcPr>
          <w:p w14:paraId="3E1264E8">
            <w:pPr>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检查情况</w:t>
            </w:r>
          </w:p>
        </w:tc>
        <w:tc>
          <w:tcPr>
            <w:tcW w:w="383" w:type="pct"/>
            <w:noWrap/>
            <w:vAlign w:val="center"/>
          </w:tcPr>
          <w:p w14:paraId="62B4F281">
            <w:pPr>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w:t>
            </w:r>
          </w:p>
          <w:p w14:paraId="2E5142F5">
            <w:pPr>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结果</w:t>
            </w:r>
          </w:p>
        </w:tc>
      </w:tr>
      <w:tr w14:paraId="77894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0AF7DFFF">
            <w:pPr>
              <w:numPr>
                <w:ilvl w:val="0"/>
                <w:numId w:val="53"/>
              </w:numPr>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38527618">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特种设备使用单位应当建立特种设备安全技术档案。安全技术档案应当包括以下内容：</w:t>
            </w:r>
          </w:p>
          <w:p w14:paraId="4BC7B24B">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（一）特种设备的设计文件、制造单位、产品质量合格证明、使用维护说明等文件以及安装技术文件和资料；</w:t>
            </w:r>
          </w:p>
          <w:p w14:paraId="69CC9DD7">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（二）特种设备的定期检验和定期自行检查的记录；（三）特种设备的日常使用状况记录；</w:t>
            </w:r>
          </w:p>
          <w:p w14:paraId="158DFBC6">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（四）特种设备及其安全附件、安全保护装置、测量调控装置及有关附属仪器仪表的日常维护保养记录；（五）特种设备运行故障和事故记录；</w:t>
            </w:r>
          </w:p>
          <w:p w14:paraId="6D056C20">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（六）高耗能特种设备的能效测试报告、能耗状况记录以及节能改造技术资料。</w:t>
            </w:r>
          </w:p>
        </w:tc>
        <w:tc>
          <w:tcPr>
            <w:tcW w:w="813" w:type="pct"/>
            <w:noWrap/>
            <w:vAlign w:val="center"/>
          </w:tcPr>
          <w:p w14:paraId="2559DDC3">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《特种设备安全监察条例》第26条</w:t>
            </w:r>
          </w:p>
        </w:tc>
        <w:tc>
          <w:tcPr>
            <w:tcW w:w="1264" w:type="pct"/>
            <w:noWrap/>
            <w:vAlign w:val="center"/>
          </w:tcPr>
          <w:p w14:paraId="16C2B518">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已建立</w:t>
            </w:r>
            <w:r>
              <w:rPr>
                <w:rFonts w:hint="eastAsia" w:ascii="宋体" w:hAnsi="宋体" w:cs="宋体"/>
                <w:color w:val="auto"/>
                <w:kern w:val="0"/>
                <w:sz w:val="21"/>
                <w:szCs w:val="21"/>
                <w:highlight w:val="none"/>
                <w:lang w:eastAsia="zh-CN"/>
              </w:rPr>
              <w:t>特种设备</w:t>
            </w:r>
            <w:r>
              <w:rPr>
                <w:rFonts w:hint="eastAsia" w:ascii="宋体" w:hAnsi="宋体" w:eastAsia="宋体" w:cs="宋体"/>
                <w:color w:val="auto"/>
                <w:kern w:val="0"/>
                <w:sz w:val="21"/>
                <w:szCs w:val="21"/>
                <w:highlight w:val="none"/>
              </w:rPr>
              <w:t>安全技术档案。</w:t>
            </w:r>
          </w:p>
        </w:tc>
        <w:tc>
          <w:tcPr>
            <w:tcW w:w="383" w:type="pct"/>
            <w:noWrap/>
            <w:vAlign w:val="center"/>
          </w:tcPr>
          <w:p w14:paraId="5FAA2D2C">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3D715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1F6BACC4">
            <w:pPr>
              <w:numPr>
                <w:ilvl w:val="0"/>
                <w:numId w:val="53"/>
              </w:numPr>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043C6FC7">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特种设备使用单位应当建立岗位责任、隐患治理、应急救援等安全管理制度，制定操作规程，保证特种设备安全运行。</w:t>
            </w:r>
          </w:p>
        </w:tc>
        <w:tc>
          <w:tcPr>
            <w:tcW w:w="813" w:type="pct"/>
            <w:noWrap/>
            <w:vAlign w:val="center"/>
          </w:tcPr>
          <w:p w14:paraId="353F42F2">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《中华人民共和国特种设备安全法》第</w:t>
            </w:r>
            <w:r>
              <w:rPr>
                <w:rFonts w:hint="eastAsia" w:ascii="宋体" w:hAnsi="宋体" w:eastAsia="宋体" w:cs="宋体"/>
                <w:color w:val="auto"/>
                <w:kern w:val="0"/>
                <w:sz w:val="21"/>
                <w:szCs w:val="21"/>
                <w:highlight w:val="none"/>
                <w:lang w:val="en-US" w:eastAsia="zh-CN"/>
              </w:rPr>
              <w:t>34</w:t>
            </w:r>
            <w:r>
              <w:rPr>
                <w:rFonts w:hint="eastAsia" w:ascii="宋体" w:hAnsi="宋体" w:eastAsia="宋体" w:cs="宋体"/>
                <w:color w:val="auto"/>
                <w:kern w:val="0"/>
                <w:sz w:val="21"/>
                <w:szCs w:val="21"/>
                <w:highlight w:val="none"/>
              </w:rPr>
              <w:t>条</w:t>
            </w:r>
          </w:p>
        </w:tc>
        <w:tc>
          <w:tcPr>
            <w:tcW w:w="1264" w:type="pct"/>
            <w:noWrap/>
            <w:vAlign w:val="center"/>
          </w:tcPr>
          <w:p w14:paraId="6C0E8DF0">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建立</w:t>
            </w:r>
            <w:r>
              <w:rPr>
                <w:rFonts w:hint="eastAsia" w:ascii="宋体" w:hAnsi="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特种设备安全管理制度以及</w:t>
            </w:r>
            <w:r>
              <w:rPr>
                <w:rFonts w:hint="eastAsia" w:ascii="宋体" w:hAnsi="宋体" w:cs="宋体"/>
                <w:color w:val="auto"/>
                <w:kern w:val="0"/>
                <w:sz w:val="21"/>
                <w:szCs w:val="21"/>
                <w:highlight w:val="none"/>
                <w:lang w:eastAsia="zh-CN"/>
              </w:rPr>
              <w:t>叉车</w:t>
            </w:r>
            <w:r>
              <w:rPr>
                <w:rFonts w:hint="eastAsia" w:ascii="宋体" w:hAnsi="宋体" w:eastAsia="宋体" w:cs="宋体"/>
                <w:color w:val="auto"/>
                <w:kern w:val="0"/>
                <w:sz w:val="21"/>
                <w:szCs w:val="21"/>
                <w:highlight w:val="none"/>
              </w:rPr>
              <w:t>操作规程。</w:t>
            </w:r>
          </w:p>
        </w:tc>
        <w:tc>
          <w:tcPr>
            <w:tcW w:w="383" w:type="pct"/>
            <w:noWrap/>
            <w:vAlign w:val="center"/>
          </w:tcPr>
          <w:p w14:paraId="4AE41E74">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4F735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7B9D899E">
            <w:pPr>
              <w:numPr>
                <w:ilvl w:val="0"/>
                <w:numId w:val="53"/>
              </w:numPr>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7BA2AC73">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锅炉、压力容器等特种设备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813" w:type="pct"/>
            <w:noWrap/>
            <w:vAlign w:val="center"/>
          </w:tcPr>
          <w:p w14:paraId="4F4D95B4">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《特种设备安全监察条例》第38条</w:t>
            </w:r>
          </w:p>
        </w:tc>
        <w:tc>
          <w:tcPr>
            <w:tcW w:w="1264" w:type="pct"/>
            <w:noWrap/>
            <w:vAlign w:val="center"/>
          </w:tcPr>
          <w:p w14:paraId="05E45AE0">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叉车司机</w:t>
            </w:r>
            <w:r>
              <w:rPr>
                <w:rFonts w:hint="eastAsia" w:ascii="宋体" w:hAnsi="宋体" w:eastAsia="宋体" w:cs="宋体"/>
                <w:color w:val="auto"/>
                <w:kern w:val="0"/>
                <w:sz w:val="21"/>
                <w:szCs w:val="21"/>
                <w:highlight w:val="none"/>
              </w:rPr>
              <w:t>取得特种设备作业人员资格证书。</w:t>
            </w:r>
          </w:p>
        </w:tc>
        <w:tc>
          <w:tcPr>
            <w:tcW w:w="383" w:type="pct"/>
            <w:noWrap/>
            <w:vAlign w:val="center"/>
          </w:tcPr>
          <w:p w14:paraId="7B104510">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0E5CE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30A9614F">
            <w:pPr>
              <w:numPr>
                <w:ilvl w:val="0"/>
                <w:numId w:val="53"/>
              </w:numPr>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557E548E">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sz w:val="21"/>
                <w:szCs w:val="21"/>
                <w:highlight w:val="none"/>
              </w:rPr>
              <w:t>特种设备在投入使用前或者投入使用后30日内，特种设备使用单位应当向直辖市或者设区的市的特种设备安全监督管理部门登记。登记标志应当置于或者附着于该特种设备的显著位置。</w:t>
            </w:r>
          </w:p>
        </w:tc>
        <w:tc>
          <w:tcPr>
            <w:tcW w:w="813" w:type="pct"/>
            <w:noWrap/>
            <w:vAlign w:val="center"/>
          </w:tcPr>
          <w:p w14:paraId="537A8E44">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cs="宋体"/>
                <w:color w:val="auto"/>
                <w:sz w:val="21"/>
                <w:szCs w:val="21"/>
                <w:highlight w:val="none"/>
              </w:rPr>
              <w:t>国务院令第549号第二十五条</w:t>
            </w:r>
          </w:p>
        </w:tc>
        <w:tc>
          <w:tcPr>
            <w:tcW w:w="1264" w:type="pct"/>
            <w:noWrap/>
            <w:vAlign w:val="center"/>
          </w:tcPr>
          <w:p w14:paraId="7970E234">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已取得</w:t>
            </w:r>
            <w:r>
              <w:rPr>
                <w:rFonts w:hint="eastAsia" w:ascii="宋体" w:hAnsi="宋体" w:cs="宋体"/>
                <w:color w:val="auto"/>
                <w:kern w:val="0"/>
                <w:sz w:val="21"/>
                <w:szCs w:val="21"/>
                <w:highlight w:val="none"/>
                <w:lang w:eastAsia="zh-CN"/>
              </w:rPr>
              <w:t>叉车登记证</w:t>
            </w:r>
            <w:r>
              <w:rPr>
                <w:rFonts w:hint="eastAsia" w:ascii="宋体" w:hAnsi="宋体" w:eastAsia="宋体" w:cs="宋体"/>
                <w:color w:val="auto"/>
                <w:kern w:val="0"/>
                <w:sz w:val="21"/>
                <w:szCs w:val="21"/>
                <w:highlight w:val="none"/>
              </w:rPr>
              <w:t>。</w:t>
            </w:r>
            <w:r>
              <w:rPr>
                <w:rFonts w:hint="eastAsia" w:ascii="宋体" w:hAnsi="宋体" w:cs="宋体"/>
                <w:color w:val="auto"/>
                <w:sz w:val="21"/>
                <w:szCs w:val="21"/>
                <w:highlight w:val="none"/>
              </w:rPr>
              <w:t>登记标志置于</w:t>
            </w:r>
            <w:r>
              <w:rPr>
                <w:rFonts w:hint="eastAsia" w:ascii="宋体" w:hAnsi="宋体" w:cs="宋体"/>
                <w:color w:val="auto"/>
                <w:sz w:val="21"/>
                <w:szCs w:val="21"/>
                <w:highlight w:val="none"/>
                <w:lang w:eastAsia="zh-CN"/>
              </w:rPr>
              <w:t>叉车上</w:t>
            </w:r>
            <w:r>
              <w:rPr>
                <w:rFonts w:hint="eastAsia" w:ascii="宋体" w:hAnsi="宋体" w:cs="宋体"/>
                <w:color w:val="auto"/>
                <w:sz w:val="21"/>
                <w:szCs w:val="21"/>
                <w:highlight w:val="none"/>
              </w:rPr>
              <w:t>。</w:t>
            </w:r>
          </w:p>
        </w:tc>
        <w:tc>
          <w:tcPr>
            <w:tcW w:w="383" w:type="pct"/>
            <w:noWrap/>
            <w:vAlign w:val="center"/>
          </w:tcPr>
          <w:p w14:paraId="17B22D18">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3FBE1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786586C7">
            <w:pPr>
              <w:numPr>
                <w:ilvl w:val="0"/>
                <w:numId w:val="53"/>
              </w:numPr>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5F6FACE3">
            <w:pPr>
              <w:adjustRightInd w:val="0"/>
              <w:snapToGrid w:val="0"/>
              <w:spacing w:line="24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特种设备使用单位应当按照安全技术规范的定期检验要求，在安全检验合格有效期届满前1个月向特种设备检验检测机构提出定期检验要求。</w:t>
            </w:r>
          </w:p>
          <w:p w14:paraId="62347BD2">
            <w:pPr>
              <w:adjustRightInd w:val="0"/>
              <w:snapToGrid w:val="0"/>
              <w:spacing w:line="24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检验检测机构接到定期检验要求后，应当按照安全技术规范的要求及时进行安全性能检验和能效测试。</w:t>
            </w:r>
          </w:p>
          <w:p w14:paraId="0623220F">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sz w:val="21"/>
                <w:szCs w:val="21"/>
                <w:highlight w:val="none"/>
              </w:rPr>
              <w:t>未经定期检验或者检验不合格的特种设备，不得继续使用。</w:t>
            </w:r>
          </w:p>
        </w:tc>
        <w:tc>
          <w:tcPr>
            <w:tcW w:w="813" w:type="pct"/>
            <w:noWrap/>
            <w:vAlign w:val="center"/>
          </w:tcPr>
          <w:p w14:paraId="1247375A">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cs="宋体"/>
                <w:color w:val="auto"/>
                <w:sz w:val="21"/>
                <w:szCs w:val="21"/>
                <w:highlight w:val="none"/>
              </w:rPr>
              <w:t>国务院令第549号第二十八条</w:t>
            </w:r>
          </w:p>
        </w:tc>
        <w:tc>
          <w:tcPr>
            <w:tcW w:w="1264" w:type="pct"/>
            <w:noWrap/>
            <w:vAlign w:val="center"/>
          </w:tcPr>
          <w:p w14:paraId="09F798EE">
            <w:pPr>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叉车</w:t>
            </w:r>
            <w:r>
              <w:rPr>
                <w:rFonts w:hint="eastAsia" w:ascii="宋体" w:hAnsi="宋体" w:eastAsia="宋体" w:cs="宋体"/>
                <w:color w:val="auto"/>
                <w:kern w:val="0"/>
                <w:sz w:val="21"/>
                <w:szCs w:val="21"/>
                <w:highlight w:val="none"/>
              </w:rPr>
              <w:t>已定期检验</w:t>
            </w:r>
            <w:r>
              <w:rPr>
                <w:rFonts w:hint="eastAsia" w:ascii="宋体" w:hAnsi="宋体" w:cs="宋体"/>
                <w:color w:val="auto"/>
                <w:kern w:val="0"/>
                <w:sz w:val="21"/>
                <w:szCs w:val="21"/>
                <w:highlight w:val="none"/>
                <w:lang w:eastAsia="zh-CN"/>
              </w:rPr>
              <w:t>合格</w:t>
            </w:r>
            <w:r>
              <w:rPr>
                <w:rFonts w:hint="eastAsia" w:ascii="宋体" w:hAnsi="宋体" w:eastAsia="宋体" w:cs="宋体"/>
                <w:color w:val="auto"/>
                <w:kern w:val="0"/>
                <w:sz w:val="21"/>
                <w:szCs w:val="21"/>
                <w:highlight w:val="none"/>
              </w:rPr>
              <w:t>。</w:t>
            </w:r>
          </w:p>
        </w:tc>
        <w:tc>
          <w:tcPr>
            <w:tcW w:w="383" w:type="pct"/>
            <w:noWrap/>
            <w:vAlign w:val="center"/>
          </w:tcPr>
          <w:p w14:paraId="0E71FBF2">
            <w:pPr>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bl>
    <w:p w14:paraId="2D58581B">
      <w:pPr>
        <w:adjustRightInd w:val="0"/>
        <w:snapToGrid w:val="0"/>
        <w:spacing w:beforeLines="50" w:line="360" w:lineRule="auto"/>
        <w:ind w:firstLine="560" w:firstLineChars="200"/>
        <w:jc w:val="left"/>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rPr>
        <w:t>评价小结：经检查，</w:t>
      </w:r>
      <w:r>
        <w:rPr>
          <w:rFonts w:hint="eastAsia" w:ascii="宋体" w:hAnsi="宋体" w:cs="宋体"/>
          <w:color w:val="auto"/>
          <w:sz w:val="28"/>
          <w:szCs w:val="28"/>
          <w:highlight w:val="none"/>
          <w:lang w:eastAsia="zh-CN"/>
        </w:rPr>
        <w:t>用于危化品仓库的危化品装卸的</w:t>
      </w:r>
      <w:r>
        <w:rPr>
          <w:rFonts w:hint="eastAsia" w:ascii="宋体" w:hAnsi="宋体" w:cs="宋体"/>
          <w:color w:val="auto"/>
          <w:kern w:val="0"/>
          <w:sz w:val="28"/>
          <w:szCs w:val="28"/>
          <w:highlight w:val="none"/>
          <w:lang w:eastAsia="zh-CN"/>
        </w:rPr>
        <w:t>叉车和叉车司机安全管理</w:t>
      </w:r>
      <w:r>
        <w:rPr>
          <w:rFonts w:hint="eastAsia" w:ascii="宋体" w:hAnsi="宋体" w:eastAsia="宋体" w:cs="宋体"/>
          <w:color w:val="auto"/>
          <w:kern w:val="0"/>
          <w:sz w:val="28"/>
          <w:szCs w:val="28"/>
          <w:highlight w:val="none"/>
          <w:lang w:eastAsia="zh-CN"/>
        </w:rPr>
        <w:t>符合</w:t>
      </w:r>
      <w:r>
        <w:rPr>
          <w:rFonts w:hint="eastAsia" w:ascii="宋体" w:hAnsi="宋体" w:eastAsia="宋体" w:cs="宋体"/>
          <w:color w:val="auto"/>
          <w:kern w:val="0"/>
          <w:sz w:val="28"/>
          <w:szCs w:val="28"/>
          <w:highlight w:val="none"/>
        </w:rPr>
        <w:t>《中华人民共和国特种设备安全法》主席令</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2014</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第4号、《特种设备安全监察条例》国务院令第549号</w:t>
      </w:r>
      <w:r>
        <w:rPr>
          <w:rFonts w:hint="eastAsia" w:ascii="宋体" w:hAnsi="宋体" w:eastAsia="宋体" w:cs="宋体"/>
          <w:color w:val="auto"/>
          <w:kern w:val="0"/>
          <w:sz w:val="28"/>
          <w:szCs w:val="28"/>
          <w:highlight w:val="none"/>
          <w:lang w:eastAsia="zh-CN"/>
        </w:rPr>
        <w:t>的要求。</w:t>
      </w:r>
    </w:p>
    <w:p w14:paraId="068ED632">
      <w:pPr>
        <w:adjustRightInd w:val="0"/>
        <w:snapToGrid w:val="0"/>
        <w:spacing w:beforeLines="0" w:afterLines="0" w:line="360" w:lineRule="auto"/>
        <w:outlineLvl w:val="2"/>
        <w:rPr>
          <w:rFonts w:hint="eastAsia" w:ascii="黑体" w:hAnsi="黑体" w:eastAsia="黑体" w:cs="黑体"/>
          <w:b/>
          <w:bCs w:val="0"/>
          <w:color w:val="auto"/>
          <w:sz w:val="28"/>
          <w:szCs w:val="28"/>
          <w:highlight w:val="none"/>
        </w:rPr>
      </w:pPr>
      <w:bookmarkStart w:id="1778" w:name="_Toc23624"/>
      <w:bookmarkStart w:id="1779" w:name="_Toc18906"/>
      <w:bookmarkStart w:id="1780" w:name="_Toc17854"/>
      <w:bookmarkStart w:id="1781" w:name="_Toc5737"/>
      <w:bookmarkStart w:id="1782" w:name="_Toc21553"/>
      <w:bookmarkStart w:id="1783" w:name="_Toc18694"/>
      <w:bookmarkStart w:id="1784" w:name="_Toc11568"/>
      <w:bookmarkStart w:id="1785" w:name="_Toc19076"/>
      <w:bookmarkStart w:id="1786" w:name="_Toc28500"/>
      <w:bookmarkStart w:id="1787" w:name="_Toc12610"/>
      <w:bookmarkStart w:id="1788" w:name="_Toc27439"/>
      <w:bookmarkStart w:id="1789" w:name="_Toc8922"/>
      <w:bookmarkStart w:id="1790" w:name="_Toc32036"/>
      <w:bookmarkStart w:id="1791" w:name="_Toc27727"/>
      <w:bookmarkStart w:id="1792" w:name="_Toc13407"/>
      <w:bookmarkStart w:id="1793" w:name="_Toc23710"/>
      <w:bookmarkStart w:id="1794" w:name="_Toc350"/>
      <w:r>
        <w:rPr>
          <w:rFonts w:hint="eastAsia" w:ascii="黑体" w:hAnsi="黑体" w:eastAsia="黑体" w:cs="黑体"/>
          <w:b/>
          <w:bCs w:val="0"/>
          <w:color w:val="auto"/>
          <w:sz w:val="28"/>
          <w:szCs w:val="28"/>
          <w:highlight w:val="none"/>
        </w:rPr>
        <w:t>5.1.</w:t>
      </w:r>
      <w:r>
        <w:rPr>
          <w:rFonts w:hint="eastAsia" w:ascii="黑体" w:hAnsi="黑体" w:eastAsia="黑体" w:cs="黑体"/>
          <w:b/>
          <w:bCs w:val="0"/>
          <w:color w:val="auto"/>
          <w:sz w:val="28"/>
          <w:szCs w:val="28"/>
          <w:highlight w:val="none"/>
          <w:lang w:val="en-US" w:eastAsia="zh-CN"/>
        </w:rPr>
        <w:t>7</w:t>
      </w:r>
      <w:r>
        <w:rPr>
          <w:rFonts w:hint="eastAsia" w:ascii="黑体" w:hAnsi="黑体" w:eastAsia="黑体" w:cs="黑体"/>
          <w:b/>
          <w:bCs w:val="0"/>
          <w:color w:val="auto"/>
          <w:sz w:val="28"/>
          <w:szCs w:val="28"/>
          <w:highlight w:val="none"/>
        </w:rPr>
        <w:t xml:space="preserve"> </w:t>
      </w:r>
      <w:bookmarkStart w:id="1795" w:name="_Toc488157716"/>
      <w:bookmarkStart w:id="1796" w:name="_Toc47954887"/>
      <w:r>
        <w:rPr>
          <w:rFonts w:hint="eastAsia" w:ascii="黑体" w:hAnsi="黑体" w:eastAsia="黑体" w:cs="黑体"/>
          <w:b/>
          <w:bCs w:val="0"/>
          <w:color w:val="auto"/>
          <w:sz w:val="28"/>
          <w:szCs w:val="28"/>
          <w:highlight w:val="none"/>
          <w:lang w:eastAsia="zh-CN"/>
        </w:rPr>
        <w:t>防爆设施</w:t>
      </w:r>
      <w:r>
        <w:rPr>
          <w:rFonts w:hint="eastAsia" w:ascii="黑体" w:hAnsi="黑体" w:eastAsia="黑体" w:cs="黑体"/>
          <w:b/>
          <w:bCs w:val="0"/>
          <w:color w:val="auto"/>
          <w:sz w:val="28"/>
          <w:szCs w:val="28"/>
          <w:highlight w:val="none"/>
        </w:rPr>
        <w:t>评价</w:t>
      </w:r>
      <w:bookmarkEnd w:id="1742"/>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p>
    <w:p w14:paraId="55D7AEFD">
      <w:pPr>
        <w:numPr>
          <w:ilvl w:val="0"/>
          <w:numId w:val="54"/>
        </w:numPr>
        <w:adjustRightInd w:val="0"/>
        <w:snapToGrid w:val="0"/>
        <w:spacing w:line="360" w:lineRule="auto"/>
        <w:ind w:left="0" w:firstLine="560" w:firstLineChars="200"/>
        <w:jc w:val="left"/>
        <w:outlineLvl w:val="9"/>
        <w:rPr>
          <w:rFonts w:ascii="宋体" w:hAnsi="宋体"/>
          <w:color w:val="auto"/>
          <w:sz w:val="28"/>
          <w:szCs w:val="28"/>
          <w:highlight w:val="none"/>
        </w:rPr>
      </w:pPr>
      <w:r>
        <w:rPr>
          <w:rFonts w:hint="eastAsia" w:ascii="宋体" w:hAnsi="宋体"/>
          <w:color w:val="auto"/>
          <w:sz w:val="28"/>
          <w:szCs w:val="28"/>
          <w:highlight w:val="none"/>
        </w:rPr>
        <w:t>爆炸危险区域电气线路和防爆电气安装检查</w:t>
      </w:r>
    </w:p>
    <w:p w14:paraId="72205BBD">
      <w:pPr>
        <w:adjustRightInd w:val="0"/>
        <w:snapToGrid w:val="0"/>
        <w:spacing w:line="360" w:lineRule="auto"/>
        <w:ind w:firstLine="560" w:firstLineChars="200"/>
        <w:jc w:val="left"/>
        <w:rPr>
          <w:rFonts w:ascii="黑体" w:hAnsi="黑体" w:eastAsia="黑体" w:cs="宋体"/>
          <w:color w:val="auto"/>
          <w:kern w:val="0"/>
          <w:sz w:val="28"/>
          <w:szCs w:val="28"/>
          <w:highlight w:val="none"/>
        </w:rPr>
      </w:pPr>
      <w:r>
        <w:rPr>
          <w:rFonts w:hint="eastAsia" w:ascii="宋体" w:hAnsi="宋体"/>
          <w:color w:val="auto"/>
          <w:sz w:val="28"/>
          <w:szCs w:val="28"/>
          <w:highlight w:val="none"/>
        </w:rPr>
        <w:t>依据《爆炸危险环境电力装置设计规范》GB50058-2014、《危险场所电气防爆安全规范》</w:t>
      </w:r>
      <w:r>
        <w:rPr>
          <w:rFonts w:ascii="宋体" w:hAnsi="宋体"/>
          <w:color w:val="auto"/>
          <w:sz w:val="28"/>
          <w:szCs w:val="28"/>
          <w:highlight w:val="none"/>
        </w:rPr>
        <w:t>AQ3009-2007、《工业企业厂内铁路、</w:t>
      </w:r>
      <w:r>
        <w:rPr>
          <w:rFonts w:hint="eastAsia" w:ascii="宋体" w:hAnsi="宋体"/>
          <w:color w:val="auto"/>
          <w:sz w:val="28"/>
          <w:szCs w:val="28"/>
          <w:highlight w:val="none"/>
        </w:rPr>
        <w:t>道路运输安全规程》</w:t>
      </w:r>
      <w:r>
        <w:rPr>
          <w:rFonts w:ascii="宋体" w:hAnsi="宋体"/>
          <w:color w:val="auto"/>
          <w:sz w:val="28"/>
          <w:szCs w:val="28"/>
          <w:highlight w:val="none"/>
        </w:rPr>
        <w:t>GB4387-2008</w:t>
      </w:r>
      <w:r>
        <w:rPr>
          <w:rFonts w:hint="eastAsia" w:ascii="宋体" w:hAnsi="宋体" w:cs="宋体"/>
          <w:color w:val="auto"/>
          <w:sz w:val="28"/>
          <w:szCs w:val="28"/>
          <w:highlight w:val="none"/>
          <w:lang w:val="zh-CN"/>
        </w:rPr>
        <w:t>对危化品仓库</w:t>
      </w:r>
      <w:r>
        <w:rPr>
          <w:rFonts w:hint="eastAsia" w:ascii="宋体" w:hAnsi="宋体"/>
          <w:color w:val="auto"/>
          <w:sz w:val="28"/>
          <w:szCs w:val="28"/>
          <w:highlight w:val="none"/>
        </w:rPr>
        <w:t>爆炸危险区域电气线路和防爆电气安装进行</w:t>
      </w:r>
      <w:r>
        <w:rPr>
          <w:rFonts w:hint="eastAsia" w:ascii="宋体" w:hAnsi="宋体"/>
          <w:color w:val="auto"/>
          <w:sz w:val="28"/>
          <w:szCs w:val="28"/>
          <w:highlight w:val="none"/>
          <w:lang w:eastAsia="zh-CN"/>
        </w:rPr>
        <w:t>检查</w:t>
      </w:r>
      <w:r>
        <w:rPr>
          <w:rFonts w:hint="eastAsia" w:ascii="宋体" w:hAnsi="宋体"/>
          <w:color w:val="auto"/>
          <w:sz w:val="28"/>
          <w:szCs w:val="28"/>
          <w:highlight w:val="none"/>
        </w:rPr>
        <w:t>，检查</w:t>
      </w:r>
      <w:r>
        <w:rPr>
          <w:rFonts w:hint="eastAsia" w:ascii="宋体" w:hAnsi="宋体"/>
          <w:color w:val="auto"/>
          <w:sz w:val="28"/>
          <w:szCs w:val="28"/>
          <w:highlight w:val="none"/>
          <w:lang w:eastAsia="zh-CN"/>
        </w:rPr>
        <w:t>情况见下表</w:t>
      </w:r>
      <w:r>
        <w:rPr>
          <w:rFonts w:hint="eastAsia" w:ascii="宋体" w:hAnsi="宋体"/>
          <w:color w:val="auto"/>
          <w:sz w:val="28"/>
          <w:szCs w:val="28"/>
          <w:highlight w:val="none"/>
        </w:rPr>
        <w:t>。</w:t>
      </w:r>
    </w:p>
    <w:p w14:paraId="4E8BF931">
      <w:pPr>
        <w:pStyle w:val="96"/>
        <w:spacing w:line="360" w:lineRule="auto"/>
        <w:ind w:firstLine="0" w:firstLineChars="0"/>
        <w:jc w:val="center"/>
        <w:rPr>
          <w:rFonts w:ascii="黑体" w:hAnsi="黑体" w:eastAsia="黑体"/>
          <w:b/>
          <w:bCs/>
          <w:color w:val="auto"/>
          <w:kern w:val="0"/>
          <w:sz w:val="24"/>
          <w:szCs w:val="24"/>
          <w:highlight w:val="none"/>
        </w:rPr>
      </w:pPr>
      <w:r>
        <w:rPr>
          <w:rFonts w:ascii="黑体" w:hAnsi="黑体" w:eastAsia="黑体"/>
          <w:b/>
          <w:bCs/>
          <w:color w:val="auto"/>
          <w:kern w:val="0"/>
          <w:sz w:val="24"/>
          <w:szCs w:val="24"/>
          <w:highlight w:val="none"/>
        </w:rPr>
        <w:t>表5</w:t>
      </w:r>
      <w:r>
        <w:rPr>
          <w:rFonts w:hint="eastAsia" w:ascii="黑体" w:hAnsi="黑体" w:eastAsia="黑体"/>
          <w:b/>
          <w:bCs/>
          <w:color w:val="auto"/>
          <w:kern w:val="0"/>
          <w:sz w:val="24"/>
          <w:szCs w:val="24"/>
          <w:highlight w:val="none"/>
        </w:rPr>
        <w:t>.1</w:t>
      </w:r>
      <w:r>
        <w:rPr>
          <w:rFonts w:ascii="黑体" w:hAnsi="黑体" w:eastAsia="黑体"/>
          <w:b/>
          <w:bCs/>
          <w:color w:val="auto"/>
          <w:kern w:val="0"/>
          <w:sz w:val="24"/>
          <w:szCs w:val="24"/>
          <w:highlight w:val="none"/>
        </w:rPr>
        <w:t>-</w:t>
      </w:r>
      <w:r>
        <w:rPr>
          <w:rFonts w:hint="eastAsia" w:ascii="黑体" w:hAnsi="黑体" w:eastAsia="黑体"/>
          <w:b/>
          <w:bCs/>
          <w:color w:val="auto"/>
          <w:kern w:val="0"/>
          <w:sz w:val="24"/>
          <w:szCs w:val="24"/>
          <w:highlight w:val="none"/>
          <w:lang w:val="en-US" w:eastAsia="zh-CN"/>
        </w:rPr>
        <w:t>13</w:t>
      </w:r>
      <w:r>
        <w:rPr>
          <w:rFonts w:ascii="黑体" w:hAnsi="黑体" w:eastAsia="黑体" w:cs="Times New Roman"/>
          <w:b/>
          <w:bCs/>
          <w:color w:val="auto"/>
          <w:kern w:val="0"/>
          <w:sz w:val="24"/>
          <w:szCs w:val="24"/>
          <w:highlight w:val="none"/>
        </w:rPr>
        <w:t xml:space="preserve"> 爆炸危险区域电气线路和防爆电气设备检查</w:t>
      </w:r>
      <w:r>
        <w:rPr>
          <w:rFonts w:hint="default" w:ascii="黑体" w:hAnsi="黑体" w:eastAsia="黑体"/>
          <w:b/>
          <w:bCs/>
          <w:color w:val="auto"/>
          <w:kern w:val="0"/>
          <w:sz w:val="24"/>
          <w:szCs w:val="24"/>
          <w:highlight w:val="none"/>
        </w:rPr>
        <w:t>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
        <w:gridCol w:w="4249"/>
        <w:gridCol w:w="1500"/>
        <w:gridCol w:w="2462"/>
        <w:gridCol w:w="662"/>
      </w:tblGrid>
      <w:tr w14:paraId="0BF97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76" w:type="pct"/>
            <w:vAlign w:val="center"/>
          </w:tcPr>
          <w:p w14:paraId="0483FAC8">
            <w:pPr>
              <w:widowControl w:val="0"/>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261" w:type="pct"/>
            <w:vAlign w:val="center"/>
          </w:tcPr>
          <w:p w14:paraId="3E43B571">
            <w:pPr>
              <w:widowControl w:val="0"/>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检查项目及内容</w:t>
            </w:r>
          </w:p>
        </w:tc>
        <w:tc>
          <w:tcPr>
            <w:tcW w:w="798" w:type="pct"/>
            <w:vAlign w:val="center"/>
          </w:tcPr>
          <w:p w14:paraId="58FC0DDA">
            <w:pPr>
              <w:widowControl w:val="0"/>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依据标准</w:t>
            </w:r>
          </w:p>
        </w:tc>
        <w:tc>
          <w:tcPr>
            <w:tcW w:w="1310" w:type="pct"/>
            <w:vAlign w:val="center"/>
          </w:tcPr>
          <w:p w14:paraId="7F6BB8F1">
            <w:pPr>
              <w:widowControl w:val="0"/>
              <w:adjustRightInd w:val="0"/>
              <w:snapToGrid w:val="0"/>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检查情况</w:t>
            </w:r>
          </w:p>
        </w:tc>
        <w:tc>
          <w:tcPr>
            <w:tcW w:w="352" w:type="pct"/>
            <w:vAlign w:val="center"/>
          </w:tcPr>
          <w:p w14:paraId="78BEF8F0">
            <w:pPr>
              <w:widowControl w:val="0"/>
              <w:adjustRightInd w:val="0"/>
              <w:snapToGrid w:val="0"/>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检查结果</w:t>
            </w:r>
          </w:p>
        </w:tc>
      </w:tr>
      <w:tr w14:paraId="4EA3B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 w:type="pct"/>
            <w:vAlign w:val="center"/>
          </w:tcPr>
          <w:p w14:paraId="63360124">
            <w:pPr>
              <w:widowControl w:val="0"/>
              <w:numPr>
                <w:ilvl w:val="0"/>
                <w:numId w:val="55"/>
              </w:numPr>
              <w:adjustRightInd w:val="0"/>
              <w:snapToGrid w:val="0"/>
              <w:ind w:left="0" w:firstLine="0"/>
              <w:jc w:val="center"/>
              <w:rPr>
                <w:rFonts w:hint="eastAsia" w:ascii="宋体" w:hAnsi="宋体" w:eastAsia="宋体" w:cs="宋体"/>
                <w:color w:val="auto"/>
                <w:sz w:val="21"/>
                <w:szCs w:val="21"/>
                <w:highlight w:val="none"/>
              </w:rPr>
            </w:pPr>
          </w:p>
        </w:tc>
        <w:tc>
          <w:tcPr>
            <w:tcW w:w="2261" w:type="pct"/>
            <w:vAlign w:val="center"/>
          </w:tcPr>
          <w:p w14:paraId="0C1E6C05">
            <w:pPr>
              <w:widowControl w:val="0"/>
              <w:adjustRightInd w:val="0"/>
              <w:snapToGrid w:val="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在生产、加工、处理、转运或贮存过程中出现或可能出现下列爆炸性气体混合物环境之一时，应进行爆炸性气体环境的电力装置设计：</w:t>
            </w:r>
          </w:p>
          <w:p w14:paraId="07480919">
            <w:pPr>
              <w:widowControl w:val="0"/>
              <w:adjustRightInd w:val="0"/>
              <w:snapToGrid w:val="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    1在大气条件下，可燃气体与空气混合形成爆炸性气体混合物；</w:t>
            </w:r>
          </w:p>
          <w:p w14:paraId="0601808C">
            <w:pPr>
              <w:widowControl w:val="0"/>
              <w:adjustRightInd w:val="0"/>
              <w:snapToGrid w:val="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    2闪点低于或等于环境温度的可燃液体的蒸气或薄雾与空气混合形成爆炸性气体混合物；</w:t>
            </w:r>
          </w:p>
          <w:p w14:paraId="4AF05D32">
            <w:pPr>
              <w:widowControl w:val="0"/>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sz w:val="21"/>
                <w:szCs w:val="21"/>
                <w:highlight w:val="none"/>
              </w:rPr>
              <w:t>    3在物料操作温度高于可燃液体闪点的情况下，当可燃液体有可能泄漏时，可燃液体的蒸气或薄雾与空气混合形成爆炸性气体混合物。</w:t>
            </w:r>
          </w:p>
        </w:tc>
        <w:tc>
          <w:tcPr>
            <w:tcW w:w="798" w:type="pct"/>
            <w:vAlign w:val="center"/>
          </w:tcPr>
          <w:p w14:paraId="27C8E202">
            <w:pPr>
              <w:widowControl w:val="0"/>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sz w:val="21"/>
                <w:szCs w:val="21"/>
                <w:highlight w:val="none"/>
              </w:rPr>
              <w:t>GB50058-2014第3．1．1条</w:t>
            </w:r>
          </w:p>
        </w:tc>
        <w:tc>
          <w:tcPr>
            <w:tcW w:w="1310" w:type="pct"/>
            <w:vAlign w:val="center"/>
          </w:tcPr>
          <w:p w14:paraId="12F0B9E6">
            <w:pPr>
              <w:widowControl w:val="0"/>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危化品仓库</w:t>
            </w:r>
            <w:r>
              <w:rPr>
                <w:rFonts w:hint="eastAsia" w:ascii="宋体" w:hAnsi="宋体" w:cs="宋体"/>
                <w:color w:val="auto"/>
                <w:sz w:val="21"/>
                <w:szCs w:val="21"/>
                <w:highlight w:val="none"/>
                <w:lang w:val="en-US" w:eastAsia="zh-CN"/>
              </w:rPr>
              <w:t>面向</w:t>
            </w:r>
            <w:r>
              <w:rPr>
                <w:rFonts w:hint="eastAsia" w:ascii="宋体" w:hAnsi="宋体" w:eastAsia="宋体" w:cs="宋体"/>
                <w:color w:val="auto"/>
                <w:sz w:val="21"/>
                <w:szCs w:val="21"/>
                <w:highlight w:val="none"/>
                <w:lang w:val="en-US" w:eastAsia="zh-CN"/>
              </w:rPr>
              <w:t>废水处理设施</w:t>
            </w:r>
            <w:r>
              <w:rPr>
                <w:rFonts w:hint="eastAsia" w:ascii="宋体" w:hAnsi="宋体" w:cs="宋体"/>
                <w:color w:val="auto"/>
                <w:sz w:val="21"/>
                <w:szCs w:val="21"/>
                <w:highlight w:val="none"/>
                <w:lang w:val="en-US" w:eastAsia="zh-CN"/>
              </w:rPr>
              <w:t>侧的窗门已固定（禁止打开）且密封</w:t>
            </w:r>
            <w:r>
              <w:rPr>
                <w:rFonts w:hint="eastAsia" w:ascii="宋体" w:hAnsi="宋体" w:eastAsia="宋体" w:cs="宋体"/>
                <w:color w:val="auto"/>
                <w:sz w:val="21"/>
                <w:szCs w:val="21"/>
                <w:highlight w:val="none"/>
                <w:lang w:val="en-US" w:eastAsia="zh-CN"/>
              </w:rPr>
              <w:t>。</w:t>
            </w:r>
          </w:p>
        </w:tc>
        <w:tc>
          <w:tcPr>
            <w:tcW w:w="352" w:type="pct"/>
            <w:vAlign w:val="center"/>
          </w:tcPr>
          <w:p w14:paraId="5D29D045">
            <w:pPr>
              <w:widowControl w:val="0"/>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22A51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 w:type="pct"/>
            <w:vAlign w:val="center"/>
          </w:tcPr>
          <w:p w14:paraId="6A111B4E">
            <w:pPr>
              <w:widowControl w:val="0"/>
              <w:numPr>
                <w:ilvl w:val="0"/>
                <w:numId w:val="55"/>
              </w:numPr>
              <w:adjustRightInd w:val="0"/>
              <w:snapToGrid w:val="0"/>
              <w:ind w:left="0" w:firstLine="0"/>
              <w:jc w:val="center"/>
              <w:rPr>
                <w:rFonts w:hint="eastAsia" w:ascii="宋体" w:hAnsi="宋体" w:eastAsia="宋体" w:cs="宋体"/>
                <w:color w:val="auto"/>
                <w:sz w:val="21"/>
                <w:szCs w:val="21"/>
                <w:highlight w:val="none"/>
              </w:rPr>
            </w:pPr>
          </w:p>
        </w:tc>
        <w:tc>
          <w:tcPr>
            <w:tcW w:w="2261" w:type="pct"/>
            <w:vAlign w:val="center"/>
          </w:tcPr>
          <w:p w14:paraId="7C0C4916">
            <w:pPr>
              <w:widowControl w:val="0"/>
              <w:adjustRightInd w:val="0"/>
              <w:snapToGrid w:val="0"/>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color w:val="auto"/>
                <w:sz w:val="21"/>
                <w:szCs w:val="21"/>
                <w:highlight w:val="none"/>
              </w:rPr>
              <w:t>进入易燃易爆区域的机动车辆，必须装设火星熄灭器（阻火器）。</w:t>
            </w:r>
          </w:p>
        </w:tc>
        <w:tc>
          <w:tcPr>
            <w:tcW w:w="798" w:type="pct"/>
            <w:vAlign w:val="center"/>
          </w:tcPr>
          <w:p w14:paraId="1B2BCEB6">
            <w:pPr>
              <w:widowControl w:val="0"/>
              <w:adjustRightInd w:val="0"/>
              <w:snapToGrid w:val="0"/>
              <w:jc w:val="center"/>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color w:val="auto"/>
                <w:sz w:val="21"/>
                <w:szCs w:val="21"/>
                <w:highlight w:val="none"/>
              </w:rPr>
              <w:t>GB4387-2008第6.4.7条</w:t>
            </w:r>
          </w:p>
        </w:tc>
        <w:tc>
          <w:tcPr>
            <w:tcW w:w="1310" w:type="pct"/>
            <w:vAlign w:val="center"/>
          </w:tcPr>
          <w:p w14:paraId="013A052C">
            <w:pPr>
              <w:widowControl w:val="0"/>
              <w:adjustRightInd w:val="0"/>
              <w:snapToGrid w:val="0"/>
              <w:jc w:val="lef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规定危化品仓库15范围内车辆装设</w:t>
            </w:r>
            <w:r>
              <w:rPr>
                <w:rFonts w:hint="eastAsia" w:ascii="宋体" w:hAnsi="宋体" w:eastAsia="宋体" w:cs="宋体"/>
                <w:color w:val="auto"/>
                <w:sz w:val="21"/>
                <w:szCs w:val="21"/>
                <w:highlight w:val="none"/>
              </w:rPr>
              <w:t>阻火器</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禁止打手机</w:t>
            </w:r>
            <w:r>
              <w:rPr>
                <w:rFonts w:hint="eastAsia" w:ascii="宋体" w:hAnsi="宋体" w:eastAsia="宋体" w:cs="宋体"/>
                <w:color w:val="auto"/>
                <w:sz w:val="21"/>
                <w:szCs w:val="21"/>
                <w:highlight w:val="none"/>
              </w:rPr>
              <w:t>。</w:t>
            </w:r>
          </w:p>
        </w:tc>
        <w:tc>
          <w:tcPr>
            <w:tcW w:w="352" w:type="pct"/>
            <w:vAlign w:val="center"/>
          </w:tcPr>
          <w:p w14:paraId="4ABC5F54">
            <w:pPr>
              <w:widowControl w:val="0"/>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2EF2A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 w:type="pct"/>
            <w:vAlign w:val="center"/>
          </w:tcPr>
          <w:p w14:paraId="572F9560">
            <w:pPr>
              <w:widowControl w:val="0"/>
              <w:numPr>
                <w:ilvl w:val="0"/>
                <w:numId w:val="55"/>
              </w:numPr>
              <w:adjustRightInd w:val="0"/>
              <w:snapToGrid w:val="0"/>
              <w:ind w:left="0" w:firstLine="0"/>
              <w:jc w:val="center"/>
              <w:rPr>
                <w:rFonts w:hint="eastAsia" w:ascii="宋体" w:hAnsi="宋体" w:eastAsia="宋体" w:cs="宋体"/>
                <w:color w:val="auto"/>
                <w:sz w:val="21"/>
                <w:szCs w:val="21"/>
                <w:highlight w:val="none"/>
              </w:rPr>
            </w:pPr>
          </w:p>
        </w:tc>
        <w:tc>
          <w:tcPr>
            <w:tcW w:w="2261" w:type="pct"/>
            <w:vAlign w:val="center"/>
          </w:tcPr>
          <w:p w14:paraId="5DA69E44">
            <w:pPr>
              <w:widowControl w:val="0"/>
              <w:adjustRightInd w:val="0"/>
              <w:snapToGrid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电气线路应敷设在爆炸危险性较小的区域或距离释放源较远的位置。应避开易受机械损伤、振动、腐蚀、粉尘积聚以及有危险温度的场所。当不能避开时，应采取预防措施。</w:t>
            </w:r>
          </w:p>
        </w:tc>
        <w:tc>
          <w:tcPr>
            <w:tcW w:w="798" w:type="pct"/>
            <w:vAlign w:val="center"/>
          </w:tcPr>
          <w:p w14:paraId="5AA863D7">
            <w:pPr>
              <w:widowControl w:val="0"/>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AQ3009-2007第6.1.1.1.1条</w:t>
            </w:r>
          </w:p>
        </w:tc>
        <w:tc>
          <w:tcPr>
            <w:tcW w:w="1310" w:type="pct"/>
            <w:vAlign w:val="center"/>
          </w:tcPr>
          <w:p w14:paraId="6F12325F">
            <w:pPr>
              <w:widowControl w:val="0"/>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rPr>
              <w:t>电气线路根据要求敷设</w:t>
            </w:r>
            <w:r>
              <w:rPr>
                <w:rFonts w:hint="eastAsia" w:ascii="宋体" w:hAnsi="宋体" w:eastAsia="宋体" w:cs="宋体"/>
                <w:color w:val="auto"/>
                <w:sz w:val="21"/>
                <w:szCs w:val="21"/>
                <w:highlight w:val="none"/>
              </w:rPr>
              <w:t>。</w:t>
            </w:r>
          </w:p>
        </w:tc>
        <w:tc>
          <w:tcPr>
            <w:tcW w:w="352" w:type="pct"/>
            <w:vAlign w:val="center"/>
          </w:tcPr>
          <w:p w14:paraId="5D83CB1A">
            <w:pPr>
              <w:widowControl w:val="0"/>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符合</w:t>
            </w:r>
          </w:p>
        </w:tc>
      </w:tr>
      <w:tr w14:paraId="78EE9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 w:type="pct"/>
            <w:vAlign w:val="center"/>
          </w:tcPr>
          <w:p w14:paraId="4160DF6E">
            <w:pPr>
              <w:widowControl w:val="0"/>
              <w:numPr>
                <w:ilvl w:val="0"/>
                <w:numId w:val="55"/>
              </w:numPr>
              <w:adjustRightInd w:val="0"/>
              <w:snapToGrid w:val="0"/>
              <w:ind w:left="0" w:firstLine="0"/>
              <w:jc w:val="center"/>
              <w:rPr>
                <w:rFonts w:hint="eastAsia" w:ascii="宋体" w:hAnsi="宋体" w:eastAsia="宋体" w:cs="宋体"/>
                <w:color w:val="auto"/>
                <w:sz w:val="21"/>
                <w:szCs w:val="21"/>
                <w:highlight w:val="none"/>
              </w:rPr>
            </w:pPr>
          </w:p>
        </w:tc>
        <w:tc>
          <w:tcPr>
            <w:tcW w:w="2261" w:type="pct"/>
            <w:vAlign w:val="center"/>
          </w:tcPr>
          <w:p w14:paraId="2F52AD56">
            <w:pPr>
              <w:widowControl w:val="0"/>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敷设电气线路的沟道、电缆或导管，所穿过的不同区域之间墙外或楼板处的孔洞，应采用非燃烧材料严密堵塞。</w:t>
            </w:r>
          </w:p>
        </w:tc>
        <w:tc>
          <w:tcPr>
            <w:tcW w:w="798" w:type="pct"/>
            <w:vAlign w:val="center"/>
          </w:tcPr>
          <w:p w14:paraId="68295DF2">
            <w:pPr>
              <w:widowControl w:val="0"/>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GB50058-2014第5.4.3条</w:t>
            </w:r>
          </w:p>
        </w:tc>
        <w:tc>
          <w:tcPr>
            <w:tcW w:w="1310" w:type="pct"/>
            <w:vAlign w:val="center"/>
          </w:tcPr>
          <w:p w14:paraId="42DF3B66">
            <w:pPr>
              <w:widowControl w:val="0"/>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电气线路穿墙处有采用非燃烧材料严密堵塞。</w:t>
            </w:r>
          </w:p>
        </w:tc>
        <w:tc>
          <w:tcPr>
            <w:tcW w:w="352" w:type="pct"/>
            <w:vAlign w:val="center"/>
          </w:tcPr>
          <w:p w14:paraId="61DABB1A">
            <w:pPr>
              <w:widowControl w:val="0"/>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EAD7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 w:type="pct"/>
            <w:vAlign w:val="center"/>
          </w:tcPr>
          <w:p w14:paraId="33CA6CAC">
            <w:pPr>
              <w:widowControl w:val="0"/>
              <w:numPr>
                <w:ilvl w:val="0"/>
                <w:numId w:val="55"/>
              </w:numPr>
              <w:adjustRightInd w:val="0"/>
              <w:snapToGrid w:val="0"/>
              <w:ind w:left="0" w:firstLine="0"/>
              <w:jc w:val="center"/>
              <w:rPr>
                <w:rFonts w:hint="eastAsia" w:ascii="宋体" w:hAnsi="宋体" w:eastAsia="宋体" w:cs="宋体"/>
                <w:color w:val="auto"/>
                <w:sz w:val="21"/>
                <w:szCs w:val="21"/>
                <w:highlight w:val="none"/>
              </w:rPr>
            </w:pPr>
          </w:p>
        </w:tc>
        <w:tc>
          <w:tcPr>
            <w:tcW w:w="2261" w:type="pct"/>
            <w:vAlign w:val="center"/>
          </w:tcPr>
          <w:p w14:paraId="31E6D859">
            <w:pPr>
              <w:widowControl w:val="0"/>
              <w:autoSpaceDE/>
              <w:autoSpaceDN/>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选用的低压电缆或绝缘导线，其额定电压必须高于线路工作电压，且不得低于500V，绝缘导线必须敷设于导管内。</w:t>
            </w:r>
          </w:p>
        </w:tc>
        <w:tc>
          <w:tcPr>
            <w:tcW w:w="798" w:type="pct"/>
            <w:vAlign w:val="center"/>
          </w:tcPr>
          <w:p w14:paraId="06BC09B2">
            <w:pPr>
              <w:widowControl w:val="0"/>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AQ3009-2007第6.1.1.1.2条</w:t>
            </w:r>
          </w:p>
        </w:tc>
        <w:tc>
          <w:tcPr>
            <w:tcW w:w="1310" w:type="pct"/>
            <w:vAlign w:val="center"/>
          </w:tcPr>
          <w:p w14:paraId="658F0C6F">
            <w:pPr>
              <w:widowControl w:val="0"/>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电线采用防爆镀锌钢管和挠性连接管穿线。</w:t>
            </w:r>
          </w:p>
        </w:tc>
        <w:tc>
          <w:tcPr>
            <w:tcW w:w="352" w:type="pct"/>
            <w:vAlign w:val="center"/>
          </w:tcPr>
          <w:p w14:paraId="6F2E5F4D">
            <w:pPr>
              <w:widowControl w:val="0"/>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48E93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 w:type="pct"/>
            <w:vAlign w:val="center"/>
          </w:tcPr>
          <w:p w14:paraId="0C49EF16">
            <w:pPr>
              <w:widowControl w:val="0"/>
              <w:numPr>
                <w:ilvl w:val="0"/>
                <w:numId w:val="55"/>
              </w:numPr>
              <w:adjustRightInd w:val="0"/>
              <w:snapToGrid w:val="0"/>
              <w:ind w:left="0" w:firstLine="0"/>
              <w:jc w:val="center"/>
              <w:rPr>
                <w:rFonts w:hint="eastAsia" w:ascii="宋体" w:hAnsi="宋体" w:eastAsia="宋体" w:cs="宋体"/>
                <w:color w:val="auto"/>
                <w:sz w:val="21"/>
                <w:szCs w:val="21"/>
                <w:highlight w:val="none"/>
              </w:rPr>
            </w:pPr>
          </w:p>
        </w:tc>
        <w:tc>
          <w:tcPr>
            <w:tcW w:w="2261" w:type="pct"/>
            <w:vAlign w:val="center"/>
          </w:tcPr>
          <w:p w14:paraId="71E48AAF">
            <w:pPr>
              <w:widowControl w:val="0"/>
              <w:adjustRightInd w:val="0"/>
              <w:snapToGrid w:val="0"/>
              <w:jc w:val="left"/>
              <w:outlineLvl w:val="5"/>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防爆电气设备的铭牌、防爆标志、警告牌应正确、清晰。</w:t>
            </w:r>
          </w:p>
        </w:tc>
        <w:tc>
          <w:tcPr>
            <w:tcW w:w="798" w:type="pct"/>
            <w:vAlign w:val="center"/>
          </w:tcPr>
          <w:p w14:paraId="46CCB6FC">
            <w:pPr>
              <w:widowControl w:val="0"/>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AQ3009-2007第6.1.2.1.2条</w:t>
            </w:r>
          </w:p>
        </w:tc>
        <w:tc>
          <w:tcPr>
            <w:tcW w:w="1310" w:type="pct"/>
            <w:vAlign w:val="center"/>
          </w:tcPr>
          <w:p w14:paraId="0CD77170">
            <w:pPr>
              <w:widowControl w:val="0"/>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铭牌、防爆标志、警告牌正确、清晰。</w:t>
            </w:r>
          </w:p>
        </w:tc>
        <w:tc>
          <w:tcPr>
            <w:tcW w:w="352" w:type="pct"/>
            <w:vAlign w:val="center"/>
          </w:tcPr>
          <w:p w14:paraId="225463DC">
            <w:pPr>
              <w:widowControl w:val="0"/>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6FEDB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 w:type="pct"/>
            <w:vAlign w:val="center"/>
          </w:tcPr>
          <w:p w14:paraId="520DCE26">
            <w:pPr>
              <w:widowControl w:val="0"/>
              <w:numPr>
                <w:ilvl w:val="0"/>
                <w:numId w:val="55"/>
              </w:numPr>
              <w:adjustRightInd w:val="0"/>
              <w:snapToGrid w:val="0"/>
              <w:ind w:left="0" w:firstLine="0"/>
              <w:jc w:val="center"/>
              <w:rPr>
                <w:rFonts w:hint="eastAsia" w:ascii="宋体" w:hAnsi="宋体" w:eastAsia="宋体" w:cs="宋体"/>
                <w:color w:val="auto"/>
                <w:sz w:val="21"/>
                <w:szCs w:val="21"/>
                <w:highlight w:val="none"/>
              </w:rPr>
            </w:pPr>
          </w:p>
        </w:tc>
        <w:tc>
          <w:tcPr>
            <w:tcW w:w="2261" w:type="pct"/>
            <w:vAlign w:val="center"/>
          </w:tcPr>
          <w:p w14:paraId="5E459CBD">
            <w:pPr>
              <w:widowControl w:val="0"/>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防爆电气设备的外壳和透光部分应无裂纹、损伤。</w:t>
            </w:r>
          </w:p>
        </w:tc>
        <w:tc>
          <w:tcPr>
            <w:tcW w:w="798" w:type="pct"/>
            <w:vAlign w:val="center"/>
          </w:tcPr>
          <w:p w14:paraId="7912A811">
            <w:pPr>
              <w:widowControl w:val="0"/>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AQ3009-2007第6.1.2.1.3条</w:t>
            </w:r>
          </w:p>
        </w:tc>
        <w:tc>
          <w:tcPr>
            <w:tcW w:w="1310" w:type="pct"/>
            <w:vAlign w:val="center"/>
          </w:tcPr>
          <w:p w14:paraId="5A2C267E">
            <w:pPr>
              <w:widowControl w:val="0"/>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现场未见裂纹、损伤部位</w:t>
            </w:r>
            <w:r>
              <w:rPr>
                <w:rFonts w:hint="eastAsia" w:ascii="宋体" w:hAnsi="宋体" w:eastAsia="宋体" w:cs="宋体"/>
                <w:color w:val="auto"/>
                <w:sz w:val="21"/>
                <w:szCs w:val="21"/>
                <w:highlight w:val="none"/>
                <w:lang w:eastAsia="zh-CN"/>
              </w:rPr>
              <w:t>。</w:t>
            </w:r>
          </w:p>
        </w:tc>
        <w:tc>
          <w:tcPr>
            <w:tcW w:w="352" w:type="pct"/>
            <w:vAlign w:val="center"/>
          </w:tcPr>
          <w:p w14:paraId="2D1904C0">
            <w:pPr>
              <w:widowControl w:val="0"/>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56734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 w:type="pct"/>
            <w:tcBorders>
              <w:bottom w:val="single" w:color="auto" w:sz="4" w:space="0"/>
            </w:tcBorders>
            <w:vAlign w:val="center"/>
          </w:tcPr>
          <w:p w14:paraId="78D80685">
            <w:pPr>
              <w:widowControl w:val="0"/>
              <w:numPr>
                <w:ilvl w:val="0"/>
                <w:numId w:val="55"/>
              </w:numPr>
              <w:adjustRightInd w:val="0"/>
              <w:snapToGrid w:val="0"/>
              <w:ind w:left="0" w:firstLine="0"/>
              <w:jc w:val="center"/>
              <w:rPr>
                <w:rFonts w:hint="eastAsia" w:ascii="宋体" w:hAnsi="宋体" w:eastAsia="宋体" w:cs="宋体"/>
                <w:color w:val="auto"/>
                <w:sz w:val="21"/>
                <w:szCs w:val="21"/>
                <w:highlight w:val="none"/>
              </w:rPr>
            </w:pPr>
          </w:p>
        </w:tc>
        <w:tc>
          <w:tcPr>
            <w:tcW w:w="2261" w:type="pct"/>
            <w:tcBorders>
              <w:bottom w:val="single" w:color="auto" w:sz="4" w:space="0"/>
            </w:tcBorders>
            <w:vAlign w:val="center"/>
          </w:tcPr>
          <w:p w14:paraId="40A55084">
            <w:pPr>
              <w:widowControl w:val="0"/>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防爆电气设备的紧固螺栓应有</w:t>
            </w:r>
            <w:r>
              <w:rPr>
                <w:rFonts w:hint="eastAsia" w:ascii="宋体" w:hAnsi="宋体" w:eastAsia="宋体" w:cs="宋体"/>
                <w:color w:val="auto"/>
                <w:sz w:val="21"/>
                <w:szCs w:val="21"/>
                <w:highlight w:val="none"/>
                <w:lang w:eastAsia="zh-CN"/>
              </w:rPr>
              <w:t>防</w:t>
            </w:r>
            <w:r>
              <w:rPr>
                <w:rFonts w:hint="eastAsia" w:ascii="宋体" w:hAnsi="宋体" w:eastAsia="宋体" w:cs="宋体"/>
                <w:color w:val="auto"/>
                <w:sz w:val="21"/>
                <w:szCs w:val="21"/>
                <w:highlight w:val="none"/>
              </w:rPr>
              <w:t>松措施，无松动和锈蚀。</w:t>
            </w:r>
          </w:p>
        </w:tc>
        <w:tc>
          <w:tcPr>
            <w:tcW w:w="798" w:type="pct"/>
            <w:tcBorders>
              <w:bottom w:val="single" w:color="auto" w:sz="4" w:space="0"/>
            </w:tcBorders>
            <w:vAlign w:val="center"/>
          </w:tcPr>
          <w:p w14:paraId="18B883C2">
            <w:pPr>
              <w:widowControl w:val="0"/>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AQ3009-2007第6.1.2.1.4条</w:t>
            </w:r>
          </w:p>
        </w:tc>
        <w:tc>
          <w:tcPr>
            <w:tcW w:w="1310" w:type="pct"/>
            <w:tcBorders>
              <w:bottom w:val="single" w:color="auto" w:sz="4" w:space="0"/>
            </w:tcBorders>
            <w:vAlign w:val="center"/>
          </w:tcPr>
          <w:p w14:paraId="148B281A">
            <w:pPr>
              <w:widowControl w:val="0"/>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未见松动及锈蚀</w:t>
            </w:r>
            <w:r>
              <w:rPr>
                <w:rFonts w:hint="eastAsia" w:ascii="宋体" w:hAnsi="宋体" w:eastAsia="宋体" w:cs="宋体"/>
                <w:color w:val="auto"/>
                <w:sz w:val="21"/>
                <w:szCs w:val="21"/>
                <w:highlight w:val="none"/>
                <w:lang w:eastAsia="zh-CN"/>
              </w:rPr>
              <w:t>。</w:t>
            </w:r>
          </w:p>
        </w:tc>
        <w:tc>
          <w:tcPr>
            <w:tcW w:w="352" w:type="pct"/>
            <w:tcBorders>
              <w:bottom w:val="single" w:color="auto" w:sz="4" w:space="0"/>
            </w:tcBorders>
            <w:vAlign w:val="center"/>
          </w:tcPr>
          <w:p w14:paraId="16FE91EE">
            <w:pPr>
              <w:widowControl w:val="0"/>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412FD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 w:type="pct"/>
            <w:tcBorders>
              <w:bottom w:val="single" w:color="auto" w:sz="4" w:space="0"/>
            </w:tcBorders>
            <w:vAlign w:val="center"/>
          </w:tcPr>
          <w:p w14:paraId="4A056AF7">
            <w:pPr>
              <w:widowControl w:val="0"/>
              <w:numPr>
                <w:ilvl w:val="0"/>
                <w:numId w:val="55"/>
              </w:numPr>
              <w:adjustRightInd w:val="0"/>
              <w:snapToGrid w:val="0"/>
              <w:ind w:left="0" w:firstLine="0"/>
              <w:jc w:val="center"/>
              <w:rPr>
                <w:rFonts w:hint="eastAsia" w:ascii="宋体" w:hAnsi="宋体" w:eastAsia="宋体" w:cs="宋体"/>
                <w:color w:val="auto"/>
                <w:sz w:val="21"/>
                <w:szCs w:val="21"/>
                <w:highlight w:val="none"/>
              </w:rPr>
            </w:pPr>
          </w:p>
        </w:tc>
        <w:tc>
          <w:tcPr>
            <w:tcW w:w="2261" w:type="pct"/>
            <w:tcBorders>
              <w:bottom w:val="single" w:color="auto" w:sz="4" w:space="0"/>
            </w:tcBorders>
            <w:vAlign w:val="center"/>
          </w:tcPr>
          <w:p w14:paraId="1879378D">
            <w:pPr>
              <w:pStyle w:val="688"/>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防爆电气定期检查应委托具有防爆专业资质的安全生产检测检验机构进行，时间间隔一般不超过3年。</w:t>
            </w:r>
          </w:p>
        </w:tc>
        <w:tc>
          <w:tcPr>
            <w:tcW w:w="798" w:type="pct"/>
            <w:tcBorders>
              <w:bottom w:val="single" w:color="auto" w:sz="4" w:space="0"/>
            </w:tcBorders>
            <w:vAlign w:val="center"/>
          </w:tcPr>
          <w:p w14:paraId="378A426F">
            <w:pPr>
              <w:pStyle w:val="688"/>
              <w:adjustRightInd w:val="0"/>
              <w:snapToGrid w:val="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AQ3009-2007</w:t>
            </w:r>
            <w:r>
              <w:rPr>
                <w:rFonts w:hint="eastAsia" w:ascii="宋体" w:hAnsi="宋体" w:eastAsia="宋体" w:cs="宋体"/>
                <w:color w:val="auto"/>
                <w:sz w:val="21"/>
                <w:szCs w:val="21"/>
                <w:highlight w:val="none"/>
                <w:lang w:eastAsia="zh-CN"/>
              </w:rPr>
              <w:t>第</w:t>
            </w:r>
            <w:r>
              <w:rPr>
                <w:rFonts w:hint="eastAsia" w:ascii="宋体" w:hAnsi="宋体" w:eastAsia="宋体" w:cs="宋体"/>
                <w:color w:val="auto"/>
                <w:sz w:val="21"/>
                <w:szCs w:val="21"/>
                <w:highlight w:val="none"/>
              </w:rPr>
              <w:t>7.1.3.2</w:t>
            </w:r>
            <w:r>
              <w:rPr>
                <w:rFonts w:hint="eastAsia" w:ascii="宋体" w:hAnsi="宋体" w:eastAsia="宋体" w:cs="宋体"/>
                <w:color w:val="auto"/>
                <w:sz w:val="21"/>
                <w:szCs w:val="21"/>
                <w:highlight w:val="none"/>
                <w:lang w:eastAsia="zh-CN"/>
              </w:rPr>
              <w:t>条</w:t>
            </w:r>
          </w:p>
        </w:tc>
        <w:tc>
          <w:tcPr>
            <w:tcW w:w="1310" w:type="pct"/>
            <w:tcBorders>
              <w:bottom w:val="single" w:color="auto" w:sz="4" w:space="0"/>
            </w:tcBorders>
            <w:vAlign w:val="center"/>
          </w:tcPr>
          <w:p w14:paraId="090134CC">
            <w:pPr>
              <w:widowControl w:val="0"/>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危化品仓库防爆电气未定期检查。</w:t>
            </w:r>
          </w:p>
        </w:tc>
        <w:tc>
          <w:tcPr>
            <w:tcW w:w="352" w:type="pct"/>
            <w:tcBorders>
              <w:bottom w:val="single" w:color="auto" w:sz="4" w:space="0"/>
            </w:tcBorders>
            <w:vAlign w:val="center"/>
          </w:tcPr>
          <w:p w14:paraId="3E3A6D1B">
            <w:pPr>
              <w:widowControl w:val="0"/>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不符合</w:t>
            </w:r>
          </w:p>
        </w:tc>
      </w:tr>
    </w:tbl>
    <w:p w14:paraId="425C454B">
      <w:pPr>
        <w:numPr>
          <w:ilvl w:val="0"/>
          <w:numId w:val="54"/>
        </w:numPr>
        <w:adjustRightInd w:val="0"/>
        <w:snapToGrid w:val="0"/>
        <w:spacing w:before="157" w:beforeLines="50" w:line="360" w:lineRule="auto"/>
        <w:ind w:left="0" w:firstLine="560" w:firstLineChars="200"/>
        <w:jc w:val="left"/>
        <w:outlineLvl w:val="9"/>
        <w:rPr>
          <w:rFonts w:ascii="宋体" w:hAnsi="宋体"/>
          <w:color w:val="auto"/>
          <w:sz w:val="28"/>
          <w:szCs w:val="28"/>
          <w:highlight w:val="none"/>
        </w:rPr>
      </w:pPr>
      <w:r>
        <w:rPr>
          <w:rFonts w:hint="eastAsia" w:ascii="宋体" w:hAnsi="宋体"/>
          <w:color w:val="auto"/>
          <w:sz w:val="28"/>
          <w:szCs w:val="28"/>
          <w:highlight w:val="none"/>
        </w:rPr>
        <w:t>可燃气体检测报警仪的布防安装检查</w:t>
      </w:r>
    </w:p>
    <w:p w14:paraId="631AA3FE">
      <w:pPr>
        <w:adjustRightInd w:val="0"/>
        <w:snapToGrid w:val="0"/>
        <w:spacing w:line="360" w:lineRule="auto"/>
        <w:ind w:firstLine="560" w:firstLineChars="200"/>
        <w:rPr>
          <w:rFonts w:hint="eastAsia" w:ascii="宋体" w:hAnsi="宋体"/>
          <w:color w:val="auto"/>
          <w:sz w:val="28"/>
          <w:szCs w:val="28"/>
          <w:highlight w:val="none"/>
        </w:rPr>
      </w:pPr>
      <w:r>
        <w:rPr>
          <w:rFonts w:hint="eastAsia" w:ascii="宋体" w:hAnsi="宋体"/>
          <w:color w:val="auto"/>
          <w:sz w:val="28"/>
          <w:szCs w:val="28"/>
          <w:highlight w:val="none"/>
          <w:lang w:eastAsia="zh-CN"/>
        </w:rPr>
        <w:t>依据</w:t>
      </w:r>
      <w:r>
        <w:rPr>
          <w:rFonts w:hint="eastAsia" w:ascii="宋体" w:hAnsi="宋体" w:eastAsia="宋体" w:cs="宋体"/>
          <w:bCs/>
          <w:color w:val="auto"/>
          <w:sz w:val="28"/>
          <w:szCs w:val="28"/>
          <w:highlight w:val="none"/>
        </w:rPr>
        <w:t>《建筑设计防火规范》GB50016-2014（2018年版）</w:t>
      </w:r>
      <w:r>
        <w:rPr>
          <w:rFonts w:hint="eastAsia" w:ascii="宋体" w:hAnsi="宋体" w:eastAsia="宋体" w:cs="宋体"/>
          <w:bCs/>
          <w:color w:val="auto"/>
          <w:sz w:val="28"/>
          <w:szCs w:val="28"/>
          <w:highlight w:val="none"/>
          <w:lang w:eastAsia="zh-CN"/>
        </w:rPr>
        <w:t>、</w:t>
      </w:r>
      <w:r>
        <w:rPr>
          <w:rFonts w:ascii="宋体" w:hAnsi="宋体" w:cs="Arial"/>
          <w:color w:val="auto"/>
          <w:spacing w:val="8"/>
          <w:sz w:val="28"/>
          <w:szCs w:val="28"/>
          <w:highlight w:val="none"/>
          <w:shd w:val="clear" w:color="auto" w:fill="FFFFFF"/>
        </w:rPr>
        <w:t>《石油化工可燃气体和有毒气体检测报警设计标准》GB/T50493-2019</w:t>
      </w:r>
      <w:r>
        <w:rPr>
          <w:rFonts w:hint="eastAsia" w:ascii="宋体" w:hAnsi="宋体"/>
          <w:color w:val="auto"/>
          <w:sz w:val="28"/>
          <w:szCs w:val="28"/>
          <w:highlight w:val="none"/>
        </w:rPr>
        <w:t>的要求，对</w:t>
      </w:r>
      <w:r>
        <w:rPr>
          <w:rFonts w:hint="eastAsia" w:ascii="宋体" w:hAnsi="宋体"/>
          <w:color w:val="auto"/>
          <w:sz w:val="28"/>
          <w:szCs w:val="28"/>
          <w:highlight w:val="none"/>
          <w:lang w:eastAsia="zh-CN"/>
        </w:rPr>
        <w:t>危化品仓库可燃气体检测报警装置</w:t>
      </w:r>
      <w:r>
        <w:rPr>
          <w:rFonts w:hint="eastAsia" w:ascii="宋体" w:hAnsi="宋体"/>
          <w:color w:val="auto"/>
          <w:sz w:val="28"/>
          <w:szCs w:val="28"/>
          <w:highlight w:val="none"/>
        </w:rPr>
        <w:t>布防安装情况进行现场检查，检查结果见</w:t>
      </w:r>
      <w:r>
        <w:rPr>
          <w:rFonts w:hint="eastAsia" w:ascii="宋体" w:hAnsi="宋体"/>
          <w:color w:val="auto"/>
          <w:sz w:val="28"/>
          <w:szCs w:val="28"/>
          <w:highlight w:val="none"/>
          <w:lang w:eastAsia="zh-CN"/>
        </w:rPr>
        <w:t>下表</w:t>
      </w:r>
      <w:r>
        <w:rPr>
          <w:rFonts w:hint="eastAsia" w:ascii="宋体" w:hAnsi="宋体"/>
          <w:color w:val="auto"/>
          <w:sz w:val="28"/>
          <w:szCs w:val="28"/>
          <w:highlight w:val="none"/>
        </w:rPr>
        <w:t>。</w:t>
      </w:r>
    </w:p>
    <w:p w14:paraId="3D3D24B2">
      <w:pPr>
        <w:adjustRightInd w:val="0"/>
        <w:snapToGrid w:val="0"/>
        <w:spacing w:line="360" w:lineRule="auto"/>
        <w:ind w:firstLine="0" w:firstLineChars="0"/>
        <w:jc w:val="center"/>
        <w:rPr>
          <w:b/>
          <w:bCs w:val="0"/>
          <w:color w:val="auto"/>
          <w:sz w:val="24"/>
          <w:highlight w:val="none"/>
        </w:rPr>
      </w:pPr>
      <w:r>
        <w:rPr>
          <w:rFonts w:hint="eastAsia" w:ascii="黑体" w:hAnsi="黑体" w:eastAsia="黑体"/>
          <w:b/>
          <w:bCs w:val="0"/>
          <w:color w:val="auto"/>
          <w:sz w:val="24"/>
          <w:szCs w:val="24"/>
          <w:highlight w:val="none"/>
        </w:rPr>
        <w:t>表</w:t>
      </w:r>
      <w:r>
        <w:rPr>
          <w:rFonts w:ascii="黑体" w:hAnsi="黑体" w:eastAsia="黑体"/>
          <w:b/>
          <w:bCs w:val="0"/>
          <w:color w:val="auto"/>
          <w:sz w:val="24"/>
          <w:szCs w:val="24"/>
          <w:highlight w:val="none"/>
        </w:rPr>
        <w:t>5.1-</w:t>
      </w:r>
      <w:r>
        <w:rPr>
          <w:rFonts w:hint="eastAsia" w:ascii="黑体" w:hAnsi="黑体" w:eastAsia="黑体"/>
          <w:b/>
          <w:bCs w:val="0"/>
          <w:color w:val="auto"/>
          <w:sz w:val="24"/>
          <w:szCs w:val="24"/>
          <w:highlight w:val="none"/>
          <w:lang w:val="en-US" w:eastAsia="zh-CN"/>
        </w:rPr>
        <w:t>14</w:t>
      </w:r>
      <w:r>
        <w:rPr>
          <w:rFonts w:ascii="黑体" w:hAnsi="黑体" w:eastAsia="黑体"/>
          <w:b/>
          <w:bCs w:val="0"/>
          <w:color w:val="auto"/>
          <w:sz w:val="24"/>
          <w:szCs w:val="24"/>
          <w:highlight w:val="none"/>
        </w:rPr>
        <w:t>可燃气体检测报警仪的布防安装</w:t>
      </w:r>
      <w:r>
        <w:rPr>
          <w:rFonts w:hint="eastAsia" w:ascii="黑体" w:hAnsi="黑体" w:eastAsia="黑体" w:cs="宋体"/>
          <w:b/>
          <w:bCs w:val="0"/>
          <w:color w:val="auto"/>
          <w:kern w:val="0"/>
          <w:sz w:val="24"/>
          <w:szCs w:val="24"/>
          <w:highlight w:val="none"/>
        </w:rPr>
        <w:t>检查</w:t>
      </w:r>
      <w:r>
        <w:rPr>
          <w:rFonts w:hint="eastAsia" w:ascii="黑体" w:hAnsi="黑体" w:eastAsia="黑体"/>
          <w:b/>
          <w:bCs w:val="0"/>
          <w:color w:val="auto"/>
          <w:sz w:val="24"/>
          <w:szCs w:val="24"/>
          <w:highlight w:val="none"/>
        </w:rPr>
        <w:t>表</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2"/>
        <w:gridCol w:w="3248"/>
        <w:gridCol w:w="1880"/>
        <w:gridCol w:w="3062"/>
        <w:gridCol w:w="698"/>
      </w:tblGrid>
      <w:tr w14:paraId="76671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512" w:type="dxa"/>
            <w:vAlign w:val="center"/>
          </w:tcPr>
          <w:p w14:paraId="3AB2F8F1">
            <w:pPr>
              <w:adjustRightInd w:val="0"/>
              <w:snapToGrid w:val="0"/>
              <w:jc w:val="center"/>
              <w:rPr>
                <w:rFonts w:hint="eastAsia" w:ascii="宋体" w:hAnsi="宋体" w:eastAsia="宋体" w:cs="宋体"/>
                <w:b/>
                <w:bCs/>
                <w:color w:val="auto"/>
                <w:sz w:val="21"/>
                <w:szCs w:val="21"/>
                <w:highlight w:val="none"/>
                <w:vertAlign w:val="baseline"/>
              </w:rPr>
            </w:pPr>
            <w:r>
              <w:rPr>
                <w:rFonts w:hint="eastAsia" w:ascii="宋体" w:hAnsi="宋体" w:eastAsia="宋体" w:cs="宋体"/>
                <w:b/>
                <w:bCs/>
                <w:color w:val="auto"/>
                <w:sz w:val="21"/>
                <w:szCs w:val="21"/>
                <w:highlight w:val="none"/>
              </w:rPr>
              <w:t>序号</w:t>
            </w:r>
          </w:p>
        </w:tc>
        <w:tc>
          <w:tcPr>
            <w:tcW w:w="3248" w:type="dxa"/>
            <w:vAlign w:val="center"/>
          </w:tcPr>
          <w:p w14:paraId="3519AAFA">
            <w:pPr>
              <w:adjustRightInd w:val="0"/>
              <w:snapToGrid w:val="0"/>
              <w:jc w:val="center"/>
              <w:rPr>
                <w:rFonts w:hint="eastAsia" w:ascii="宋体" w:hAnsi="宋体" w:eastAsia="宋体" w:cs="宋体"/>
                <w:b/>
                <w:bCs/>
                <w:color w:val="auto"/>
                <w:sz w:val="21"/>
                <w:szCs w:val="21"/>
                <w:highlight w:val="none"/>
                <w:vertAlign w:val="baseline"/>
              </w:rPr>
            </w:pPr>
            <w:r>
              <w:rPr>
                <w:rFonts w:hint="eastAsia" w:ascii="宋体" w:hAnsi="宋体" w:eastAsia="宋体" w:cs="宋体"/>
                <w:b/>
                <w:bCs/>
                <w:color w:val="auto"/>
                <w:sz w:val="21"/>
                <w:szCs w:val="21"/>
                <w:highlight w:val="none"/>
              </w:rPr>
              <w:t>检查项目及内容</w:t>
            </w:r>
          </w:p>
        </w:tc>
        <w:tc>
          <w:tcPr>
            <w:tcW w:w="1880" w:type="dxa"/>
            <w:vAlign w:val="center"/>
          </w:tcPr>
          <w:p w14:paraId="1E0065B9">
            <w:pPr>
              <w:adjustRightInd w:val="0"/>
              <w:snapToGrid w:val="0"/>
              <w:jc w:val="center"/>
              <w:rPr>
                <w:rFonts w:hint="eastAsia" w:ascii="宋体" w:hAnsi="宋体" w:eastAsia="宋体" w:cs="宋体"/>
                <w:b/>
                <w:bCs/>
                <w:color w:val="auto"/>
                <w:sz w:val="21"/>
                <w:szCs w:val="21"/>
                <w:highlight w:val="none"/>
                <w:vertAlign w:val="baseline"/>
              </w:rPr>
            </w:pPr>
            <w:r>
              <w:rPr>
                <w:rFonts w:hint="eastAsia" w:ascii="宋体" w:hAnsi="宋体" w:eastAsia="宋体" w:cs="宋体"/>
                <w:b/>
                <w:bCs/>
                <w:color w:val="auto"/>
                <w:sz w:val="21"/>
                <w:szCs w:val="21"/>
                <w:highlight w:val="none"/>
              </w:rPr>
              <w:t>评价依据</w:t>
            </w:r>
          </w:p>
        </w:tc>
        <w:tc>
          <w:tcPr>
            <w:tcW w:w="3062" w:type="dxa"/>
            <w:vAlign w:val="center"/>
          </w:tcPr>
          <w:p w14:paraId="5F7243F8">
            <w:pPr>
              <w:adjustRightInd w:val="0"/>
              <w:snapToGrid w:val="0"/>
              <w:jc w:val="center"/>
              <w:rPr>
                <w:rFonts w:hint="eastAsia" w:ascii="宋体" w:hAnsi="宋体" w:eastAsia="宋体" w:cs="宋体"/>
                <w:b/>
                <w:bCs/>
                <w:color w:val="auto"/>
                <w:sz w:val="21"/>
                <w:szCs w:val="21"/>
                <w:highlight w:val="none"/>
                <w:vertAlign w:val="baseline"/>
              </w:rPr>
            </w:pPr>
            <w:r>
              <w:rPr>
                <w:rFonts w:hint="eastAsia" w:ascii="宋体" w:hAnsi="宋体" w:eastAsia="宋体" w:cs="宋体"/>
                <w:b/>
                <w:bCs/>
                <w:color w:val="auto"/>
                <w:sz w:val="21"/>
                <w:szCs w:val="21"/>
                <w:highlight w:val="none"/>
              </w:rPr>
              <w:t>检查情况描述</w:t>
            </w:r>
          </w:p>
        </w:tc>
        <w:tc>
          <w:tcPr>
            <w:tcW w:w="698" w:type="dxa"/>
            <w:vAlign w:val="center"/>
          </w:tcPr>
          <w:p w14:paraId="216B62A7">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检查</w:t>
            </w:r>
          </w:p>
          <w:p w14:paraId="1E7FEA2F">
            <w:pPr>
              <w:adjustRightInd w:val="0"/>
              <w:snapToGrid w:val="0"/>
              <w:jc w:val="center"/>
              <w:rPr>
                <w:rFonts w:hint="eastAsia" w:ascii="宋体" w:hAnsi="宋体" w:eastAsia="宋体" w:cs="宋体"/>
                <w:b/>
                <w:bCs/>
                <w:color w:val="auto"/>
                <w:sz w:val="21"/>
                <w:szCs w:val="21"/>
                <w:highlight w:val="none"/>
                <w:vertAlign w:val="baseline"/>
              </w:rPr>
            </w:pPr>
            <w:r>
              <w:rPr>
                <w:rFonts w:hint="eastAsia" w:ascii="宋体" w:hAnsi="宋体" w:eastAsia="宋体" w:cs="宋体"/>
                <w:b/>
                <w:bCs/>
                <w:color w:val="auto"/>
                <w:sz w:val="21"/>
                <w:szCs w:val="21"/>
                <w:highlight w:val="none"/>
              </w:rPr>
              <w:t>结果</w:t>
            </w:r>
          </w:p>
        </w:tc>
      </w:tr>
      <w:tr w14:paraId="247BF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4E2EC629">
            <w:pPr>
              <w:pStyle w:val="24"/>
              <w:numPr>
                <w:ilvl w:val="0"/>
                <w:numId w:val="56"/>
              </w:numPr>
              <w:adjustRightInd w:val="0"/>
              <w:snapToGrid w:val="0"/>
              <w:ind w:left="425" w:hanging="425" w:firstLineChars="0"/>
              <w:jc w:val="center"/>
              <w:rPr>
                <w:rFonts w:hint="eastAsia" w:ascii="宋体" w:hAnsi="宋体" w:eastAsia="宋体" w:cs="宋体"/>
                <w:color w:val="auto"/>
                <w:sz w:val="21"/>
                <w:szCs w:val="21"/>
                <w:highlight w:val="none"/>
                <w:vertAlign w:val="baseline"/>
              </w:rPr>
            </w:pPr>
          </w:p>
        </w:tc>
        <w:tc>
          <w:tcPr>
            <w:tcW w:w="3248" w:type="dxa"/>
            <w:vAlign w:val="center"/>
          </w:tcPr>
          <w:p w14:paraId="1D2A8D4D">
            <w:pPr>
              <w:adjustRightInd w:val="0"/>
              <w:snapToGrid w:val="0"/>
              <w:rPr>
                <w:rFonts w:hint="eastAsia" w:ascii="宋体" w:hAnsi="宋体" w:eastAsia="宋体" w:cs="宋体"/>
                <w:color w:val="auto"/>
                <w:sz w:val="21"/>
                <w:szCs w:val="21"/>
                <w:highlight w:val="none"/>
                <w:vertAlign w:val="baseline"/>
              </w:rPr>
            </w:pPr>
            <w:r>
              <w:rPr>
                <w:rFonts w:hint="eastAsia" w:ascii="宋体" w:hAnsi="宋体" w:eastAsia="宋体" w:cs="宋体"/>
                <w:bCs w:val="0"/>
                <w:color w:val="auto"/>
                <w:sz w:val="21"/>
                <w:szCs w:val="21"/>
                <w:highlight w:val="none"/>
              </w:rPr>
              <w:t>建筑内可能散发可燃气体、可燃蒸气的场所应设置可燃气体报警装置。</w:t>
            </w:r>
          </w:p>
        </w:tc>
        <w:tc>
          <w:tcPr>
            <w:tcW w:w="1880" w:type="dxa"/>
            <w:vAlign w:val="center"/>
          </w:tcPr>
          <w:p w14:paraId="3C6C1779">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GB50016-2014（2018版）</w:t>
            </w:r>
            <w:r>
              <w:rPr>
                <w:rFonts w:hint="eastAsia" w:ascii="宋体" w:hAnsi="宋体" w:eastAsia="宋体" w:cs="宋体"/>
                <w:color w:val="auto"/>
                <w:sz w:val="21"/>
                <w:szCs w:val="21"/>
                <w:highlight w:val="none"/>
                <w:lang w:eastAsia="zh-CN"/>
              </w:rPr>
              <w:t>第</w:t>
            </w:r>
            <w:r>
              <w:rPr>
                <w:rFonts w:hint="eastAsia" w:ascii="宋体" w:hAnsi="宋体" w:eastAsia="宋体" w:cs="宋体"/>
                <w:bCs w:val="0"/>
                <w:color w:val="auto"/>
                <w:sz w:val="21"/>
                <w:szCs w:val="21"/>
                <w:highlight w:val="none"/>
              </w:rPr>
              <w:t>8.4.3</w:t>
            </w:r>
            <w:r>
              <w:rPr>
                <w:rFonts w:hint="eastAsia" w:ascii="宋体" w:hAnsi="宋体" w:eastAsia="宋体" w:cs="宋体"/>
                <w:color w:val="auto"/>
                <w:sz w:val="21"/>
                <w:szCs w:val="21"/>
                <w:highlight w:val="none"/>
                <w:lang w:eastAsia="zh-CN"/>
              </w:rPr>
              <w:t>条</w:t>
            </w:r>
          </w:p>
        </w:tc>
        <w:tc>
          <w:tcPr>
            <w:tcW w:w="3062" w:type="dxa"/>
            <w:vAlign w:val="center"/>
          </w:tcPr>
          <w:p w14:paraId="3B34457B">
            <w:pPr>
              <w:adjustRightInd w:val="0"/>
              <w:snapToGrid w:val="0"/>
              <w:jc w:val="left"/>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危化品仓库</w:t>
            </w:r>
            <w:r>
              <w:rPr>
                <w:rFonts w:hint="eastAsia" w:ascii="宋体" w:hAnsi="宋体" w:eastAsia="宋体" w:cs="宋体"/>
                <w:color w:val="auto"/>
                <w:kern w:val="2"/>
                <w:sz w:val="21"/>
                <w:szCs w:val="21"/>
                <w:highlight w:val="none"/>
                <w:lang w:val="en-US" w:eastAsia="zh-CN"/>
              </w:rPr>
              <w:t>2、3、4、6仓储</w:t>
            </w:r>
            <w:r>
              <w:rPr>
                <w:rFonts w:hint="eastAsia" w:ascii="宋体" w:hAnsi="宋体" w:eastAsia="宋体" w:cs="宋体"/>
                <w:color w:val="auto"/>
                <w:spacing w:val="0"/>
                <w:sz w:val="21"/>
                <w:szCs w:val="21"/>
                <w:highlight w:val="none"/>
                <w:shd w:val="clear"/>
                <w:lang w:eastAsia="zh-CN"/>
              </w:rPr>
              <w:t>内设置了</w:t>
            </w:r>
            <w:r>
              <w:rPr>
                <w:rFonts w:hint="eastAsia" w:ascii="宋体" w:hAnsi="宋体" w:eastAsia="宋体" w:cs="宋体"/>
                <w:bCs w:val="0"/>
                <w:color w:val="auto"/>
                <w:sz w:val="21"/>
                <w:szCs w:val="21"/>
                <w:highlight w:val="none"/>
              </w:rPr>
              <w:t>可燃气体报警装置。</w:t>
            </w:r>
          </w:p>
        </w:tc>
        <w:tc>
          <w:tcPr>
            <w:tcW w:w="698" w:type="dxa"/>
            <w:vAlign w:val="center"/>
          </w:tcPr>
          <w:p w14:paraId="5A946785">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lang w:eastAsia="zh-CN"/>
              </w:rPr>
              <w:t>符合</w:t>
            </w:r>
          </w:p>
        </w:tc>
      </w:tr>
      <w:tr w14:paraId="2B17A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0D1B16AB">
            <w:pPr>
              <w:pStyle w:val="24"/>
              <w:numPr>
                <w:ilvl w:val="0"/>
                <w:numId w:val="56"/>
              </w:numPr>
              <w:adjustRightInd w:val="0"/>
              <w:snapToGrid w:val="0"/>
              <w:ind w:left="425" w:hanging="425" w:firstLineChars="0"/>
              <w:jc w:val="center"/>
              <w:rPr>
                <w:rFonts w:hint="eastAsia" w:ascii="宋体" w:hAnsi="宋体" w:eastAsia="宋体" w:cs="宋体"/>
                <w:color w:val="auto"/>
                <w:sz w:val="21"/>
                <w:szCs w:val="21"/>
                <w:highlight w:val="none"/>
                <w:vertAlign w:val="baseline"/>
              </w:rPr>
            </w:pPr>
          </w:p>
        </w:tc>
        <w:tc>
          <w:tcPr>
            <w:tcW w:w="3248" w:type="dxa"/>
            <w:vAlign w:val="center"/>
          </w:tcPr>
          <w:p w14:paraId="3C2D79E5">
            <w:pPr>
              <w:adjustRightInd w:val="0"/>
              <w:snapToGrid w:val="0"/>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可燃气体和有毒气体检测报警信号应送至有人值守的现场控制室、中心控制室等进行显示报警；可燃气体二级报警信号、可燃气体和有毒气体检测报警系统报警控制单元的故障信号应送至消防控制室。</w:t>
            </w:r>
          </w:p>
        </w:tc>
        <w:tc>
          <w:tcPr>
            <w:tcW w:w="1880" w:type="dxa"/>
            <w:vAlign w:val="center"/>
          </w:tcPr>
          <w:p w14:paraId="320DAC0F">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GB/T50493-2019第3.0.3条</w:t>
            </w:r>
          </w:p>
        </w:tc>
        <w:tc>
          <w:tcPr>
            <w:tcW w:w="3062" w:type="dxa"/>
            <w:vAlign w:val="center"/>
          </w:tcPr>
          <w:p w14:paraId="123A728A">
            <w:pPr>
              <w:adjustRightInd w:val="0"/>
              <w:snapToGrid w:val="0"/>
              <w:jc w:val="left"/>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可燃气体检测报警信号送至危化品仓库</w:t>
            </w:r>
            <w:r>
              <w:rPr>
                <w:rFonts w:hint="eastAsia" w:ascii="宋体" w:hAnsi="宋体" w:eastAsia="宋体" w:cs="宋体"/>
                <w:color w:val="auto"/>
                <w:spacing w:val="0"/>
                <w:sz w:val="21"/>
                <w:szCs w:val="21"/>
                <w:highlight w:val="none"/>
                <w:shd w:val="clear"/>
                <w:lang w:eastAsia="zh-CN"/>
              </w:rPr>
              <w:t>东南面、</w:t>
            </w:r>
            <w:r>
              <w:rPr>
                <w:rFonts w:hint="eastAsia" w:ascii="宋体" w:hAnsi="宋体" w:eastAsia="宋体" w:cs="宋体"/>
                <w:color w:val="auto"/>
                <w:sz w:val="21"/>
                <w:szCs w:val="21"/>
                <w:highlight w:val="none"/>
              </w:rPr>
              <w:t>24小时有人值班</w:t>
            </w:r>
            <w:r>
              <w:rPr>
                <w:rFonts w:hint="eastAsia" w:ascii="宋体" w:hAnsi="宋体" w:eastAsia="宋体" w:cs="宋体"/>
                <w:color w:val="auto"/>
                <w:sz w:val="21"/>
                <w:szCs w:val="21"/>
                <w:highlight w:val="none"/>
                <w:lang w:eastAsia="zh-CN"/>
              </w:rPr>
              <w:t>的</w:t>
            </w:r>
            <w:r>
              <w:rPr>
                <w:rFonts w:hint="eastAsia" w:ascii="宋体" w:hAnsi="宋体" w:cs="宋体"/>
                <w:color w:val="auto"/>
                <w:sz w:val="21"/>
                <w:szCs w:val="21"/>
                <w:highlight w:val="none"/>
                <w:lang w:eastAsia="zh-CN"/>
              </w:rPr>
              <w:t>应急物资库</w:t>
            </w:r>
            <w:r>
              <w:rPr>
                <w:rFonts w:hint="eastAsia" w:ascii="宋体" w:hAnsi="宋体" w:eastAsia="宋体" w:cs="宋体"/>
                <w:color w:val="auto"/>
                <w:sz w:val="21"/>
                <w:szCs w:val="21"/>
                <w:highlight w:val="none"/>
              </w:rPr>
              <w:t>。</w:t>
            </w:r>
          </w:p>
        </w:tc>
        <w:tc>
          <w:tcPr>
            <w:tcW w:w="698" w:type="dxa"/>
            <w:vAlign w:val="center"/>
          </w:tcPr>
          <w:p w14:paraId="2DCB1F21">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符合</w:t>
            </w:r>
          </w:p>
        </w:tc>
      </w:tr>
      <w:tr w14:paraId="0787B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17DB7C5C">
            <w:pPr>
              <w:pStyle w:val="24"/>
              <w:numPr>
                <w:ilvl w:val="0"/>
                <w:numId w:val="56"/>
              </w:numPr>
              <w:adjustRightInd w:val="0"/>
              <w:snapToGrid w:val="0"/>
              <w:ind w:left="425" w:hanging="425" w:firstLineChars="0"/>
              <w:jc w:val="center"/>
              <w:rPr>
                <w:rFonts w:hint="eastAsia" w:ascii="宋体" w:hAnsi="宋体" w:eastAsia="宋体" w:cs="宋体"/>
                <w:color w:val="auto"/>
                <w:sz w:val="21"/>
                <w:szCs w:val="21"/>
                <w:highlight w:val="none"/>
                <w:vertAlign w:val="baseline"/>
              </w:rPr>
            </w:pPr>
          </w:p>
        </w:tc>
        <w:tc>
          <w:tcPr>
            <w:tcW w:w="3248" w:type="dxa"/>
            <w:vAlign w:val="center"/>
          </w:tcPr>
          <w:p w14:paraId="1F7CF92F">
            <w:pPr>
              <w:adjustRightInd w:val="0"/>
              <w:snapToGrid w:val="0"/>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需要设置可燃气体、有毒气体探测器的场所，宜采用固定式探测器；需要临时检测可燃气体、有毒气体的场所，宜配备移动式气体探测器。</w:t>
            </w:r>
          </w:p>
        </w:tc>
        <w:tc>
          <w:tcPr>
            <w:tcW w:w="1880" w:type="dxa"/>
            <w:vAlign w:val="center"/>
          </w:tcPr>
          <w:p w14:paraId="0FF495FC">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GB/T50493-2019第3.0.6条</w:t>
            </w:r>
          </w:p>
        </w:tc>
        <w:tc>
          <w:tcPr>
            <w:tcW w:w="3062" w:type="dxa"/>
            <w:vAlign w:val="center"/>
          </w:tcPr>
          <w:p w14:paraId="56482752">
            <w:pPr>
              <w:adjustRightInd w:val="0"/>
              <w:snapToGrid w:val="0"/>
              <w:jc w:val="left"/>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现场</w:t>
            </w:r>
            <w:r>
              <w:rPr>
                <w:rFonts w:hint="eastAsia" w:ascii="宋体" w:hAnsi="宋体" w:eastAsia="宋体" w:cs="宋体"/>
                <w:color w:val="auto"/>
                <w:spacing w:val="0"/>
                <w:sz w:val="21"/>
                <w:szCs w:val="21"/>
                <w:highlight w:val="none"/>
                <w:shd w:val="clear"/>
              </w:rPr>
              <w:t>可燃气体探测器采用固定式探测器。</w:t>
            </w:r>
          </w:p>
        </w:tc>
        <w:tc>
          <w:tcPr>
            <w:tcW w:w="698" w:type="dxa"/>
            <w:vAlign w:val="center"/>
          </w:tcPr>
          <w:p w14:paraId="05E8CAEF">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符合</w:t>
            </w:r>
          </w:p>
        </w:tc>
      </w:tr>
      <w:tr w14:paraId="2A954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599ACDC3">
            <w:pPr>
              <w:pStyle w:val="24"/>
              <w:numPr>
                <w:ilvl w:val="0"/>
                <w:numId w:val="56"/>
              </w:numPr>
              <w:adjustRightInd w:val="0"/>
              <w:snapToGrid w:val="0"/>
              <w:ind w:left="425" w:hanging="425" w:firstLineChars="0"/>
              <w:jc w:val="center"/>
              <w:rPr>
                <w:rFonts w:hint="eastAsia" w:ascii="宋体" w:hAnsi="宋体" w:eastAsia="宋体" w:cs="宋体"/>
                <w:color w:val="auto"/>
                <w:sz w:val="21"/>
                <w:szCs w:val="21"/>
                <w:highlight w:val="none"/>
                <w:vertAlign w:val="baseline"/>
              </w:rPr>
            </w:pPr>
          </w:p>
        </w:tc>
        <w:tc>
          <w:tcPr>
            <w:tcW w:w="3248" w:type="dxa"/>
            <w:vAlign w:val="center"/>
          </w:tcPr>
          <w:p w14:paraId="3FE9D724">
            <w:pPr>
              <w:adjustRightInd w:val="0"/>
              <w:snapToGrid w:val="0"/>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可燃气体和有毒气体检测报警系统应独立于其他系统单独设置。</w:t>
            </w:r>
          </w:p>
        </w:tc>
        <w:tc>
          <w:tcPr>
            <w:tcW w:w="1880" w:type="dxa"/>
            <w:vAlign w:val="center"/>
          </w:tcPr>
          <w:p w14:paraId="4B1F2E2B">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GB/T50493-2019第3.0.8条</w:t>
            </w:r>
          </w:p>
        </w:tc>
        <w:tc>
          <w:tcPr>
            <w:tcW w:w="3062" w:type="dxa"/>
            <w:vAlign w:val="center"/>
          </w:tcPr>
          <w:p w14:paraId="4E8659ED">
            <w:pPr>
              <w:adjustRightInd w:val="0"/>
              <w:snapToGrid w:val="0"/>
              <w:jc w:val="left"/>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报警系统独立设置。</w:t>
            </w:r>
          </w:p>
        </w:tc>
        <w:tc>
          <w:tcPr>
            <w:tcW w:w="698" w:type="dxa"/>
            <w:vAlign w:val="center"/>
          </w:tcPr>
          <w:p w14:paraId="0F52F809">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符合</w:t>
            </w:r>
          </w:p>
        </w:tc>
      </w:tr>
      <w:tr w14:paraId="73631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28EE82CE">
            <w:pPr>
              <w:pStyle w:val="24"/>
              <w:numPr>
                <w:ilvl w:val="0"/>
                <w:numId w:val="56"/>
              </w:numPr>
              <w:adjustRightInd w:val="0"/>
              <w:snapToGrid w:val="0"/>
              <w:ind w:left="425" w:hanging="425" w:firstLineChars="0"/>
              <w:jc w:val="center"/>
              <w:rPr>
                <w:rFonts w:hint="eastAsia" w:ascii="宋体" w:hAnsi="宋体" w:eastAsia="宋体" w:cs="宋体"/>
                <w:color w:val="auto"/>
                <w:sz w:val="21"/>
                <w:szCs w:val="21"/>
                <w:highlight w:val="none"/>
                <w:vertAlign w:val="baseline"/>
              </w:rPr>
            </w:pPr>
          </w:p>
        </w:tc>
        <w:tc>
          <w:tcPr>
            <w:tcW w:w="3248" w:type="dxa"/>
            <w:vAlign w:val="center"/>
          </w:tcPr>
          <w:p w14:paraId="2E17CEC5">
            <w:pPr>
              <w:adjustRightInd w:val="0"/>
              <w:snapToGrid w:val="0"/>
              <w:rPr>
                <w:rFonts w:hint="eastAsia" w:ascii="宋体" w:hAnsi="宋体" w:eastAsia="宋体" w:cs="宋体"/>
                <w:color w:val="auto"/>
                <w:spacing w:val="0"/>
                <w:sz w:val="21"/>
                <w:szCs w:val="21"/>
                <w:highlight w:val="none"/>
                <w:shd w:val="clear"/>
              </w:rPr>
            </w:pPr>
            <w:r>
              <w:rPr>
                <w:rFonts w:hint="eastAsia" w:ascii="宋体" w:hAnsi="宋体" w:eastAsia="宋体" w:cs="宋体"/>
                <w:color w:val="auto"/>
                <w:spacing w:val="0"/>
                <w:sz w:val="21"/>
                <w:szCs w:val="21"/>
                <w:highlight w:val="none"/>
                <w:shd w:val="clear"/>
              </w:rPr>
              <w:t>其他储存、运输可燃气体、有毒气体的储运设施，可燃气体探测器和（或）有毒气体探测器应按本标准第4.2节的规定设置。</w:t>
            </w:r>
          </w:p>
          <w:p w14:paraId="7E8F3063">
            <w:pPr>
              <w:adjustRightInd w:val="0"/>
              <w:snapToGrid w:val="0"/>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释放源处于封闭式厂房或局部通风不良的半敞开厂房内。可燃气体探测器距其所覆盖范围内的任一释放源的水平距离不宜大于5m；有毒气体探测器距其所覆盖范围内的任一释放源的水平距离不宜大于2m。</w:t>
            </w:r>
          </w:p>
        </w:tc>
        <w:tc>
          <w:tcPr>
            <w:tcW w:w="1880" w:type="dxa"/>
            <w:vAlign w:val="center"/>
          </w:tcPr>
          <w:p w14:paraId="31C9738B">
            <w:pPr>
              <w:adjustRightInd w:val="0"/>
              <w:snapToGrid w:val="0"/>
              <w:jc w:val="center"/>
              <w:rPr>
                <w:rFonts w:hint="eastAsia" w:ascii="宋体" w:hAnsi="宋体" w:eastAsia="宋体" w:cs="宋体"/>
                <w:color w:val="auto"/>
                <w:spacing w:val="0"/>
                <w:sz w:val="21"/>
                <w:szCs w:val="21"/>
                <w:highlight w:val="none"/>
                <w:shd w:val="clear"/>
              </w:rPr>
            </w:pPr>
            <w:r>
              <w:rPr>
                <w:rFonts w:hint="eastAsia" w:ascii="宋体" w:hAnsi="宋体" w:eastAsia="宋体" w:cs="宋体"/>
                <w:color w:val="auto"/>
                <w:spacing w:val="0"/>
                <w:sz w:val="21"/>
                <w:szCs w:val="21"/>
                <w:highlight w:val="none"/>
                <w:shd w:val="clear"/>
              </w:rPr>
              <w:t>GB/T50493-2019第4.3.7条</w:t>
            </w:r>
          </w:p>
          <w:p w14:paraId="5A5CA183">
            <w:pPr>
              <w:adjustRightInd w:val="0"/>
              <w:snapToGrid w:val="0"/>
              <w:ind w:firstLine="0" w:firstLineChars="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GB/T50493-2019第4.2.2条</w:t>
            </w:r>
          </w:p>
        </w:tc>
        <w:tc>
          <w:tcPr>
            <w:tcW w:w="3062" w:type="dxa"/>
            <w:vAlign w:val="center"/>
          </w:tcPr>
          <w:p w14:paraId="6E6FF98A">
            <w:pPr>
              <w:adjustRightInd w:val="0"/>
              <w:snapToGrid w:val="0"/>
              <w:jc w:val="left"/>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可燃气体探测器距其所覆盖范围内的任一释放源的水平距离不大于5m</w:t>
            </w:r>
            <w:r>
              <w:rPr>
                <w:rFonts w:hint="eastAsia" w:ascii="宋体" w:hAnsi="宋体" w:eastAsia="宋体" w:cs="宋体"/>
                <w:color w:val="auto"/>
                <w:spacing w:val="0"/>
                <w:sz w:val="21"/>
                <w:szCs w:val="21"/>
                <w:highlight w:val="none"/>
                <w:shd w:val="clear"/>
                <w:lang w:eastAsia="zh-CN"/>
              </w:rPr>
              <w:t>。</w:t>
            </w:r>
          </w:p>
        </w:tc>
        <w:tc>
          <w:tcPr>
            <w:tcW w:w="698" w:type="dxa"/>
            <w:vAlign w:val="center"/>
          </w:tcPr>
          <w:p w14:paraId="6994CAEB">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lang w:eastAsia="zh-CN"/>
              </w:rPr>
              <w:t>符合</w:t>
            </w:r>
          </w:p>
        </w:tc>
      </w:tr>
      <w:tr w14:paraId="652D7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172CF971">
            <w:pPr>
              <w:pStyle w:val="24"/>
              <w:numPr>
                <w:ilvl w:val="0"/>
                <w:numId w:val="56"/>
              </w:numPr>
              <w:adjustRightInd w:val="0"/>
              <w:snapToGrid w:val="0"/>
              <w:ind w:left="425" w:hanging="425" w:firstLineChars="0"/>
              <w:jc w:val="center"/>
              <w:rPr>
                <w:rFonts w:hint="eastAsia" w:ascii="宋体" w:hAnsi="宋体" w:eastAsia="宋体" w:cs="宋体"/>
                <w:color w:val="auto"/>
                <w:sz w:val="21"/>
                <w:szCs w:val="21"/>
                <w:highlight w:val="none"/>
                <w:vertAlign w:val="baseline"/>
              </w:rPr>
            </w:pPr>
          </w:p>
        </w:tc>
        <w:tc>
          <w:tcPr>
            <w:tcW w:w="3248" w:type="dxa"/>
            <w:vAlign w:val="center"/>
          </w:tcPr>
          <w:p w14:paraId="25A35C16">
            <w:pPr>
              <w:adjustRightInd w:val="0"/>
              <w:snapToGrid w:val="0"/>
              <w:rPr>
                <w:rFonts w:hint="eastAsia" w:ascii="宋体" w:hAnsi="宋体" w:eastAsia="宋体" w:cs="宋体"/>
                <w:color w:val="auto"/>
                <w:kern w:val="2"/>
                <w:sz w:val="21"/>
                <w:szCs w:val="21"/>
                <w:highlight w:val="none"/>
                <w:shd w:val="clear"/>
              </w:rPr>
            </w:pPr>
            <w:r>
              <w:rPr>
                <w:rFonts w:hint="eastAsia" w:ascii="宋体" w:hAnsi="宋体" w:eastAsia="宋体" w:cs="宋体"/>
                <w:color w:val="auto"/>
                <w:kern w:val="2"/>
                <w:sz w:val="21"/>
                <w:szCs w:val="21"/>
                <w:highlight w:val="none"/>
                <w:shd w:val="clear"/>
              </w:rPr>
              <w:t>报警值设定应符合下列规定：</w:t>
            </w:r>
          </w:p>
          <w:p w14:paraId="2B655E09">
            <w:pPr>
              <w:adjustRightInd w:val="0"/>
              <w:snapToGrid w:val="0"/>
              <w:rPr>
                <w:rFonts w:hint="eastAsia" w:ascii="宋体" w:hAnsi="宋体" w:eastAsia="宋体" w:cs="宋体"/>
                <w:color w:val="auto"/>
                <w:kern w:val="2"/>
                <w:sz w:val="21"/>
                <w:szCs w:val="21"/>
                <w:highlight w:val="none"/>
                <w:shd w:val="clear"/>
              </w:rPr>
            </w:pPr>
            <w:r>
              <w:rPr>
                <w:rFonts w:hint="eastAsia" w:ascii="宋体" w:hAnsi="宋体" w:eastAsia="宋体" w:cs="宋体"/>
                <w:color w:val="auto"/>
                <w:kern w:val="2"/>
                <w:sz w:val="21"/>
                <w:szCs w:val="21"/>
                <w:highlight w:val="none"/>
                <w:shd w:val="clear"/>
              </w:rPr>
              <w:t>1可燃气体的一级报警设定值应小于或等于25%LEL。</w:t>
            </w:r>
          </w:p>
          <w:p w14:paraId="28949E96">
            <w:pPr>
              <w:adjustRightInd w:val="0"/>
              <w:snapToGrid w:val="0"/>
              <w:rPr>
                <w:rFonts w:hint="eastAsia" w:ascii="宋体" w:hAnsi="宋体" w:eastAsia="宋体" w:cs="宋体"/>
                <w:color w:val="auto"/>
                <w:kern w:val="2"/>
                <w:sz w:val="21"/>
                <w:szCs w:val="21"/>
                <w:highlight w:val="none"/>
                <w:shd w:val="clear"/>
              </w:rPr>
            </w:pPr>
            <w:r>
              <w:rPr>
                <w:rFonts w:hint="eastAsia" w:ascii="宋体" w:hAnsi="宋体" w:eastAsia="宋体" w:cs="宋体"/>
                <w:color w:val="auto"/>
                <w:kern w:val="2"/>
                <w:sz w:val="21"/>
                <w:szCs w:val="21"/>
                <w:highlight w:val="none"/>
                <w:shd w:val="clear"/>
              </w:rPr>
              <w:t>2可燃气体的二级报警设定值应小于或等于50%LEL。</w:t>
            </w:r>
          </w:p>
          <w:p w14:paraId="17B4841E">
            <w:pPr>
              <w:adjustRightInd w:val="0"/>
              <w:snapToGrid w:val="0"/>
              <w:rPr>
                <w:rFonts w:hint="eastAsia" w:ascii="宋体" w:hAnsi="宋体" w:eastAsia="宋体" w:cs="宋体"/>
                <w:color w:val="auto"/>
                <w:kern w:val="2"/>
                <w:sz w:val="21"/>
                <w:szCs w:val="21"/>
                <w:highlight w:val="none"/>
                <w:shd w:val="clear"/>
              </w:rPr>
            </w:pPr>
            <w:r>
              <w:rPr>
                <w:rFonts w:hint="eastAsia" w:ascii="宋体" w:hAnsi="宋体" w:eastAsia="宋体" w:cs="宋体"/>
                <w:color w:val="auto"/>
                <w:kern w:val="2"/>
                <w:sz w:val="21"/>
                <w:szCs w:val="21"/>
                <w:highlight w:val="none"/>
                <w:shd w:val="clear"/>
              </w:rPr>
              <w:t>3有毒气体的一级报警设定值应小于或等于100%OEL，有毒气体的二级报警设定值应小于或等于200%OEL。当现有探测器的测量范围不能满足测量要求时，有毒气体的一级报警设定值不得超过5%IDLH，有毒气体的二级报警设定值不得超过10%IDLH。</w:t>
            </w:r>
          </w:p>
          <w:p w14:paraId="7F4B606E">
            <w:pPr>
              <w:adjustRightInd w:val="0"/>
              <w:snapToGrid w:val="0"/>
              <w:rPr>
                <w:rFonts w:hint="eastAsia" w:ascii="宋体" w:hAnsi="宋体" w:eastAsia="宋体" w:cs="宋体"/>
                <w:color w:val="auto"/>
                <w:kern w:val="2"/>
                <w:sz w:val="21"/>
                <w:szCs w:val="21"/>
                <w:highlight w:val="none"/>
                <w:shd w:val="clear"/>
              </w:rPr>
            </w:pPr>
            <w:r>
              <w:rPr>
                <w:rFonts w:hint="eastAsia" w:ascii="宋体" w:hAnsi="宋体" w:eastAsia="宋体" w:cs="宋体"/>
                <w:color w:val="auto"/>
                <w:kern w:val="2"/>
                <w:sz w:val="21"/>
                <w:szCs w:val="21"/>
                <w:highlight w:val="none"/>
                <w:shd w:val="clear"/>
              </w:rPr>
              <w:t>4环境氧气的过氧报警设定值宜为23.5%VOL，环境欠氧报警设定值宜为19.5%VOL。</w:t>
            </w:r>
          </w:p>
          <w:p w14:paraId="7C230D62">
            <w:pPr>
              <w:adjustRightInd w:val="0"/>
              <w:snapToGrid w:val="0"/>
              <w:rPr>
                <w:rFonts w:hint="eastAsia" w:ascii="宋体" w:hAnsi="宋体" w:eastAsia="宋体" w:cs="宋体"/>
                <w:color w:val="auto"/>
                <w:sz w:val="21"/>
                <w:szCs w:val="21"/>
                <w:highlight w:val="none"/>
                <w:vertAlign w:val="baseline"/>
              </w:rPr>
            </w:pPr>
            <w:r>
              <w:rPr>
                <w:rFonts w:hint="eastAsia" w:ascii="宋体" w:hAnsi="宋体" w:eastAsia="宋体" w:cs="宋体"/>
                <w:color w:val="auto"/>
                <w:kern w:val="2"/>
                <w:sz w:val="21"/>
                <w:szCs w:val="21"/>
                <w:highlight w:val="none"/>
                <w:shd w:val="clear"/>
              </w:rPr>
              <w:t>5线型可燃气体测量一级报警设定值应为1LEL·m；二级报警设定值应为2LEL·m。</w:t>
            </w:r>
          </w:p>
        </w:tc>
        <w:tc>
          <w:tcPr>
            <w:tcW w:w="1880" w:type="dxa"/>
            <w:vAlign w:val="center"/>
          </w:tcPr>
          <w:p w14:paraId="19ECE338">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kern w:val="2"/>
                <w:sz w:val="21"/>
                <w:szCs w:val="21"/>
                <w:highlight w:val="none"/>
                <w:shd w:val="clear"/>
              </w:rPr>
              <w:t>GB/T50493</w:t>
            </w:r>
            <w:r>
              <w:rPr>
                <w:rFonts w:hint="eastAsia" w:ascii="宋体" w:hAnsi="宋体" w:eastAsia="宋体" w:cs="宋体"/>
                <w:color w:val="auto"/>
                <w:spacing w:val="0"/>
                <w:sz w:val="21"/>
                <w:szCs w:val="21"/>
                <w:highlight w:val="none"/>
                <w:shd w:val="clear"/>
              </w:rPr>
              <w:t>-</w:t>
            </w:r>
            <w:r>
              <w:rPr>
                <w:rFonts w:hint="eastAsia" w:ascii="宋体" w:hAnsi="宋体" w:eastAsia="宋体" w:cs="宋体"/>
                <w:color w:val="auto"/>
                <w:kern w:val="2"/>
                <w:sz w:val="21"/>
                <w:szCs w:val="21"/>
                <w:highlight w:val="none"/>
                <w:shd w:val="clear"/>
              </w:rPr>
              <w:t>2019第5.5.2</w:t>
            </w:r>
            <w:r>
              <w:rPr>
                <w:rFonts w:hint="eastAsia" w:ascii="宋体" w:hAnsi="宋体" w:eastAsia="宋体" w:cs="宋体"/>
                <w:color w:val="auto"/>
                <w:kern w:val="2"/>
                <w:sz w:val="21"/>
                <w:szCs w:val="21"/>
                <w:highlight w:val="none"/>
              </w:rPr>
              <w:t>条</w:t>
            </w:r>
          </w:p>
        </w:tc>
        <w:tc>
          <w:tcPr>
            <w:tcW w:w="3062" w:type="dxa"/>
            <w:vAlign w:val="center"/>
          </w:tcPr>
          <w:p w14:paraId="6A6A6558">
            <w:pPr>
              <w:adjustRightInd w:val="0"/>
              <w:snapToGrid w:val="0"/>
              <w:jc w:val="left"/>
              <w:rPr>
                <w:rFonts w:hint="eastAsia" w:ascii="宋体" w:hAnsi="宋体" w:eastAsia="宋体" w:cs="宋体"/>
                <w:color w:val="auto"/>
                <w:sz w:val="21"/>
                <w:szCs w:val="21"/>
                <w:highlight w:val="none"/>
                <w:vertAlign w:val="baseline"/>
              </w:rPr>
            </w:pPr>
            <w:r>
              <w:rPr>
                <w:rFonts w:hint="eastAsia" w:ascii="宋体" w:hAnsi="宋体" w:eastAsia="宋体" w:cs="宋体"/>
                <w:color w:val="auto"/>
                <w:kern w:val="2"/>
                <w:sz w:val="21"/>
                <w:szCs w:val="21"/>
                <w:highlight w:val="none"/>
                <w:shd w:val="clear"/>
              </w:rPr>
              <w:t>可燃气体的一级报警设定值等于25%LEL。二级报警设定值等于50%LEL。</w:t>
            </w:r>
          </w:p>
        </w:tc>
        <w:tc>
          <w:tcPr>
            <w:tcW w:w="698" w:type="dxa"/>
            <w:vAlign w:val="center"/>
          </w:tcPr>
          <w:p w14:paraId="4A8928B1">
            <w:pPr>
              <w:adjustRightInd w:val="0"/>
              <w:snapToGrid w:val="0"/>
              <w:jc w:val="center"/>
              <w:rPr>
                <w:rFonts w:hint="eastAsia" w:ascii="宋体" w:hAnsi="宋体" w:eastAsia="宋体" w:cs="宋体"/>
                <w:color w:val="auto"/>
                <w:sz w:val="21"/>
                <w:szCs w:val="21"/>
                <w:highlight w:val="none"/>
                <w:vertAlign w:val="baseline"/>
                <w:lang w:eastAsia="zh-CN"/>
              </w:rPr>
            </w:pPr>
            <w:r>
              <w:rPr>
                <w:rFonts w:hint="eastAsia" w:ascii="宋体" w:hAnsi="宋体" w:eastAsia="宋体" w:cs="宋体"/>
                <w:color w:val="auto"/>
                <w:sz w:val="21"/>
                <w:szCs w:val="21"/>
                <w:highlight w:val="none"/>
                <w:vertAlign w:val="baseline"/>
                <w:lang w:eastAsia="zh-CN"/>
              </w:rPr>
              <w:t>符合</w:t>
            </w:r>
          </w:p>
        </w:tc>
      </w:tr>
      <w:tr w14:paraId="68B52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4F85537D">
            <w:pPr>
              <w:pStyle w:val="24"/>
              <w:numPr>
                <w:ilvl w:val="0"/>
                <w:numId w:val="56"/>
              </w:numPr>
              <w:adjustRightInd w:val="0"/>
              <w:snapToGrid w:val="0"/>
              <w:ind w:left="425" w:hanging="425" w:firstLineChars="0"/>
              <w:jc w:val="center"/>
              <w:rPr>
                <w:rFonts w:hint="eastAsia" w:ascii="宋体" w:hAnsi="宋体" w:eastAsia="宋体" w:cs="宋体"/>
                <w:color w:val="auto"/>
                <w:sz w:val="21"/>
                <w:szCs w:val="21"/>
                <w:highlight w:val="none"/>
                <w:vertAlign w:val="baseline"/>
              </w:rPr>
            </w:pPr>
          </w:p>
        </w:tc>
        <w:tc>
          <w:tcPr>
            <w:tcW w:w="3248" w:type="dxa"/>
            <w:vAlign w:val="center"/>
          </w:tcPr>
          <w:p w14:paraId="123BB19F">
            <w:pPr>
              <w:adjustRightInd w:val="0"/>
              <w:snapToGrid w:val="0"/>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检测比空气重的可燃气体或有毒气体时，探测器的安装高度宜距地坪（或楼地板）0.3m～0.6m；检测比空气轻的可燃气体或有毒气体时，探测器的安装高度宜在释放源上方2m内。检测比空气略重的可燃气体或有毒气体时，探测器的安装高度宜在释放源下方0.5m～1m；检测比空气略轻的可燃气体或有毒气体时，探测器的安装高度宜高出释放源0.5m～1m（新增）。</w:t>
            </w:r>
          </w:p>
        </w:tc>
        <w:tc>
          <w:tcPr>
            <w:tcW w:w="1880" w:type="dxa"/>
            <w:vAlign w:val="center"/>
          </w:tcPr>
          <w:p w14:paraId="0BAEA5B8">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pacing w:val="0"/>
                <w:sz w:val="21"/>
                <w:szCs w:val="21"/>
                <w:highlight w:val="none"/>
                <w:shd w:val="clear"/>
              </w:rPr>
              <w:t>GB/T50493-2019第6.1.2条</w:t>
            </w:r>
          </w:p>
        </w:tc>
        <w:tc>
          <w:tcPr>
            <w:tcW w:w="3062" w:type="dxa"/>
            <w:vAlign w:val="center"/>
          </w:tcPr>
          <w:p w14:paraId="4F007A1E">
            <w:pPr>
              <w:adjustRightInd w:val="0"/>
              <w:snapToGrid w:val="0"/>
              <w:jc w:val="left"/>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现场</w:t>
            </w:r>
            <w:r>
              <w:rPr>
                <w:rFonts w:hint="eastAsia" w:ascii="宋体" w:hAnsi="宋体" w:eastAsia="宋体" w:cs="宋体"/>
                <w:color w:val="auto"/>
                <w:spacing w:val="0"/>
                <w:sz w:val="21"/>
                <w:szCs w:val="21"/>
                <w:highlight w:val="none"/>
                <w:shd w:val="clear"/>
              </w:rPr>
              <w:t>可燃气体探测器安装高度距地坪0.3m。</w:t>
            </w:r>
          </w:p>
        </w:tc>
        <w:tc>
          <w:tcPr>
            <w:tcW w:w="698" w:type="dxa"/>
            <w:vAlign w:val="center"/>
          </w:tcPr>
          <w:p w14:paraId="41DD1F33">
            <w:pPr>
              <w:adjustRightInd w:val="0"/>
              <w:snapToGrid w:val="0"/>
              <w:jc w:val="center"/>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符合</w:t>
            </w:r>
          </w:p>
        </w:tc>
      </w:tr>
    </w:tbl>
    <w:p w14:paraId="4DC74073">
      <w:pPr>
        <w:numPr>
          <w:ilvl w:val="0"/>
          <w:numId w:val="54"/>
        </w:numPr>
        <w:adjustRightInd w:val="0"/>
        <w:snapToGrid w:val="0"/>
        <w:spacing w:before="157" w:beforeLines="50" w:afterLines="0" w:line="360" w:lineRule="auto"/>
        <w:ind w:left="0" w:firstLine="560" w:firstLineChars="200"/>
        <w:jc w:val="left"/>
        <w:outlineLvl w:val="9"/>
        <w:rPr>
          <w:rFonts w:hint="eastAsia" w:ascii="宋体" w:hAnsi="宋体" w:cs="宋体"/>
          <w:b w:val="0"/>
          <w:color w:val="auto"/>
          <w:sz w:val="28"/>
          <w:szCs w:val="28"/>
          <w:highlight w:val="none"/>
        </w:rPr>
      </w:pPr>
      <w:bookmarkStart w:id="1797" w:name="_Toc60846644"/>
      <w:r>
        <w:rPr>
          <w:rFonts w:hint="eastAsia" w:ascii="宋体" w:hAnsi="宋体" w:cs="宋体"/>
          <w:b w:val="0"/>
          <w:color w:val="auto"/>
          <w:sz w:val="28"/>
          <w:szCs w:val="28"/>
          <w:highlight w:val="none"/>
        </w:rPr>
        <w:t>防雷、防静电系统</w:t>
      </w:r>
      <w:bookmarkEnd w:id="1743"/>
      <w:bookmarkEnd w:id="1797"/>
    </w:p>
    <w:p w14:paraId="725FA5AC">
      <w:pPr>
        <w:pStyle w:val="91"/>
        <w:adjustRightInd w:val="0"/>
        <w:snapToGrid w:val="0"/>
        <w:spacing w:line="360" w:lineRule="auto"/>
        <w:rPr>
          <w:rFonts w:hint="eastAsia" w:ascii="宋体" w:hAnsi="宋体" w:eastAsia="宋体" w:cs="宋体"/>
          <w:color w:val="auto"/>
          <w:highlight w:val="none"/>
          <w:lang w:eastAsia="zh-CN"/>
        </w:rPr>
      </w:pPr>
      <w:r>
        <w:rPr>
          <w:rFonts w:hint="eastAsia" w:ascii="宋体" w:hAnsi="宋体" w:cs="宋体"/>
          <w:color w:val="auto"/>
          <w:highlight w:val="none"/>
        </w:rPr>
        <w:t>根据《建筑设计防火规范》GB50016-2014（2018年版）</w:t>
      </w:r>
      <w:r>
        <w:rPr>
          <w:rFonts w:hint="eastAsia" w:ascii="宋体" w:hAnsi="宋体" w:cs="宋体"/>
          <w:color w:val="auto"/>
          <w:highlight w:val="none"/>
          <w:lang w:eastAsia="zh-CN"/>
        </w:rPr>
        <w:t>和</w:t>
      </w:r>
      <w:r>
        <w:rPr>
          <w:rFonts w:hint="eastAsia" w:ascii="宋体" w:hAnsi="宋体" w:cs="宋体"/>
          <w:color w:val="auto"/>
          <w:sz w:val="28"/>
          <w:szCs w:val="28"/>
          <w:highlight w:val="none"/>
        </w:rPr>
        <w:t>《浙江省雷电灾害防御和应急办法》（</w:t>
      </w:r>
      <w:r>
        <w:rPr>
          <w:rFonts w:hint="eastAsia" w:ascii="宋体" w:hAnsi="宋体" w:cs="宋体"/>
          <w:color w:val="auto"/>
          <w:highlight w:val="none"/>
        </w:rPr>
        <w:t>浙政令〔2005〕190号发布，浙政</w:t>
      </w:r>
      <w:r>
        <w:rPr>
          <w:rFonts w:hint="eastAsia" w:ascii="宋体" w:hAnsi="宋体" w:cs="宋体"/>
          <w:color w:val="auto"/>
          <w:sz w:val="28"/>
          <w:szCs w:val="28"/>
          <w:highlight w:val="none"/>
        </w:rPr>
        <w:t>令</w:t>
      </w:r>
      <w:r>
        <w:rPr>
          <w:rFonts w:hint="eastAsia" w:ascii="宋体" w:hAnsi="宋体" w:cs="宋体"/>
          <w:color w:val="auto"/>
          <w:highlight w:val="none"/>
        </w:rPr>
        <w:t>〔200</w:t>
      </w:r>
      <w:r>
        <w:rPr>
          <w:rFonts w:hint="eastAsia" w:ascii="宋体" w:hAnsi="宋体" w:cs="宋体"/>
          <w:color w:val="auto"/>
          <w:highlight w:val="none"/>
          <w:lang w:val="en-US" w:eastAsia="zh-CN"/>
        </w:rPr>
        <w:t>8</w:t>
      </w:r>
      <w:r>
        <w:rPr>
          <w:rFonts w:hint="eastAsia" w:ascii="宋体" w:hAnsi="宋体" w:cs="宋体"/>
          <w:color w:val="auto"/>
          <w:highlight w:val="none"/>
        </w:rPr>
        <w:t>〕</w:t>
      </w:r>
      <w:r>
        <w:rPr>
          <w:rFonts w:hint="eastAsia" w:ascii="宋体" w:hAnsi="宋体" w:cs="宋体"/>
          <w:color w:val="auto"/>
          <w:sz w:val="28"/>
          <w:szCs w:val="28"/>
          <w:highlight w:val="none"/>
        </w:rPr>
        <w:t>246号第一次修订</w:t>
      </w:r>
      <w:r>
        <w:rPr>
          <w:rFonts w:hint="eastAsia" w:ascii="宋体" w:hAnsi="宋体" w:cs="宋体"/>
          <w:color w:val="auto"/>
          <w:sz w:val="28"/>
          <w:szCs w:val="28"/>
          <w:highlight w:val="none"/>
          <w:lang w:eastAsia="zh-CN"/>
        </w:rPr>
        <w:t>，</w:t>
      </w:r>
      <w:r>
        <w:rPr>
          <w:rFonts w:hint="eastAsia" w:ascii="宋体" w:hAnsi="宋体" w:cs="宋体"/>
          <w:color w:val="auto"/>
          <w:highlight w:val="none"/>
        </w:rPr>
        <w:t>浙政令〔2018〕363号第二次修正</w:t>
      </w:r>
      <w:r>
        <w:rPr>
          <w:rFonts w:hint="eastAsia" w:ascii="宋体" w:hAnsi="宋体" w:cs="宋体"/>
          <w:color w:val="auto"/>
          <w:sz w:val="28"/>
          <w:szCs w:val="28"/>
          <w:highlight w:val="none"/>
        </w:rPr>
        <w:t>）</w:t>
      </w:r>
      <w:r>
        <w:rPr>
          <w:rFonts w:hint="eastAsia" w:ascii="宋体" w:hAnsi="宋体" w:cs="宋体"/>
          <w:color w:val="auto"/>
          <w:highlight w:val="none"/>
        </w:rPr>
        <w:t>对危化品仓库防雷防静电设施进行检查，危化品仓库防雷、防静电设施安全检查</w:t>
      </w:r>
      <w:r>
        <w:rPr>
          <w:rFonts w:hint="eastAsia" w:ascii="宋体" w:hAnsi="宋体" w:cs="宋体"/>
          <w:color w:val="auto"/>
          <w:highlight w:val="none"/>
          <w:lang w:eastAsia="zh-CN"/>
        </w:rPr>
        <w:t>见下表。</w:t>
      </w:r>
    </w:p>
    <w:p w14:paraId="63CB55BC">
      <w:pPr>
        <w:adjustRightInd w:val="0"/>
        <w:snapToGrid w:val="0"/>
        <w:spacing w:line="360" w:lineRule="auto"/>
        <w:ind w:firstLine="0" w:firstLineChars="0"/>
        <w:jc w:val="center"/>
        <w:rPr>
          <w:rFonts w:ascii="黑体" w:hAnsi="黑体" w:eastAsia="黑体"/>
          <w:b/>
          <w:bCs/>
          <w:color w:val="auto"/>
          <w:sz w:val="24"/>
          <w:szCs w:val="24"/>
          <w:highlight w:val="none"/>
        </w:rPr>
      </w:pPr>
      <w:r>
        <w:rPr>
          <w:rFonts w:ascii="黑体" w:hAnsi="黑体" w:eastAsia="黑体"/>
          <w:b/>
          <w:bCs/>
          <w:color w:val="auto"/>
          <w:kern w:val="0"/>
          <w:sz w:val="24"/>
          <w:szCs w:val="24"/>
          <w:highlight w:val="none"/>
        </w:rPr>
        <w:t>表5</w:t>
      </w:r>
      <w:r>
        <w:rPr>
          <w:rFonts w:hint="eastAsia" w:ascii="黑体" w:hAnsi="黑体" w:eastAsia="黑体"/>
          <w:b/>
          <w:bCs/>
          <w:color w:val="auto"/>
          <w:kern w:val="0"/>
          <w:sz w:val="24"/>
          <w:szCs w:val="24"/>
          <w:highlight w:val="none"/>
        </w:rPr>
        <w:t>.1</w:t>
      </w:r>
      <w:r>
        <w:rPr>
          <w:rFonts w:ascii="黑体" w:hAnsi="黑体" w:eastAsia="黑体"/>
          <w:b/>
          <w:bCs/>
          <w:color w:val="auto"/>
          <w:kern w:val="0"/>
          <w:sz w:val="24"/>
          <w:szCs w:val="24"/>
          <w:highlight w:val="none"/>
        </w:rPr>
        <w:t>-</w:t>
      </w:r>
      <w:r>
        <w:rPr>
          <w:rFonts w:hint="eastAsia" w:ascii="黑体" w:hAnsi="黑体" w:eastAsia="黑体"/>
          <w:b/>
          <w:bCs/>
          <w:color w:val="auto"/>
          <w:kern w:val="0"/>
          <w:sz w:val="24"/>
          <w:szCs w:val="24"/>
          <w:highlight w:val="none"/>
          <w:lang w:val="en-US" w:eastAsia="zh-CN"/>
        </w:rPr>
        <w:t xml:space="preserve">15 </w:t>
      </w:r>
      <w:r>
        <w:rPr>
          <w:rFonts w:ascii="黑体" w:hAnsi="黑体" w:eastAsia="黑体"/>
          <w:b/>
          <w:bCs/>
          <w:color w:val="auto"/>
          <w:sz w:val="24"/>
          <w:szCs w:val="24"/>
          <w:highlight w:val="none"/>
        </w:rPr>
        <w:t>防雷、防静电装置安全性评价检查表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9"/>
        <w:gridCol w:w="4575"/>
        <w:gridCol w:w="2155"/>
        <w:gridCol w:w="1457"/>
        <w:gridCol w:w="730"/>
      </w:tblGrid>
      <w:tr w14:paraId="752AC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255" w:type="pct"/>
            <w:shd w:val="clear" w:color="auto" w:fill="auto"/>
            <w:vAlign w:val="center"/>
          </w:tcPr>
          <w:p w14:paraId="726E2F79">
            <w:pPr>
              <w:pStyle w:val="365"/>
              <w:adjustRightInd w:val="0"/>
              <w:snapToGrid w:val="0"/>
              <w:rPr>
                <w:rFonts w:ascii="Times New Roman" w:hAnsi="Times New Roman"/>
                <w:b/>
                <w:bCs w:val="0"/>
                <w:color w:val="auto"/>
                <w:sz w:val="21"/>
                <w:szCs w:val="21"/>
                <w:highlight w:val="none"/>
              </w:rPr>
            </w:pPr>
            <w:r>
              <w:rPr>
                <w:rFonts w:hint="eastAsia" w:ascii="Times New Roman" w:hAnsi="Times New Roman"/>
                <w:b/>
                <w:bCs w:val="0"/>
                <w:color w:val="auto"/>
                <w:sz w:val="21"/>
                <w:szCs w:val="21"/>
                <w:highlight w:val="none"/>
              </w:rPr>
              <w:t>序号</w:t>
            </w:r>
          </w:p>
        </w:tc>
        <w:tc>
          <w:tcPr>
            <w:tcW w:w="2433" w:type="pct"/>
            <w:shd w:val="clear" w:color="auto" w:fill="auto"/>
            <w:vAlign w:val="center"/>
          </w:tcPr>
          <w:p w14:paraId="48C90386">
            <w:pPr>
              <w:pStyle w:val="365"/>
              <w:adjustRightInd w:val="0"/>
              <w:snapToGrid w:val="0"/>
              <w:rPr>
                <w:rFonts w:ascii="Times New Roman" w:hAnsi="Times New Roman"/>
                <w:b/>
                <w:bCs w:val="0"/>
                <w:color w:val="auto"/>
                <w:sz w:val="21"/>
                <w:szCs w:val="21"/>
                <w:highlight w:val="none"/>
              </w:rPr>
            </w:pPr>
            <w:r>
              <w:rPr>
                <w:rFonts w:hint="eastAsia" w:ascii="Times New Roman" w:hAnsi="Times New Roman"/>
                <w:b/>
                <w:bCs w:val="0"/>
                <w:color w:val="auto"/>
                <w:sz w:val="21"/>
                <w:szCs w:val="21"/>
                <w:highlight w:val="none"/>
              </w:rPr>
              <w:t>检查项目</w:t>
            </w:r>
          </w:p>
        </w:tc>
        <w:tc>
          <w:tcPr>
            <w:tcW w:w="1146" w:type="pct"/>
            <w:shd w:val="clear" w:color="auto" w:fill="auto"/>
            <w:vAlign w:val="center"/>
          </w:tcPr>
          <w:p w14:paraId="172BA975">
            <w:pPr>
              <w:pStyle w:val="365"/>
              <w:adjustRightInd w:val="0"/>
              <w:snapToGrid w:val="0"/>
              <w:rPr>
                <w:rFonts w:ascii="Times New Roman" w:hAnsi="Times New Roman"/>
                <w:b/>
                <w:bCs w:val="0"/>
                <w:color w:val="auto"/>
                <w:sz w:val="21"/>
                <w:szCs w:val="21"/>
                <w:highlight w:val="none"/>
              </w:rPr>
            </w:pPr>
            <w:r>
              <w:rPr>
                <w:rFonts w:hint="eastAsia" w:ascii="Times New Roman" w:hAnsi="Times New Roman"/>
                <w:b/>
                <w:bCs w:val="0"/>
                <w:color w:val="auto"/>
                <w:sz w:val="21"/>
                <w:szCs w:val="21"/>
                <w:highlight w:val="none"/>
              </w:rPr>
              <w:t>检查依据</w:t>
            </w:r>
          </w:p>
        </w:tc>
        <w:tc>
          <w:tcPr>
            <w:tcW w:w="775" w:type="pct"/>
            <w:shd w:val="clear" w:color="auto" w:fill="auto"/>
            <w:vAlign w:val="center"/>
          </w:tcPr>
          <w:p w14:paraId="3477833D">
            <w:pPr>
              <w:pStyle w:val="365"/>
              <w:adjustRightInd w:val="0"/>
              <w:snapToGrid w:val="0"/>
              <w:rPr>
                <w:rFonts w:ascii="Times New Roman" w:hAnsi="Times New Roman"/>
                <w:b/>
                <w:bCs w:val="0"/>
                <w:color w:val="auto"/>
                <w:sz w:val="21"/>
                <w:szCs w:val="21"/>
                <w:highlight w:val="none"/>
              </w:rPr>
            </w:pPr>
            <w:r>
              <w:rPr>
                <w:rFonts w:hint="eastAsia" w:ascii="Times New Roman" w:hAnsi="Times New Roman"/>
                <w:b/>
                <w:bCs w:val="0"/>
                <w:color w:val="auto"/>
                <w:sz w:val="21"/>
                <w:szCs w:val="21"/>
                <w:highlight w:val="none"/>
              </w:rPr>
              <w:t>实际情况</w:t>
            </w:r>
          </w:p>
        </w:tc>
        <w:tc>
          <w:tcPr>
            <w:tcW w:w="388" w:type="pct"/>
            <w:shd w:val="clear" w:color="auto" w:fill="auto"/>
            <w:vAlign w:val="center"/>
          </w:tcPr>
          <w:p w14:paraId="1719C773">
            <w:pPr>
              <w:pStyle w:val="365"/>
              <w:adjustRightInd w:val="0"/>
              <w:snapToGrid w:val="0"/>
              <w:rPr>
                <w:rFonts w:ascii="Times New Roman" w:hAnsi="Times New Roman"/>
                <w:b/>
                <w:bCs w:val="0"/>
                <w:color w:val="auto"/>
                <w:sz w:val="21"/>
                <w:szCs w:val="21"/>
                <w:highlight w:val="none"/>
              </w:rPr>
            </w:pPr>
            <w:r>
              <w:rPr>
                <w:rFonts w:hint="eastAsia" w:ascii="Times New Roman" w:hAnsi="Times New Roman"/>
                <w:b/>
                <w:bCs w:val="0"/>
                <w:color w:val="auto"/>
                <w:sz w:val="21"/>
                <w:szCs w:val="21"/>
                <w:highlight w:val="none"/>
              </w:rPr>
              <w:t>检查结果</w:t>
            </w:r>
          </w:p>
        </w:tc>
      </w:tr>
      <w:tr w14:paraId="42311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55" w:type="pct"/>
            <w:shd w:val="clear" w:color="auto" w:fill="auto"/>
            <w:vAlign w:val="center"/>
          </w:tcPr>
          <w:p w14:paraId="011C2207">
            <w:pPr>
              <w:numPr>
                <w:ilvl w:val="0"/>
                <w:numId w:val="57"/>
              </w:numPr>
              <w:adjustRightInd w:val="0"/>
              <w:snapToGrid w:val="0"/>
              <w:ind w:left="425" w:hanging="425"/>
              <w:jc w:val="center"/>
              <w:rPr>
                <w:rFonts w:hint="eastAsia" w:ascii="宋体" w:hAnsi="宋体" w:eastAsia="宋体" w:cs="宋体"/>
                <w:color w:val="auto"/>
                <w:sz w:val="21"/>
                <w:szCs w:val="21"/>
                <w:highlight w:val="none"/>
              </w:rPr>
            </w:pPr>
          </w:p>
        </w:tc>
        <w:tc>
          <w:tcPr>
            <w:tcW w:w="2433" w:type="pct"/>
            <w:shd w:val="clear" w:color="auto" w:fill="auto"/>
            <w:vAlign w:val="center"/>
          </w:tcPr>
          <w:p w14:paraId="040C091B">
            <w:pPr>
              <w:adjustRightInd w:val="0"/>
              <w:snapToGrid w:val="0"/>
              <w:jc w:val="left"/>
              <w:rPr>
                <w:rFonts w:hint="eastAsia" w:ascii="宋体" w:hAnsi="宋体" w:eastAsia="宋体" w:cs="宋体"/>
                <w:bCs/>
                <w:snapToGrid w:val="0"/>
                <w:color w:val="auto"/>
                <w:kern w:val="18"/>
                <w:sz w:val="21"/>
                <w:szCs w:val="21"/>
                <w:highlight w:val="none"/>
                <w:u w:color="FF0000"/>
              </w:rPr>
            </w:pPr>
            <w:r>
              <w:rPr>
                <w:rFonts w:hint="eastAsia" w:ascii="宋体" w:hAnsi="宋体" w:eastAsia="宋体" w:cs="宋体"/>
                <w:bCs/>
                <w:snapToGrid w:val="0"/>
                <w:color w:val="auto"/>
                <w:kern w:val="18"/>
                <w:sz w:val="21"/>
                <w:szCs w:val="21"/>
                <w:highlight w:val="none"/>
                <w:u w:color="FF0000"/>
              </w:rPr>
              <w:t>安装雷电防御装置的单位应当对雷电防御装置进行经常性的维护、保养，并委托雷电防御装置检测机构实施定期安全检测。</w:t>
            </w:r>
          </w:p>
          <w:p w14:paraId="439D6963">
            <w:p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bCs/>
                <w:snapToGrid w:val="0"/>
                <w:color w:val="auto"/>
                <w:kern w:val="18"/>
                <w:sz w:val="21"/>
                <w:szCs w:val="21"/>
                <w:highlight w:val="none"/>
                <w:u w:color="FF0000"/>
              </w:rPr>
              <w:t>易燃易爆场所的雷电防御装置应当每半年检测一次，其他雷电防御装置每年检测一次。</w:t>
            </w:r>
          </w:p>
        </w:tc>
        <w:tc>
          <w:tcPr>
            <w:tcW w:w="1146" w:type="pct"/>
            <w:shd w:val="clear" w:color="auto" w:fill="auto"/>
            <w:vAlign w:val="center"/>
          </w:tcPr>
          <w:p w14:paraId="6E1D9610">
            <w:pPr>
              <w:pStyle w:val="365"/>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《浙江省雷电灾害防御和应急办法》</w:t>
            </w:r>
            <w:r>
              <w:rPr>
                <w:rFonts w:hint="eastAsia" w:ascii="宋体" w:hAnsi="宋体" w:eastAsia="宋体" w:cs="宋体"/>
                <w:bCs/>
                <w:snapToGrid w:val="0"/>
                <w:color w:val="auto"/>
                <w:kern w:val="18"/>
                <w:sz w:val="21"/>
                <w:szCs w:val="21"/>
                <w:highlight w:val="none"/>
                <w:u w:color="FF0000"/>
              </w:rPr>
              <w:t>第十七条</w:t>
            </w:r>
          </w:p>
        </w:tc>
        <w:tc>
          <w:tcPr>
            <w:tcW w:w="775" w:type="pct"/>
            <w:shd w:val="clear" w:color="auto" w:fill="auto"/>
            <w:vAlign w:val="center"/>
          </w:tcPr>
          <w:p w14:paraId="53AF7E26">
            <w:pPr>
              <w:pStyle w:val="365"/>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危化品仓库防雷检测</w:t>
            </w:r>
            <w:r>
              <w:rPr>
                <w:rFonts w:hint="eastAsia" w:ascii="宋体" w:hAnsi="宋体" w:eastAsia="宋体" w:cs="宋体"/>
                <w:color w:val="auto"/>
                <w:sz w:val="21"/>
                <w:szCs w:val="21"/>
                <w:highlight w:val="none"/>
                <w:lang w:eastAsia="zh-CN"/>
              </w:rPr>
              <w:t>合格（检测时间</w:t>
            </w:r>
            <w:r>
              <w:rPr>
                <w:rFonts w:hint="eastAsia" w:ascii="宋体" w:hAnsi="宋体" w:eastAsia="宋体" w:cs="宋体"/>
                <w:color w:val="auto"/>
                <w:sz w:val="21"/>
                <w:szCs w:val="21"/>
                <w:highlight w:val="none"/>
                <w:lang w:val="en-US" w:eastAsia="zh-CN"/>
              </w:rPr>
              <w:t>2023年10月10日</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tc>
        <w:tc>
          <w:tcPr>
            <w:tcW w:w="388" w:type="pct"/>
            <w:shd w:val="clear" w:color="auto" w:fill="auto"/>
            <w:vAlign w:val="center"/>
          </w:tcPr>
          <w:p w14:paraId="3B0DBD8F">
            <w:pPr>
              <w:pStyle w:val="365"/>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p>
        </w:tc>
      </w:tr>
      <w:tr w14:paraId="7F8A0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55" w:type="pct"/>
            <w:shd w:val="clear" w:color="auto" w:fill="auto"/>
            <w:vAlign w:val="center"/>
          </w:tcPr>
          <w:p w14:paraId="6460A017">
            <w:pPr>
              <w:numPr>
                <w:ilvl w:val="0"/>
                <w:numId w:val="57"/>
              </w:numPr>
              <w:adjustRightInd w:val="0"/>
              <w:snapToGrid w:val="0"/>
              <w:ind w:left="425" w:hanging="425"/>
              <w:jc w:val="center"/>
              <w:rPr>
                <w:color w:val="auto"/>
                <w:sz w:val="21"/>
                <w:szCs w:val="21"/>
                <w:highlight w:val="none"/>
              </w:rPr>
            </w:pPr>
          </w:p>
        </w:tc>
        <w:tc>
          <w:tcPr>
            <w:tcW w:w="2433" w:type="pct"/>
            <w:shd w:val="clear" w:color="auto" w:fill="auto"/>
            <w:vAlign w:val="center"/>
          </w:tcPr>
          <w:p w14:paraId="16292242">
            <w:pPr>
              <w:pStyle w:val="5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Times New Roman" w:hAnsi="Times New Roman"/>
                <w:color w:val="auto"/>
                <w:kern w:val="0"/>
                <w:sz w:val="21"/>
                <w:szCs w:val="21"/>
                <w:highlight w:val="none"/>
              </w:rPr>
            </w:pPr>
            <w:r>
              <w:rPr>
                <w:rFonts w:hint="eastAsia" w:ascii="宋体" w:hAnsi="宋体" w:eastAsia="宋体" w:cs="宋体"/>
                <w:b w:val="0"/>
                <w:bCs w:val="0"/>
                <w:i w:val="0"/>
                <w:iCs w:val="0"/>
                <w:caps w:val="0"/>
                <w:color w:val="auto"/>
                <w:spacing w:val="0"/>
                <w:sz w:val="21"/>
                <w:szCs w:val="21"/>
                <w:highlight w:val="none"/>
                <w:shd w:val="clear" w:fill="FFFFFF"/>
              </w:rPr>
              <w:t>在有可燃气体、蒸气、粉尘、纤维爆炸危险性的环境内，可能产生静电的设备和管道均应具有防止发生静电或静电积累的性能。</w:t>
            </w:r>
          </w:p>
        </w:tc>
        <w:tc>
          <w:tcPr>
            <w:tcW w:w="1146" w:type="pct"/>
            <w:shd w:val="clear" w:color="auto" w:fill="auto"/>
            <w:vAlign w:val="center"/>
          </w:tcPr>
          <w:p w14:paraId="2A808ECD">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olor w:val="auto"/>
                <w:sz w:val="21"/>
                <w:szCs w:val="21"/>
                <w:highlight w:val="none"/>
              </w:rPr>
            </w:pPr>
            <w:r>
              <w:rPr>
                <w:rFonts w:hint="eastAsia" w:ascii="宋体" w:hAnsi="宋体" w:cs="宋体"/>
                <w:color w:val="auto"/>
                <w:kern w:val="0"/>
                <w:sz w:val="21"/>
                <w:szCs w:val="21"/>
                <w:highlight w:val="none"/>
              </w:rPr>
              <w:t>GB50016-2014（2018年版）</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i w:val="0"/>
                <w:iCs w:val="0"/>
                <w:caps w:val="0"/>
                <w:color w:val="auto"/>
                <w:spacing w:val="0"/>
                <w:sz w:val="21"/>
                <w:szCs w:val="21"/>
                <w:highlight w:val="none"/>
                <w:shd w:val="clear" w:fill="FFFFFF"/>
              </w:rPr>
              <w:t>2.1.8</w:t>
            </w:r>
            <w:r>
              <w:rPr>
                <w:rFonts w:hint="eastAsia" w:ascii="宋体" w:hAnsi="宋体" w:eastAsia="宋体" w:cs="宋体"/>
                <w:b w:val="0"/>
                <w:bCs w:val="0"/>
                <w:color w:val="auto"/>
                <w:kern w:val="0"/>
                <w:sz w:val="21"/>
                <w:szCs w:val="21"/>
                <w:highlight w:val="none"/>
                <w:lang w:eastAsia="zh-CN"/>
              </w:rPr>
              <w:t>条</w:t>
            </w:r>
          </w:p>
        </w:tc>
        <w:tc>
          <w:tcPr>
            <w:tcW w:w="775" w:type="pct"/>
            <w:shd w:val="clear" w:color="auto" w:fill="auto"/>
            <w:vAlign w:val="center"/>
          </w:tcPr>
          <w:p w14:paraId="20C523BD">
            <w:pPr>
              <w:pStyle w:val="365"/>
              <w:adjustRightInd w:val="0"/>
              <w:snapToGrid w:val="0"/>
              <w:jc w:val="left"/>
              <w:rPr>
                <w:rFonts w:hint="eastAsia" w:ascii="Times New Roman" w:hAnsi="Times New Roman"/>
                <w:color w:val="auto"/>
                <w:sz w:val="21"/>
                <w:szCs w:val="21"/>
                <w:highlight w:val="none"/>
              </w:rPr>
            </w:pPr>
            <w:r>
              <w:rPr>
                <w:rFonts w:hint="eastAsia" w:ascii="Times New Roman" w:hAnsi="Times New Roman"/>
                <w:color w:val="auto"/>
                <w:sz w:val="21"/>
                <w:szCs w:val="21"/>
                <w:highlight w:val="none"/>
                <w:lang w:eastAsia="zh-CN"/>
              </w:rPr>
              <w:t>轴流排风机设置了防静电接地。</w:t>
            </w:r>
          </w:p>
        </w:tc>
        <w:tc>
          <w:tcPr>
            <w:tcW w:w="388" w:type="pct"/>
            <w:shd w:val="clear" w:color="auto" w:fill="auto"/>
            <w:vAlign w:val="center"/>
          </w:tcPr>
          <w:p w14:paraId="6A3FF434">
            <w:pPr>
              <w:pStyle w:val="365"/>
              <w:adjustRightInd w:val="0"/>
              <w:snapToGrid w:val="0"/>
              <w:rPr>
                <w:rFonts w:hint="eastAsia" w:eastAsia="宋体"/>
                <w:bCs w:val="0"/>
                <w:color w:val="auto"/>
                <w:sz w:val="21"/>
                <w:szCs w:val="21"/>
                <w:highlight w:val="none"/>
                <w:lang w:eastAsia="zh-CN"/>
              </w:rPr>
            </w:pPr>
            <w:r>
              <w:rPr>
                <w:rFonts w:hint="eastAsia"/>
                <w:bCs w:val="0"/>
                <w:color w:val="auto"/>
                <w:sz w:val="21"/>
                <w:szCs w:val="21"/>
                <w:highlight w:val="none"/>
                <w:lang w:eastAsia="zh-CN"/>
              </w:rPr>
              <w:t>符合</w:t>
            </w:r>
          </w:p>
        </w:tc>
      </w:tr>
    </w:tbl>
    <w:p w14:paraId="5B32CF93">
      <w:pPr>
        <w:adjustRightInd w:val="0"/>
        <w:snapToGrid w:val="0"/>
        <w:spacing w:before="157" w:beforeLines="50" w:line="360" w:lineRule="auto"/>
        <w:ind w:firstLine="560" w:firstLineChars="200"/>
        <w:jc w:val="left"/>
        <w:rPr>
          <w:rFonts w:hint="eastAsia" w:ascii="宋体" w:hAnsi="宋体" w:eastAsia="宋体" w:cs="宋体"/>
          <w:bCs/>
          <w:color w:val="auto"/>
          <w:sz w:val="28"/>
          <w:szCs w:val="28"/>
          <w:highlight w:val="none"/>
          <w:lang w:eastAsia="zh-CN"/>
        </w:rPr>
      </w:pPr>
      <w:r>
        <w:rPr>
          <w:rFonts w:hint="eastAsia" w:ascii="宋体" w:hAnsi="宋体" w:cs="宋体"/>
          <w:bCs/>
          <w:color w:val="auto"/>
          <w:sz w:val="28"/>
          <w:szCs w:val="28"/>
          <w:highlight w:val="none"/>
          <w:lang w:eastAsia="zh-CN"/>
        </w:rPr>
        <w:t>评价</w:t>
      </w:r>
      <w:r>
        <w:rPr>
          <w:rFonts w:hint="eastAsia" w:ascii="宋体" w:hAnsi="宋体" w:cs="宋体"/>
          <w:bCs/>
          <w:color w:val="auto"/>
          <w:sz w:val="28"/>
          <w:szCs w:val="28"/>
          <w:highlight w:val="none"/>
        </w:rPr>
        <w:t>小结</w:t>
      </w:r>
      <w:r>
        <w:rPr>
          <w:rFonts w:hint="eastAsia" w:ascii="宋体" w:hAnsi="宋体" w:cs="宋体"/>
          <w:bCs/>
          <w:color w:val="auto"/>
          <w:sz w:val="28"/>
          <w:szCs w:val="28"/>
          <w:highlight w:val="none"/>
          <w:lang w:eastAsia="zh-CN"/>
        </w:rPr>
        <w:t>，经检查，存在的问题：</w:t>
      </w:r>
      <w:r>
        <w:rPr>
          <w:rFonts w:hint="eastAsia" w:ascii="宋体" w:hAnsi="宋体" w:eastAsia="宋体" w:cs="宋体"/>
          <w:bCs/>
          <w:color w:val="auto"/>
          <w:sz w:val="28"/>
          <w:szCs w:val="28"/>
          <w:highlight w:val="none"/>
          <w:lang w:eastAsia="zh-CN"/>
        </w:rPr>
        <w:t>危化品仓库防爆电气未定期检查。</w:t>
      </w:r>
    </w:p>
    <w:p w14:paraId="23442967">
      <w:pPr>
        <w:adjustRightInd w:val="0"/>
        <w:snapToGrid w:val="0"/>
        <w:spacing w:beforeLines="0" w:afterLines="0" w:line="360" w:lineRule="auto"/>
        <w:outlineLvl w:val="2"/>
        <w:rPr>
          <w:rFonts w:hint="eastAsia" w:ascii="黑体" w:hAnsi="黑体" w:eastAsia="黑体" w:cs="黑体"/>
          <w:b/>
          <w:color w:val="auto"/>
          <w:sz w:val="28"/>
          <w:szCs w:val="28"/>
          <w:highlight w:val="none"/>
        </w:rPr>
      </w:pPr>
      <w:bookmarkStart w:id="1798" w:name="_Toc467841012"/>
      <w:bookmarkStart w:id="1799" w:name="_Toc390928847"/>
      <w:bookmarkStart w:id="1800" w:name="_Toc498075625"/>
      <w:bookmarkStart w:id="1801" w:name="_Toc430695412"/>
      <w:bookmarkStart w:id="1802" w:name="_Toc464548608"/>
      <w:bookmarkStart w:id="1803" w:name="_Toc464548906"/>
      <w:bookmarkStart w:id="1804" w:name="_Toc428532357"/>
      <w:bookmarkStart w:id="1805" w:name="_Toc464548757"/>
      <w:bookmarkStart w:id="1806" w:name="_Toc464548453"/>
      <w:bookmarkStart w:id="1807" w:name="_Toc422927231"/>
      <w:bookmarkStart w:id="1808" w:name="_Toc8999"/>
      <w:bookmarkStart w:id="1809" w:name="_Toc18801"/>
      <w:bookmarkStart w:id="1810" w:name="_Toc23730"/>
      <w:bookmarkStart w:id="1811" w:name="_Toc24776"/>
      <w:bookmarkStart w:id="1812" w:name="_Toc4252"/>
      <w:bookmarkStart w:id="1813" w:name="_Toc27892"/>
      <w:bookmarkStart w:id="1814" w:name="_Toc16748"/>
      <w:bookmarkStart w:id="1815" w:name="_Toc22676"/>
      <w:bookmarkStart w:id="1816" w:name="_Toc30419"/>
      <w:bookmarkStart w:id="1817" w:name="_Toc60846645"/>
      <w:bookmarkStart w:id="1818" w:name="_Toc7937"/>
      <w:bookmarkStart w:id="1819" w:name="_Toc7552"/>
      <w:bookmarkStart w:id="1820" w:name="_Toc23482"/>
      <w:bookmarkStart w:id="1821" w:name="_Toc17530"/>
      <w:bookmarkStart w:id="1822" w:name="_Toc11217"/>
      <w:bookmarkStart w:id="1823" w:name="_Toc5877"/>
      <w:bookmarkStart w:id="1824" w:name="_Toc27121"/>
      <w:bookmarkStart w:id="1825" w:name="_Toc22222"/>
      <w:r>
        <w:rPr>
          <w:rFonts w:hint="eastAsia" w:ascii="黑体" w:hAnsi="黑体" w:eastAsia="黑体" w:cs="黑体"/>
          <w:b/>
          <w:color w:val="auto"/>
          <w:sz w:val="28"/>
          <w:szCs w:val="28"/>
          <w:highlight w:val="none"/>
        </w:rPr>
        <w:t>5.1.</w:t>
      </w:r>
      <w:r>
        <w:rPr>
          <w:rFonts w:hint="eastAsia" w:ascii="黑体" w:hAnsi="黑体" w:eastAsia="黑体" w:cs="黑体"/>
          <w:b/>
          <w:color w:val="auto"/>
          <w:sz w:val="28"/>
          <w:szCs w:val="28"/>
          <w:highlight w:val="none"/>
          <w:lang w:val="en-US" w:eastAsia="zh-CN"/>
        </w:rPr>
        <w:t>8</w:t>
      </w:r>
      <w:r>
        <w:rPr>
          <w:rFonts w:hint="eastAsia" w:ascii="黑体" w:hAnsi="黑体" w:eastAsia="黑体" w:cs="黑体"/>
          <w:b/>
          <w:color w:val="auto"/>
          <w:sz w:val="28"/>
          <w:szCs w:val="28"/>
          <w:highlight w:val="none"/>
        </w:rPr>
        <w:t xml:space="preserve"> </w:t>
      </w:r>
      <w:bookmarkEnd w:id="1798"/>
      <w:bookmarkEnd w:id="1799"/>
      <w:bookmarkEnd w:id="1800"/>
      <w:bookmarkEnd w:id="1801"/>
      <w:bookmarkEnd w:id="1802"/>
      <w:bookmarkEnd w:id="1803"/>
      <w:bookmarkEnd w:id="1804"/>
      <w:bookmarkEnd w:id="1805"/>
      <w:bookmarkEnd w:id="1806"/>
      <w:bookmarkEnd w:id="1807"/>
      <w:r>
        <w:rPr>
          <w:rFonts w:hint="eastAsia" w:ascii="黑体" w:hAnsi="黑体" w:eastAsia="黑体" w:cs="黑体"/>
          <w:b/>
          <w:color w:val="auto"/>
          <w:sz w:val="28"/>
          <w:szCs w:val="28"/>
          <w:highlight w:val="none"/>
        </w:rPr>
        <w:t>消防设施评价</w:t>
      </w:r>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p>
    <w:p w14:paraId="69D987E6">
      <w:pPr>
        <w:adjustRightInd w:val="0"/>
        <w:snapToGrid w:val="0"/>
        <w:spacing w:line="360" w:lineRule="auto"/>
        <w:ind w:firstLine="560" w:firstLineChars="200"/>
        <w:jc w:val="left"/>
        <w:rPr>
          <w:rFonts w:hint="eastAsia" w:ascii="宋体" w:hAnsi="宋体" w:cs="宋体"/>
          <w:bCs/>
          <w:color w:val="auto"/>
          <w:sz w:val="28"/>
          <w:szCs w:val="28"/>
          <w:highlight w:val="none"/>
        </w:rPr>
      </w:pPr>
      <w:r>
        <w:rPr>
          <w:rFonts w:hint="eastAsia" w:ascii="宋体" w:hAnsi="宋体" w:cs="宋体"/>
          <w:bCs/>
          <w:color w:val="auto"/>
          <w:sz w:val="28"/>
          <w:szCs w:val="28"/>
          <w:highlight w:val="none"/>
        </w:rPr>
        <w:t>依据《中华人民共和国消防法》</w:t>
      </w:r>
      <w:r>
        <w:rPr>
          <w:rFonts w:hint="eastAsia" w:ascii="宋体" w:hAnsi="宋体" w:cs="宋体"/>
          <w:bCs/>
          <w:color w:val="auto"/>
          <w:sz w:val="28"/>
          <w:szCs w:val="28"/>
          <w:highlight w:val="none"/>
          <w:lang w:eastAsia="zh-CN"/>
        </w:rPr>
        <w:t>（</w:t>
      </w:r>
      <w:r>
        <w:rPr>
          <w:rFonts w:hint="eastAsia" w:ascii="宋体" w:hAnsi="宋体" w:eastAsia="宋体" w:cs="宋体"/>
          <w:color w:val="auto"/>
          <w:kern w:val="0"/>
          <w:sz w:val="28"/>
          <w:szCs w:val="28"/>
          <w:highlight w:val="none"/>
        </w:rPr>
        <w:t>主席令</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2008</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6号</w:t>
      </w:r>
      <w:r>
        <w:rPr>
          <w:rFonts w:hint="eastAsia" w:ascii="宋体" w:hAnsi="宋体" w:cs="宋体"/>
          <w:color w:val="auto"/>
          <w:kern w:val="0"/>
          <w:sz w:val="28"/>
          <w:szCs w:val="28"/>
          <w:highlight w:val="none"/>
          <w:lang w:eastAsia="zh-CN"/>
        </w:rPr>
        <w:t>发布</w:t>
      </w:r>
      <w:r>
        <w:rPr>
          <w:rFonts w:hint="eastAsia" w:ascii="宋体" w:hAnsi="宋体" w:eastAsia="宋体" w:cs="宋体"/>
          <w:color w:val="auto"/>
          <w:kern w:val="0"/>
          <w:sz w:val="28"/>
          <w:szCs w:val="28"/>
          <w:highlight w:val="none"/>
        </w:rPr>
        <w:t>，主席令</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2019</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29号修改，主席令</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2021</w:t>
      </w:r>
      <w:r>
        <w:rPr>
          <w:rFonts w:hint="eastAsia" w:ascii="宋体" w:hAnsi="宋体"/>
          <w:color w:val="auto"/>
          <w:sz w:val="28"/>
          <w:szCs w:val="28"/>
          <w:highlight w:val="none"/>
        </w:rPr>
        <w:t>〕</w:t>
      </w:r>
      <w:r>
        <w:rPr>
          <w:rFonts w:hint="eastAsia" w:ascii="宋体" w:hAnsi="宋体" w:eastAsia="宋体" w:cs="宋体"/>
          <w:color w:val="auto"/>
          <w:kern w:val="0"/>
          <w:sz w:val="28"/>
          <w:szCs w:val="28"/>
          <w:highlight w:val="none"/>
        </w:rPr>
        <w:t>81号修改</w:t>
      </w:r>
      <w:r>
        <w:rPr>
          <w:rFonts w:hint="eastAsia" w:ascii="宋体" w:hAnsi="宋体" w:cs="宋体"/>
          <w:bCs/>
          <w:color w:val="auto"/>
          <w:sz w:val="28"/>
          <w:szCs w:val="28"/>
          <w:highlight w:val="none"/>
          <w:lang w:eastAsia="zh-CN"/>
        </w:rPr>
        <w:t>）</w:t>
      </w:r>
      <w:r>
        <w:rPr>
          <w:rFonts w:ascii="宋体" w:hAnsi="宋体" w:cs="宋体"/>
          <w:bCs/>
          <w:color w:val="auto"/>
          <w:sz w:val="28"/>
          <w:szCs w:val="28"/>
          <w:highlight w:val="none"/>
        </w:rPr>
        <w:t>、</w:t>
      </w:r>
      <w:r>
        <w:rPr>
          <w:rFonts w:hint="eastAsia" w:ascii="宋体" w:hAnsi="宋体" w:eastAsia="宋体" w:cs="宋体"/>
          <w:color w:val="auto"/>
          <w:kern w:val="0"/>
          <w:sz w:val="28"/>
          <w:szCs w:val="28"/>
          <w:highlight w:val="none"/>
        </w:rPr>
        <w:t>《建筑设计防火规范》GB50016-2014（2018版）、</w:t>
      </w:r>
      <w:r>
        <w:rPr>
          <w:rFonts w:ascii="宋体" w:hAnsi="宋体" w:cs="宋体"/>
          <w:bCs/>
          <w:color w:val="auto"/>
          <w:sz w:val="28"/>
          <w:szCs w:val="28"/>
          <w:highlight w:val="none"/>
        </w:rPr>
        <w:t>《建筑灭火器配置设计规范》GB50140-2005</w:t>
      </w:r>
      <w:r>
        <w:rPr>
          <w:rFonts w:hint="eastAsia" w:ascii="宋体" w:hAnsi="宋体" w:cs="宋体"/>
          <w:bCs/>
          <w:color w:val="auto"/>
          <w:sz w:val="28"/>
          <w:szCs w:val="28"/>
          <w:highlight w:val="none"/>
          <w:lang w:eastAsia="zh-CN"/>
        </w:rPr>
        <w:t>、《消防给水及消火栓系统技术规范》GB50974-2014、《消防设施通用规范》GB55036-2022</w:t>
      </w:r>
      <w:r>
        <w:rPr>
          <w:rFonts w:hint="eastAsia" w:ascii="宋体" w:hAnsi="宋体" w:cs="宋体"/>
          <w:bCs/>
          <w:color w:val="auto"/>
          <w:sz w:val="28"/>
          <w:szCs w:val="28"/>
          <w:highlight w:val="none"/>
        </w:rPr>
        <w:t>对</w:t>
      </w:r>
      <w:r>
        <w:rPr>
          <w:rFonts w:hint="eastAsia" w:ascii="宋体" w:hAnsi="宋体" w:cs="宋体"/>
          <w:bCs/>
          <w:color w:val="auto"/>
          <w:sz w:val="28"/>
          <w:szCs w:val="28"/>
          <w:highlight w:val="none"/>
          <w:lang w:val="en-US" w:eastAsia="zh-CN"/>
        </w:rPr>
        <w:t>危化品仓库的消防设施</w:t>
      </w:r>
      <w:r>
        <w:rPr>
          <w:rFonts w:hint="eastAsia" w:ascii="宋体" w:hAnsi="宋体" w:cs="宋体"/>
          <w:bCs/>
          <w:color w:val="auto"/>
          <w:sz w:val="28"/>
          <w:szCs w:val="28"/>
          <w:highlight w:val="none"/>
        </w:rPr>
        <w:t>进行检查，检查情况见</w:t>
      </w:r>
      <w:r>
        <w:rPr>
          <w:rFonts w:hint="eastAsia" w:ascii="宋体" w:hAnsi="宋体" w:cs="宋体"/>
          <w:bCs/>
          <w:color w:val="auto"/>
          <w:sz w:val="28"/>
          <w:szCs w:val="28"/>
          <w:highlight w:val="none"/>
          <w:lang w:eastAsia="zh-CN"/>
        </w:rPr>
        <w:t>下表</w:t>
      </w:r>
      <w:r>
        <w:rPr>
          <w:rFonts w:hint="eastAsia" w:ascii="宋体" w:hAnsi="宋体" w:cs="宋体"/>
          <w:bCs/>
          <w:color w:val="auto"/>
          <w:sz w:val="28"/>
          <w:szCs w:val="28"/>
          <w:highlight w:val="none"/>
        </w:rPr>
        <w:t>。</w:t>
      </w:r>
    </w:p>
    <w:p w14:paraId="754401D9">
      <w:pPr>
        <w:pStyle w:val="136"/>
        <w:adjustRightInd w:val="0"/>
        <w:rPr>
          <w:bCs/>
          <w:color w:val="auto"/>
          <w:sz w:val="24"/>
          <w:szCs w:val="24"/>
          <w:highlight w:val="none"/>
        </w:rPr>
      </w:pPr>
      <w:r>
        <w:rPr>
          <w:rFonts w:hint="eastAsia"/>
          <w:color w:val="auto"/>
          <w:sz w:val="24"/>
          <w:szCs w:val="24"/>
          <w:highlight w:val="none"/>
        </w:rPr>
        <w:t>表</w:t>
      </w:r>
      <w:r>
        <w:rPr>
          <w:bCs/>
          <w:color w:val="auto"/>
          <w:sz w:val="24"/>
          <w:szCs w:val="24"/>
          <w:highlight w:val="none"/>
        </w:rPr>
        <w:t>5.1-</w:t>
      </w:r>
      <w:r>
        <w:rPr>
          <w:rFonts w:hint="eastAsia"/>
          <w:bCs/>
          <w:color w:val="auto"/>
          <w:sz w:val="24"/>
          <w:szCs w:val="24"/>
          <w:highlight w:val="none"/>
          <w:lang w:val="en-US" w:eastAsia="zh-CN"/>
        </w:rPr>
        <w:t>16</w:t>
      </w:r>
      <w:r>
        <w:rPr>
          <w:color w:val="auto"/>
          <w:sz w:val="24"/>
          <w:szCs w:val="24"/>
          <w:highlight w:val="none"/>
        </w:rPr>
        <w:t xml:space="preserve"> 消防设施安全检查表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25"/>
        <w:gridCol w:w="3888"/>
        <w:gridCol w:w="1443"/>
        <w:gridCol w:w="2792"/>
        <w:gridCol w:w="588"/>
      </w:tblGrid>
      <w:tr w14:paraId="36878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blHeader/>
          <w:jc w:val="center"/>
        </w:trPr>
        <w:tc>
          <w:tcPr>
            <w:tcW w:w="284" w:type="pct"/>
            <w:noWrap w:val="0"/>
            <w:vAlign w:val="center"/>
          </w:tcPr>
          <w:p w14:paraId="647C0254">
            <w:pPr>
              <w:adjustRightInd w:val="0"/>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2104" w:type="pct"/>
            <w:noWrap w:val="0"/>
            <w:vAlign w:val="center"/>
          </w:tcPr>
          <w:p w14:paraId="71820F06">
            <w:pPr>
              <w:adjustRightInd w:val="0"/>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检查项目及内容</w:t>
            </w:r>
          </w:p>
        </w:tc>
        <w:tc>
          <w:tcPr>
            <w:tcW w:w="781" w:type="pct"/>
            <w:noWrap w:val="0"/>
            <w:vAlign w:val="center"/>
          </w:tcPr>
          <w:p w14:paraId="5629B77B">
            <w:pPr>
              <w:adjustRightInd w:val="0"/>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依据法规</w:t>
            </w:r>
          </w:p>
        </w:tc>
        <w:tc>
          <w:tcPr>
            <w:tcW w:w="1511" w:type="pct"/>
            <w:noWrap w:val="0"/>
            <w:vAlign w:val="center"/>
          </w:tcPr>
          <w:p w14:paraId="567FCAD9">
            <w:pPr>
              <w:adjustRightInd w:val="0"/>
              <w:snapToGrid w:val="0"/>
              <w:jc w:val="center"/>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lang w:eastAsia="zh-CN"/>
              </w:rPr>
              <w:t>备注</w:t>
            </w:r>
          </w:p>
        </w:tc>
        <w:tc>
          <w:tcPr>
            <w:tcW w:w="318" w:type="pct"/>
            <w:noWrap w:val="0"/>
            <w:vAlign w:val="center"/>
          </w:tcPr>
          <w:p w14:paraId="0C16CA8B">
            <w:pPr>
              <w:adjustRightInd w:val="0"/>
              <w:snapToGrid w:val="0"/>
              <w:jc w:val="center"/>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lang w:eastAsia="zh-CN"/>
              </w:rPr>
              <w:t>检查结果</w:t>
            </w:r>
          </w:p>
        </w:tc>
      </w:tr>
      <w:tr w14:paraId="7E80D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51FFD3D0">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3C5EAB4F">
            <w:pPr>
              <w:adjustRightInd w:val="0"/>
              <w:snapToGrid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sz w:val="21"/>
                <w:szCs w:val="21"/>
                <w:highlight w:val="none"/>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781" w:type="pct"/>
            <w:noWrap w:val="0"/>
            <w:vAlign w:val="center"/>
          </w:tcPr>
          <w:p w14:paraId="42DD97EE">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《中华人民共和国消防法》</w:t>
            </w:r>
          </w:p>
          <w:p w14:paraId="738F480C">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第二十八条</w:t>
            </w:r>
          </w:p>
        </w:tc>
        <w:tc>
          <w:tcPr>
            <w:tcW w:w="1511" w:type="pct"/>
            <w:noWrap w:val="0"/>
            <w:vAlign w:val="center"/>
          </w:tcPr>
          <w:p w14:paraId="7703AA6D">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sz w:val="21"/>
                <w:szCs w:val="21"/>
                <w:highlight w:val="none"/>
                <w:lang w:eastAsia="zh-CN"/>
              </w:rPr>
              <w:t>不存在左项情况。</w:t>
            </w:r>
          </w:p>
        </w:tc>
        <w:tc>
          <w:tcPr>
            <w:tcW w:w="318" w:type="pct"/>
            <w:noWrap w:val="0"/>
            <w:vAlign w:val="center"/>
          </w:tcPr>
          <w:p w14:paraId="2D9CEA53">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2FEEE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058E2141">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21E4721F">
            <w:pPr>
              <w:adjustRightInd w:val="0"/>
              <w:snapToGrid w:val="0"/>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 w:val="21"/>
                <w:szCs w:val="21"/>
                <w:highlight w:val="none"/>
              </w:rPr>
              <w:t>设置在建筑室内外供人员操作或使用的消防设施，均应设置区别于环境的明显标志。</w:t>
            </w:r>
          </w:p>
        </w:tc>
        <w:tc>
          <w:tcPr>
            <w:tcW w:w="781" w:type="pct"/>
            <w:noWrap w:val="0"/>
            <w:vAlign w:val="center"/>
          </w:tcPr>
          <w:p w14:paraId="3ECB342C">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GB50016-2014（2018版）</w:t>
            </w:r>
            <w:r>
              <w:rPr>
                <w:rFonts w:hint="eastAsia" w:ascii="宋体" w:hAnsi="宋体" w:eastAsia="宋体" w:cs="宋体"/>
                <w:color w:val="auto"/>
                <w:sz w:val="21"/>
                <w:szCs w:val="21"/>
                <w:highlight w:val="none"/>
                <w:lang w:eastAsia="zh-CN"/>
              </w:rPr>
              <w:t>第</w:t>
            </w:r>
            <w:r>
              <w:rPr>
                <w:rFonts w:hint="eastAsia" w:ascii="宋体" w:hAnsi="宋体" w:eastAsia="宋体" w:cs="宋体"/>
                <w:bCs/>
                <w:color w:val="auto"/>
                <w:sz w:val="21"/>
                <w:szCs w:val="21"/>
                <w:highlight w:val="none"/>
              </w:rPr>
              <w:t>8.1.12</w:t>
            </w:r>
            <w:r>
              <w:rPr>
                <w:rFonts w:hint="eastAsia" w:ascii="宋体" w:hAnsi="宋体" w:eastAsia="宋体" w:cs="宋体"/>
                <w:color w:val="auto"/>
                <w:sz w:val="21"/>
                <w:szCs w:val="21"/>
                <w:highlight w:val="none"/>
                <w:lang w:eastAsia="zh-CN"/>
              </w:rPr>
              <w:t>条</w:t>
            </w:r>
          </w:p>
        </w:tc>
        <w:tc>
          <w:tcPr>
            <w:tcW w:w="1511" w:type="pct"/>
            <w:noWrap w:val="0"/>
            <w:vAlign w:val="center"/>
          </w:tcPr>
          <w:p w14:paraId="3151CC90">
            <w:pPr>
              <w:adjustRightInd w:val="0"/>
              <w:snapToGrid w:val="0"/>
              <w:jc w:val="left"/>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color w:val="auto"/>
                <w:sz w:val="21"/>
                <w:szCs w:val="21"/>
                <w:highlight w:val="none"/>
              </w:rPr>
              <w:t>消防设施已设置为红色</w:t>
            </w:r>
            <w:r>
              <w:rPr>
                <w:rFonts w:hint="eastAsia" w:ascii="宋体" w:hAnsi="宋体" w:eastAsia="宋体" w:cs="宋体"/>
                <w:color w:val="auto"/>
                <w:sz w:val="21"/>
                <w:szCs w:val="21"/>
                <w:highlight w:val="none"/>
                <w:lang w:eastAsia="zh-CN"/>
              </w:rPr>
              <w:t>。</w:t>
            </w:r>
          </w:p>
        </w:tc>
        <w:tc>
          <w:tcPr>
            <w:tcW w:w="318" w:type="pct"/>
            <w:noWrap w:val="0"/>
            <w:vAlign w:val="center"/>
          </w:tcPr>
          <w:p w14:paraId="566AC2B3">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7B01D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039C851E">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227B6F32">
            <w:pPr>
              <w:widowControl w:val="0"/>
              <w:adjustRightInd w:val="0"/>
              <w:snapToGrid w:val="0"/>
              <w:spacing w:after="0"/>
              <w:rPr>
                <w:rFonts w:hint="eastAsia" w:ascii="宋体" w:hAnsi="宋体" w:eastAsia="宋体" w:cs="宋体"/>
                <w:bCs/>
                <w:color w:val="auto"/>
                <w:sz w:val="21"/>
                <w:szCs w:val="21"/>
                <w:highlight w:val="none"/>
              </w:rPr>
            </w:pPr>
            <w:r>
              <w:rPr>
                <w:rFonts w:hint="eastAsia" w:ascii="宋体" w:hAnsi="宋体" w:eastAsia="宋体" w:cs="宋体"/>
                <w:bCs/>
                <w:color w:val="auto"/>
                <w:kern w:val="0"/>
                <w:sz w:val="21"/>
                <w:szCs w:val="21"/>
                <w:highlight w:val="none"/>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781" w:type="pct"/>
            <w:noWrap w:val="0"/>
            <w:vAlign w:val="center"/>
          </w:tcPr>
          <w:p w14:paraId="3AD59E0C">
            <w:pPr>
              <w:widowControl w:val="0"/>
              <w:adjustRightInd w:val="0"/>
              <w:snapToGrid w:val="0"/>
              <w:spacing w:after="0"/>
              <w:jc w:val="center"/>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GB55036-2022</w:t>
            </w:r>
            <w:r>
              <w:rPr>
                <w:rFonts w:hint="eastAsia" w:ascii="宋体" w:hAnsi="宋体" w:eastAsia="宋体" w:cs="宋体"/>
                <w:bCs/>
                <w:color w:val="auto"/>
                <w:kern w:val="0"/>
                <w:sz w:val="21"/>
                <w:szCs w:val="21"/>
                <w:highlight w:val="none"/>
                <w:lang w:eastAsia="zh-CN"/>
              </w:rPr>
              <w:t>第</w:t>
            </w:r>
            <w:r>
              <w:rPr>
                <w:rFonts w:hint="eastAsia" w:ascii="宋体" w:hAnsi="宋体" w:eastAsia="宋体" w:cs="宋体"/>
                <w:bCs/>
                <w:color w:val="auto"/>
                <w:kern w:val="0"/>
                <w:sz w:val="21"/>
                <w:szCs w:val="21"/>
                <w:highlight w:val="none"/>
              </w:rPr>
              <w:t>2.0.9</w:t>
            </w:r>
            <w:r>
              <w:rPr>
                <w:rFonts w:hint="eastAsia" w:ascii="宋体" w:hAnsi="宋体" w:eastAsia="宋体" w:cs="宋体"/>
                <w:bCs/>
                <w:color w:val="auto"/>
                <w:kern w:val="0"/>
                <w:sz w:val="21"/>
                <w:szCs w:val="21"/>
                <w:highlight w:val="none"/>
                <w:lang w:eastAsia="zh-CN"/>
              </w:rPr>
              <w:t>条</w:t>
            </w:r>
          </w:p>
        </w:tc>
        <w:tc>
          <w:tcPr>
            <w:tcW w:w="1511" w:type="pct"/>
            <w:noWrap w:val="0"/>
            <w:vAlign w:val="center"/>
          </w:tcPr>
          <w:p w14:paraId="6D24C1FD">
            <w:pPr>
              <w:adjustRightInd w:val="0"/>
              <w:snapToGrid w:val="0"/>
              <w:jc w:val="left"/>
              <w:rPr>
                <w:rFonts w:hint="eastAsia" w:ascii="宋体" w:hAnsi="宋体" w:eastAsia="宋体" w:cs="宋体"/>
                <w:bCs/>
                <w:color w:val="auto"/>
                <w:sz w:val="21"/>
                <w:szCs w:val="21"/>
                <w:highlight w:val="none"/>
                <w:lang w:eastAsia="zh-CN"/>
              </w:rPr>
            </w:pPr>
            <w:r>
              <w:rPr>
                <w:rFonts w:hint="eastAsia" w:ascii="宋体" w:hAnsi="宋体" w:eastAsia="宋体" w:cs="宋体"/>
                <w:bCs/>
                <w:color w:val="auto"/>
                <w:kern w:val="0"/>
                <w:sz w:val="21"/>
                <w:szCs w:val="21"/>
                <w:highlight w:val="none"/>
              </w:rPr>
              <w:t>定期进行巡查、检查和维护</w:t>
            </w:r>
            <w:r>
              <w:rPr>
                <w:rFonts w:hint="eastAsia" w:ascii="宋体" w:hAnsi="宋体" w:eastAsia="宋体" w:cs="宋体"/>
                <w:bCs/>
                <w:color w:val="auto"/>
                <w:kern w:val="0"/>
                <w:sz w:val="21"/>
                <w:szCs w:val="21"/>
                <w:highlight w:val="none"/>
                <w:lang w:eastAsia="zh-CN"/>
              </w:rPr>
              <w:t>。</w:t>
            </w:r>
          </w:p>
        </w:tc>
        <w:tc>
          <w:tcPr>
            <w:tcW w:w="318" w:type="pct"/>
            <w:noWrap w:val="0"/>
            <w:vAlign w:val="center"/>
          </w:tcPr>
          <w:p w14:paraId="6314A679">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2D98E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2FF8C604">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120BC1F8">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工厂、仓库区内应设置消防车道。</w:t>
            </w:r>
          </w:p>
          <w:p w14:paraId="08A52737">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高层厂房，占地面积大于3000m</w:t>
            </w:r>
            <w:r>
              <w:rPr>
                <w:rFonts w:hint="eastAsia" w:ascii="宋体" w:hAnsi="宋体" w:eastAsia="宋体" w:cs="宋体"/>
                <w:bCs/>
                <w:color w:val="auto"/>
                <w:sz w:val="21"/>
                <w:szCs w:val="21"/>
                <w:highlight w:val="none"/>
                <w:vertAlign w:val="superscript"/>
              </w:rPr>
              <w:t>2</w:t>
            </w:r>
            <w:r>
              <w:rPr>
                <w:rFonts w:hint="eastAsia" w:ascii="宋体" w:hAnsi="宋体" w:eastAsia="宋体" w:cs="宋体"/>
                <w:bCs/>
                <w:color w:val="auto"/>
                <w:sz w:val="21"/>
                <w:szCs w:val="21"/>
                <w:highlight w:val="none"/>
              </w:rPr>
              <w:t>的甲、乙、丙类厂房和占地面积大于1500m</w:t>
            </w:r>
            <w:r>
              <w:rPr>
                <w:rFonts w:hint="eastAsia" w:ascii="宋体" w:hAnsi="宋体" w:eastAsia="宋体" w:cs="宋体"/>
                <w:bCs/>
                <w:color w:val="auto"/>
                <w:sz w:val="21"/>
                <w:szCs w:val="21"/>
                <w:highlight w:val="none"/>
                <w:vertAlign w:val="superscript"/>
              </w:rPr>
              <w:t>2</w:t>
            </w:r>
            <w:r>
              <w:rPr>
                <w:rFonts w:hint="eastAsia" w:ascii="宋体" w:hAnsi="宋体" w:eastAsia="宋体" w:cs="宋体"/>
                <w:bCs/>
                <w:color w:val="auto"/>
                <w:sz w:val="21"/>
                <w:szCs w:val="21"/>
                <w:highlight w:val="none"/>
              </w:rPr>
              <w:t>的乙、丙类仓库，应设置环形消防车道，确有困难时，应沿建筑物的两个长边设置消防车道。</w:t>
            </w:r>
          </w:p>
        </w:tc>
        <w:tc>
          <w:tcPr>
            <w:tcW w:w="781" w:type="pct"/>
            <w:noWrap w:val="0"/>
            <w:vAlign w:val="center"/>
          </w:tcPr>
          <w:p w14:paraId="7B09A386">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GB50016-2014（2018版）</w:t>
            </w:r>
            <w:r>
              <w:rPr>
                <w:rFonts w:hint="eastAsia" w:ascii="宋体" w:hAnsi="宋体" w:eastAsia="宋体" w:cs="宋体"/>
                <w:color w:val="auto"/>
                <w:sz w:val="21"/>
                <w:szCs w:val="21"/>
                <w:highlight w:val="none"/>
                <w:lang w:eastAsia="zh-CN"/>
              </w:rPr>
              <w:t>第</w:t>
            </w:r>
            <w:r>
              <w:rPr>
                <w:rFonts w:hint="eastAsia" w:ascii="宋体" w:hAnsi="宋体" w:eastAsia="宋体" w:cs="宋体"/>
                <w:bCs/>
                <w:color w:val="auto"/>
                <w:sz w:val="21"/>
                <w:szCs w:val="21"/>
                <w:highlight w:val="none"/>
              </w:rPr>
              <w:t>7.1.3</w:t>
            </w:r>
            <w:r>
              <w:rPr>
                <w:rFonts w:hint="eastAsia" w:ascii="宋体" w:hAnsi="宋体" w:eastAsia="宋体" w:cs="宋体"/>
                <w:color w:val="auto"/>
                <w:sz w:val="21"/>
                <w:szCs w:val="21"/>
                <w:highlight w:val="none"/>
                <w:lang w:eastAsia="zh-CN"/>
              </w:rPr>
              <w:t>条</w:t>
            </w:r>
          </w:p>
        </w:tc>
        <w:tc>
          <w:tcPr>
            <w:tcW w:w="1511" w:type="pct"/>
            <w:noWrap w:val="0"/>
            <w:vAlign w:val="center"/>
          </w:tcPr>
          <w:p w14:paraId="52F27717">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sz w:val="21"/>
                <w:szCs w:val="21"/>
                <w:highlight w:val="none"/>
                <w:lang w:eastAsia="zh-CN"/>
              </w:rPr>
              <w:t>危化品仓库</w:t>
            </w:r>
            <w:r>
              <w:rPr>
                <w:rFonts w:hint="eastAsia" w:ascii="宋体" w:hAnsi="宋体" w:eastAsia="宋体" w:cs="宋体"/>
                <w:bCs/>
                <w:color w:val="auto"/>
                <w:sz w:val="21"/>
                <w:szCs w:val="21"/>
                <w:highlight w:val="none"/>
              </w:rPr>
              <w:t>占地面积</w:t>
            </w:r>
            <w:r>
              <w:rPr>
                <w:rFonts w:hint="eastAsia" w:ascii="宋体" w:hAnsi="宋体" w:eastAsia="宋体" w:cs="宋体"/>
                <w:color w:val="auto"/>
                <w:sz w:val="21"/>
                <w:szCs w:val="21"/>
                <w:highlight w:val="none"/>
              </w:rPr>
              <w:t>175.</w:t>
            </w:r>
            <w:r>
              <w:rPr>
                <w:rFonts w:hint="eastAsia" w:ascii="宋体" w:hAnsi="宋体" w:eastAsia="宋体" w:cs="宋体"/>
                <w:color w:val="auto"/>
                <w:sz w:val="21"/>
                <w:szCs w:val="21"/>
                <w:highlight w:val="none"/>
                <w:lang w:val="en-US" w:eastAsia="zh-CN"/>
              </w:rPr>
              <w:t>2</w:t>
            </w:r>
            <w:r>
              <w:rPr>
                <w:rFonts w:hint="eastAsia" w:ascii="宋体" w:hAnsi="宋体" w:eastAsia="宋体" w:cs="宋体"/>
                <w:bCs/>
                <w:color w:val="auto"/>
                <w:sz w:val="21"/>
                <w:szCs w:val="21"/>
                <w:highlight w:val="none"/>
              </w:rPr>
              <w:t>m</w:t>
            </w:r>
            <w:r>
              <w:rPr>
                <w:rFonts w:hint="eastAsia" w:ascii="宋体" w:hAnsi="宋体" w:eastAsia="宋体" w:cs="宋体"/>
                <w:bCs/>
                <w:color w:val="auto"/>
                <w:sz w:val="21"/>
                <w:szCs w:val="21"/>
                <w:highlight w:val="none"/>
                <w:vertAlign w:val="superscript"/>
              </w:rPr>
              <w:t>2</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设置消防车道。</w:t>
            </w:r>
          </w:p>
        </w:tc>
        <w:tc>
          <w:tcPr>
            <w:tcW w:w="318" w:type="pct"/>
            <w:noWrap w:val="0"/>
            <w:vAlign w:val="center"/>
          </w:tcPr>
          <w:p w14:paraId="231B8946">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3125D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58960091">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77D04D3B">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消防车道应符合下列要求：</w:t>
            </w:r>
          </w:p>
          <w:p w14:paraId="70B16EEE">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1  车道的净宽度和净空高度均不应小于4.0m；</w:t>
            </w:r>
          </w:p>
          <w:p w14:paraId="3F5C6AE3">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2  转弯半径应满足消防车转弯的要求；</w:t>
            </w:r>
          </w:p>
          <w:p w14:paraId="36E9D7CE">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3  消防车道与建筑之间不应设置妨碍消防车操作的树木、架空管线等障碍物；</w:t>
            </w:r>
          </w:p>
          <w:p w14:paraId="02377032">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4  消防车道靠建筑外墙一侧的边缘距离建筑外墙不宜小于5m；</w:t>
            </w:r>
          </w:p>
          <w:p w14:paraId="60E8F4F1">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5  消防车道的坡度不宜大于8％。</w:t>
            </w:r>
          </w:p>
        </w:tc>
        <w:tc>
          <w:tcPr>
            <w:tcW w:w="781" w:type="pct"/>
            <w:noWrap w:val="0"/>
            <w:vAlign w:val="center"/>
          </w:tcPr>
          <w:p w14:paraId="15C4F27E">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GB50016-2014（2018版）</w:t>
            </w:r>
            <w:r>
              <w:rPr>
                <w:rFonts w:hint="eastAsia" w:ascii="宋体" w:hAnsi="宋体" w:eastAsia="宋体" w:cs="宋体"/>
                <w:color w:val="auto"/>
                <w:sz w:val="21"/>
                <w:szCs w:val="21"/>
                <w:highlight w:val="none"/>
                <w:lang w:eastAsia="zh-CN"/>
              </w:rPr>
              <w:t>第</w:t>
            </w:r>
            <w:r>
              <w:rPr>
                <w:rFonts w:hint="eastAsia" w:ascii="宋体" w:hAnsi="宋体" w:eastAsia="宋体" w:cs="宋体"/>
                <w:bCs/>
                <w:color w:val="auto"/>
                <w:sz w:val="21"/>
                <w:szCs w:val="21"/>
                <w:highlight w:val="none"/>
              </w:rPr>
              <w:t>7.1.8</w:t>
            </w:r>
            <w:r>
              <w:rPr>
                <w:rFonts w:hint="eastAsia" w:ascii="宋体" w:hAnsi="宋体" w:eastAsia="宋体" w:cs="宋体"/>
                <w:color w:val="auto"/>
                <w:sz w:val="21"/>
                <w:szCs w:val="21"/>
                <w:highlight w:val="none"/>
                <w:lang w:eastAsia="zh-CN"/>
              </w:rPr>
              <w:t>条</w:t>
            </w:r>
          </w:p>
        </w:tc>
        <w:tc>
          <w:tcPr>
            <w:tcW w:w="1511" w:type="pct"/>
            <w:noWrap w:val="0"/>
            <w:vAlign w:val="center"/>
          </w:tcPr>
          <w:p w14:paraId="2BE234BD">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color w:val="auto"/>
                <w:kern w:val="2"/>
                <w:sz w:val="21"/>
                <w:szCs w:val="21"/>
                <w:highlight w:val="none"/>
                <w:lang w:val="en-US" w:eastAsia="zh-CN" w:bidi="ar-SA"/>
              </w:rPr>
              <w:t>消防车道</w:t>
            </w:r>
            <w:r>
              <w:rPr>
                <w:rFonts w:hint="eastAsia" w:ascii="宋体" w:hAnsi="宋体" w:eastAsia="宋体" w:cs="宋体"/>
                <w:bCs/>
                <w:color w:val="auto"/>
                <w:sz w:val="21"/>
                <w:szCs w:val="21"/>
                <w:highlight w:val="none"/>
              </w:rPr>
              <w:t>的净宽度和净空高度均</w:t>
            </w:r>
            <w:r>
              <w:rPr>
                <w:rFonts w:hint="eastAsia" w:ascii="宋体" w:hAnsi="宋体" w:eastAsia="宋体" w:cs="宋体"/>
                <w:bCs/>
                <w:color w:val="auto"/>
                <w:sz w:val="21"/>
                <w:szCs w:val="21"/>
                <w:highlight w:val="none"/>
                <w:lang w:eastAsia="zh-CN"/>
              </w:rPr>
              <w:t>大于</w:t>
            </w:r>
            <w:r>
              <w:rPr>
                <w:rFonts w:hint="eastAsia" w:ascii="宋体" w:hAnsi="宋体" w:eastAsia="宋体" w:cs="宋体"/>
                <w:bCs/>
                <w:color w:val="auto"/>
                <w:sz w:val="21"/>
                <w:szCs w:val="21"/>
                <w:highlight w:val="none"/>
              </w:rPr>
              <w:t>4.0m</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转弯半径满足消防车转弯的要求；与建筑之间</w:t>
            </w:r>
            <w:r>
              <w:rPr>
                <w:rFonts w:hint="eastAsia" w:ascii="宋体" w:hAnsi="宋体" w:eastAsia="宋体" w:cs="宋体"/>
                <w:bCs/>
                <w:color w:val="auto"/>
                <w:sz w:val="21"/>
                <w:szCs w:val="21"/>
                <w:highlight w:val="none"/>
                <w:lang w:eastAsia="zh-CN"/>
              </w:rPr>
              <w:t>未</w:t>
            </w:r>
            <w:r>
              <w:rPr>
                <w:rFonts w:hint="eastAsia" w:ascii="宋体" w:hAnsi="宋体" w:eastAsia="宋体" w:cs="宋体"/>
                <w:bCs/>
                <w:color w:val="auto"/>
                <w:sz w:val="21"/>
                <w:szCs w:val="21"/>
                <w:highlight w:val="none"/>
              </w:rPr>
              <w:t>设置妨碍消防车操作的树木、架空管线等障碍物；</w:t>
            </w:r>
          </w:p>
          <w:p w14:paraId="453F59FE">
            <w:pPr>
              <w:adjustRightInd w:val="0"/>
              <w:snapToGrid w:val="0"/>
              <w:jc w:val="left"/>
              <w:rPr>
                <w:rFonts w:hint="eastAsia" w:ascii="宋体" w:hAnsi="宋体" w:eastAsia="宋体" w:cs="宋体"/>
                <w:color w:val="auto"/>
                <w:kern w:val="2"/>
                <w:sz w:val="21"/>
                <w:szCs w:val="21"/>
                <w:highlight w:val="none"/>
                <w:lang w:val="en-US" w:eastAsia="zh-CN" w:bidi="ar-SA"/>
              </w:rPr>
            </w:pPr>
          </w:p>
        </w:tc>
        <w:tc>
          <w:tcPr>
            <w:tcW w:w="318" w:type="pct"/>
            <w:noWrap w:val="0"/>
            <w:vAlign w:val="center"/>
          </w:tcPr>
          <w:p w14:paraId="02E4E962">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085EA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3A45DE46">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41ADCD42">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城镇</w:t>
            </w:r>
            <w:r>
              <w:rPr>
                <w:rFonts w:hint="eastAsia" w:ascii="宋体" w:hAnsi="宋体" w:cs="宋体"/>
                <w:bCs/>
                <w:color w:val="auto"/>
                <w:sz w:val="21"/>
                <w:szCs w:val="21"/>
                <w:highlight w:val="none"/>
                <w:lang w:eastAsia="zh-CN"/>
              </w:rPr>
              <w:t>（</w:t>
            </w:r>
            <w:r>
              <w:rPr>
                <w:rFonts w:hint="eastAsia" w:ascii="宋体" w:hAnsi="宋体" w:eastAsia="宋体" w:cs="宋体"/>
                <w:bCs/>
                <w:color w:val="auto"/>
                <w:sz w:val="21"/>
                <w:szCs w:val="21"/>
                <w:highlight w:val="none"/>
              </w:rPr>
              <w:t>包括居住区、商业区、开发区、工业区等</w:t>
            </w:r>
            <w:r>
              <w:rPr>
                <w:rFonts w:hint="eastAsia" w:ascii="宋体" w:hAnsi="宋体" w:cs="宋体"/>
                <w:bCs/>
                <w:color w:val="auto"/>
                <w:sz w:val="21"/>
                <w:szCs w:val="21"/>
                <w:highlight w:val="none"/>
                <w:lang w:eastAsia="zh-CN"/>
              </w:rPr>
              <w:t>）</w:t>
            </w:r>
            <w:r>
              <w:rPr>
                <w:rFonts w:hint="eastAsia" w:ascii="宋体" w:hAnsi="宋体" w:eastAsia="宋体" w:cs="宋体"/>
                <w:bCs/>
                <w:color w:val="auto"/>
                <w:sz w:val="21"/>
                <w:szCs w:val="21"/>
                <w:highlight w:val="none"/>
              </w:rPr>
              <w:t>应沿可通行消防车的街道设置市政消火栓系统。</w:t>
            </w:r>
          </w:p>
          <w:p w14:paraId="03AF88D9">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民用建筑、厂房、仓库、储罐</w:t>
            </w:r>
            <w:r>
              <w:rPr>
                <w:rFonts w:hint="eastAsia" w:ascii="宋体" w:hAnsi="宋体" w:cs="宋体"/>
                <w:bCs/>
                <w:color w:val="auto"/>
                <w:sz w:val="21"/>
                <w:szCs w:val="21"/>
                <w:highlight w:val="none"/>
                <w:lang w:eastAsia="zh-CN"/>
              </w:rPr>
              <w:t>（</w:t>
            </w:r>
            <w:r>
              <w:rPr>
                <w:rFonts w:hint="eastAsia" w:ascii="宋体" w:hAnsi="宋体" w:eastAsia="宋体" w:cs="宋体"/>
                <w:bCs/>
                <w:color w:val="auto"/>
                <w:sz w:val="21"/>
                <w:szCs w:val="21"/>
                <w:highlight w:val="none"/>
              </w:rPr>
              <w:t>区</w:t>
            </w:r>
            <w:r>
              <w:rPr>
                <w:rFonts w:hint="eastAsia" w:ascii="宋体" w:hAnsi="宋体" w:cs="宋体"/>
                <w:bCs/>
                <w:color w:val="auto"/>
                <w:sz w:val="21"/>
                <w:szCs w:val="21"/>
                <w:highlight w:val="none"/>
                <w:lang w:eastAsia="zh-CN"/>
              </w:rPr>
              <w:t>）</w:t>
            </w:r>
            <w:r>
              <w:rPr>
                <w:rFonts w:hint="eastAsia" w:ascii="宋体" w:hAnsi="宋体" w:eastAsia="宋体" w:cs="宋体"/>
                <w:bCs/>
                <w:color w:val="auto"/>
                <w:sz w:val="21"/>
                <w:szCs w:val="21"/>
                <w:highlight w:val="none"/>
              </w:rPr>
              <w:t>和堆场周围应设置室外消火栓系统。</w:t>
            </w:r>
          </w:p>
          <w:p w14:paraId="0BC5881E">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用于消防救援和消防车停靠的屋面上，应设置室外消火栓系统。</w:t>
            </w:r>
          </w:p>
          <w:p w14:paraId="1A2DDCF4">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注：耐火等级不低于二级且建筑体积不大于3000m</w:t>
            </w:r>
            <w:r>
              <w:rPr>
                <w:rFonts w:hint="eastAsia" w:ascii="宋体" w:hAnsi="宋体" w:eastAsia="宋体" w:cs="宋体"/>
                <w:bCs/>
                <w:color w:val="auto"/>
                <w:sz w:val="21"/>
                <w:szCs w:val="21"/>
                <w:highlight w:val="none"/>
                <w:vertAlign w:val="superscript"/>
              </w:rPr>
              <w:t>3</w:t>
            </w:r>
            <w:r>
              <w:rPr>
                <w:rFonts w:hint="eastAsia" w:ascii="宋体" w:hAnsi="宋体" w:eastAsia="宋体" w:cs="宋体"/>
                <w:bCs/>
                <w:color w:val="auto"/>
                <w:sz w:val="21"/>
                <w:szCs w:val="21"/>
                <w:highlight w:val="none"/>
              </w:rPr>
              <w:t>的戊类厂房，居住区人数不超过500人且建筑层数不超过两层的居住区，可不设置室外消火栓系统。</w:t>
            </w:r>
          </w:p>
        </w:tc>
        <w:tc>
          <w:tcPr>
            <w:tcW w:w="781" w:type="pct"/>
            <w:noWrap w:val="0"/>
            <w:vAlign w:val="center"/>
          </w:tcPr>
          <w:p w14:paraId="538F7D5B">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GB50016-2014（2018版）</w:t>
            </w:r>
            <w:r>
              <w:rPr>
                <w:rFonts w:hint="eastAsia" w:ascii="宋体" w:hAnsi="宋体" w:eastAsia="宋体" w:cs="宋体"/>
                <w:color w:val="auto"/>
                <w:sz w:val="21"/>
                <w:szCs w:val="21"/>
                <w:highlight w:val="none"/>
                <w:lang w:eastAsia="zh-CN"/>
              </w:rPr>
              <w:t>第</w:t>
            </w:r>
            <w:r>
              <w:rPr>
                <w:rFonts w:hint="eastAsia" w:ascii="宋体" w:hAnsi="宋体" w:eastAsia="宋体" w:cs="宋体"/>
                <w:bCs/>
                <w:color w:val="auto"/>
                <w:sz w:val="21"/>
                <w:szCs w:val="21"/>
                <w:highlight w:val="none"/>
              </w:rPr>
              <w:t>8.1.2</w:t>
            </w:r>
            <w:r>
              <w:rPr>
                <w:rFonts w:hint="eastAsia" w:ascii="宋体" w:hAnsi="宋体" w:eastAsia="宋体" w:cs="宋体"/>
                <w:color w:val="auto"/>
                <w:sz w:val="21"/>
                <w:szCs w:val="21"/>
                <w:highlight w:val="none"/>
                <w:lang w:eastAsia="zh-CN"/>
              </w:rPr>
              <w:t>条</w:t>
            </w:r>
          </w:p>
        </w:tc>
        <w:tc>
          <w:tcPr>
            <w:tcW w:w="1511" w:type="pct"/>
            <w:noWrap w:val="0"/>
            <w:vAlign w:val="center"/>
          </w:tcPr>
          <w:p w14:paraId="2BBB843D">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sz w:val="21"/>
                <w:szCs w:val="21"/>
                <w:highlight w:val="none"/>
              </w:rPr>
              <w:t>设置</w:t>
            </w:r>
            <w:r>
              <w:rPr>
                <w:rFonts w:hint="eastAsia" w:ascii="宋体" w:hAnsi="宋体" w:eastAsia="宋体" w:cs="宋体"/>
                <w:bCs/>
                <w:color w:val="auto"/>
                <w:sz w:val="21"/>
                <w:szCs w:val="21"/>
                <w:highlight w:val="none"/>
                <w:lang w:eastAsia="zh-CN"/>
              </w:rPr>
              <w:t>了</w:t>
            </w:r>
            <w:r>
              <w:rPr>
                <w:rFonts w:hint="eastAsia" w:ascii="宋体" w:hAnsi="宋体" w:eastAsia="宋体" w:cs="宋体"/>
                <w:bCs/>
                <w:color w:val="auto"/>
                <w:sz w:val="21"/>
                <w:szCs w:val="21"/>
                <w:highlight w:val="none"/>
              </w:rPr>
              <w:t>室外消火栓系统。</w:t>
            </w:r>
          </w:p>
        </w:tc>
        <w:tc>
          <w:tcPr>
            <w:tcW w:w="318" w:type="pct"/>
            <w:noWrap w:val="0"/>
            <w:vAlign w:val="center"/>
          </w:tcPr>
          <w:p w14:paraId="47B094EB">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06E21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10DDF2BF">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2AE84CBF">
            <w:pPr>
              <w:adjustRightInd w:val="0"/>
              <w:snapToGrid w:val="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建筑物室外宜采用低压消防给水系统，当采用市政给水管网供水时，应符合下列规定：</w:t>
            </w:r>
          </w:p>
          <w:p w14:paraId="046C989B">
            <w:pPr>
              <w:adjustRightInd w:val="0"/>
              <w:snapToGrid w:val="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1  应采用两路消防供水，除建筑高度超过54m的住宅外，室外消火栓设计流量小于等于20L/s时可采用一路消防供水；</w:t>
            </w:r>
          </w:p>
          <w:p w14:paraId="68322982">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kern w:val="0"/>
                <w:sz w:val="21"/>
                <w:szCs w:val="21"/>
                <w:highlight w:val="none"/>
              </w:rPr>
              <w:t>2  室外消火栓应由市政给水管网直接供水。</w:t>
            </w:r>
          </w:p>
        </w:tc>
        <w:tc>
          <w:tcPr>
            <w:tcW w:w="781" w:type="pct"/>
            <w:noWrap w:val="0"/>
            <w:vAlign w:val="center"/>
          </w:tcPr>
          <w:p w14:paraId="6B9FDE1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b w:val="0"/>
                <w:bCs w:val="0"/>
                <w:color w:val="auto"/>
                <w:kern w:val="0"/>
                <w:sz w:val="21"/>
                <w:szCs w:val="21"/>
                <w:highlight w:val="none"/>
                <w:lang w:eastAsia="zh-CN"/>
              </w:rPr>
              <w:t>GB50974-2014第</w:t>
            </w:r>
            <w:r>
              <w:rPr>
                <w:rFonts w:hint="eastAsia" w:ascii="宋体" w:hAnsi="宋体" w:eastAsia="宋体" w:cs="宋体"/>
                <w:bCs/>
                <w:color w:val="auto"/>
                <w:kern w:val="0"/>
                <w:sz w:val="21"/>
                <w:szCs w:val="21"/>
                <w:highlight w:val="none"/>
              </w:rPr>
              <w:t>6.1.3</w:t>
            </w:r>
            <w:r>
              <w:rPr>
                <w:rFonts w:hint="eastAsia" w:ascii="宋体" w:hAnsi="宋体" w:eastAsia="宋体" w:cs="宋体"/>
                <w:b w:val="0"/>
                <w:bCs w:val="0"/>
                <w:color w:val="auto"/>
                <w:kern w:val="0"/>
                <w:sz w:val="21"/>
                <w:szCs w:val="21"/>
                <w:highlight w:val="none"/>
                <w:lang w:eastAsia="zh-CN"/>
              </w:rPr>
              <w:t>条</w:t>
            </w:r>
          </w:p>
        </w:tc>
        <w:tc>
          <w:tcPr>
            <w:tcW w:w="1511" w:type="pct"/>
            <w:noWrap w:val="0"/>
            <w:vAlign w:val="center"/>
          </w:tcPr>
          <w:p w14:paraId="78FFE651">
            <w:pPr>
              <w:adjustRightInd w:val="0"/>
              <w:snapToGrid w:val="0"/>
              <w:jc w:val="left"/>
              <w:rPr>
                <w:rFonts w:hint="eastAsia" w:ascii="宋体" w:hAnsi="宋体" w:eastAsia="宋体" w:cs="宋体"/>
                <w:bCs/>
                <w:color w:val="auto"/>
                <w:sz w:val="21"/>
                <w:szCs w:val="21"/>
                <w:highlight w:val="none"/>
              </w:rPr>
            </w:pPr>
            <w:r>
              <w:rPr>
                <w:rFonts w:hint="eastAsia" w:ascii="宋体" w:hAnsi="宋体" w:eastAsia="宋体" w:cs="宋体"/>
                <w:bCs/>
                <w:color w:val="auto"/>
                <w:kern w:val="0"/>
                <w:sz w:val="21"/>
                <w:szCs w:val="21"/>
                <w:highlight w:val="none"/>
              </w:rPr>
              <w:t>室外消火栓由市政给水管网直接供水。</w:t>
            </w:r>
          </w:p>
        </w:tc>
        <w:tc>
          <w:tcPr>
            <w:tcW w:w="318" w:type="pct"/>
            <w:noWrap w:val="0"/>
            <w:vAlign w:val="center"/>
          </w:tcPr>
          <w:p w14:paraId="2C28249A">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1D886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5B9F7BAC">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66C1E0D1">
            <w:pPr>
              <w:pStyle w:val="5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建筑室外消火栓的数量应根据室外消火栓设计流量和保护半径经计算确定，保护半径不应大于150.0m，每个室外消火栓的出流量宜按10L/s～15L/s计算。</w:t>
            </w:r>
          </w:p>
        </w:tc>
        <w:tc>
          <w:tcPr>
            <w:tcW w:w="781" w:type="pct"/>
            <w:noWrap w:val="0"/>
            <w:vAlign w:val="center"/>
          </w:tcPr>
          <w:p w14:paraId="215B0AEF">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b w:val="0"/>
                <w:bCs w:val="0"/>
                <w:color w:val="auto"/>
                <w:kern w:val="0"/>
                <w:sz w:val="21"/>
                <w:szCs w:val="21"/>
                <w:highlight w:val="none"/>
                <w:lang w:eastAsia="zh-CN"/>
              </w:rPr>
              <w:t>GB50974-2014第</w:t>
            </w:r>
            <w:r>
              <w:rPr>
                <w:rFonts w:hint="eastAsia" w:ascii="宋体" w:hAnsi="宋体" w:eastAsia="宋体" w:cs="宋体"/>
                <w:color w:val="auto"/>
                <w:sz w:val="21"/>
                <w:szCs w:val="21"/>
                <w:highlight w:val="none"/>
              </w:rPr>
              <w:t>7.3.2</w:t>
            </w:r>
            <w:r>
              <w:rPr>
                <w:rFonts w:hint="eastAsia" w:ascii="宋体" w:hAnsi="宋体" w:eastAsia="宋体" w:cs="宋体"/>
                <w:b w:val="0"/>
                <w:bCs w:val="0"/>
                <w:color w:val="auto"/>
                <w:kern w:val="0"/>
                <w:sz w:val="21"/>
                <w:szCs w:val="21"/>
                <w:highlight w:val="none"/>
                <w:lang w:eastAsia="zh-CN"/>
              </w:rPr>
              <w:t>条</w:t>
            </w:r>
          </w:p>
        </w:tc>
        <w:tc>
          <w:tcPr>
            <w:tcW w:w="1511" w:type="pct"/>
            <w:noWrap w:val="0"/>
            <w:vAlign w:val="center"/>
          </w:tcPr>
          <w:p w14:paraId="3078C7D9">
            <w:pPr>
              <w:adjustRightInd w:val="0"/>
              <w:snapToGrid w:val="0"/>
              <w:jc w:val="left"/>
              <w:rPr>
                <w:rFonts w:hint="eastAsia" w:ascii="宋体" w:hAnsi="宋体" w:eastAsia="宋体" w:cs="宋体"/>
                <w:bCs/>
                <w:color w:val="auto"/>
                <w:sz w:val="21"/>
                <w:szCs w:val="21"/>
                <w:highlight w:val="none"/>
                <w:lang w:eastAsia="zh-CN"/>
              </w:rPr>
            </w:pPr>
            <w:r>
              <w:rPr>
                <w:rFonts w:hint="eastAsia" w:ascii="宋体" w:hAnsi="宋体" w:eastAsia="宋体" w:cs="宋体"/>
                <w:bCs/>
                <w:color w:val="auto"/>
                <w:kern w:val="0"/>
                <w:sz w:val="21"/>
                <w:szCs w:val="21"/>
                <w:highlight w:val="none"/>
              </w:rPr>
              <w:t>室外消火栓</w:t>
            </w:r>
            <w:r>
              <w:rPr>
                <w:rFonts w:hint="eastAsia" w:ascii="宋体" w:hAnsi="宋体" w:eastAsia="宋体" w:cs="宋体"/>
                <w:color w:val="auto"/>
                <w:sz w:val="21"/>
                <w:szCs w:val="21"/>
                <w:highlight w:val="none"/>
              </w:rPr>
              <w:t>保护半径</w:t>
            </w:r>
            <w:r>
              <w:rPr>
                <w:rFonts w:hint="eastAsia" w:ascii="宋体" w:hAnsi="宋体" w:eastAsia="宋体" w:cs="宋体"/>
                <w:color w:val="auto"/>
                <w:sz w:val="21"/>
                <w:szCs w:val="21"/>
                <w:highlight w:val="none"/>
                <w:lang w:eastAsia="zh-CN"/>
              </w:rPr>
              <w:t>小于</w:t>
            </w:r>
            <w:r>
              <w:rPr>
                <w:rFonts w:hint="eastAsia" w:ascii="宋体" w:hAnsi="宋体" w:eastAsia="宋体" w:cs="宋体"/>
                <w:color w:val="auto"/>
                <w:sz w:val="21"/>
                <w:szCs w:val="21"/>
                <w:highlight w:val="none"/>
              </w:rPr>
              <w:t>150.0m</w:t>
            </w:r>
            <w:r>
              <w:rPr>
                <w:rFonts w:hint="eastAsia" w:ascii="宋体" w:hAnsi="宋体" w:eastAsia="宋体" w:cs="宋体"/>
                <w:color w:val="auto"/>
                <w:sz w:val="21"/>
                <w:szCs w:val="21"/>
                <w:highlight w:val="none"/>
                <w:lang w:eastAsia="zh-CN"/>
              </w:rPr>
              <w:t>。</w:t>
            </w:r>
          </w:p>
        </w:tc>
        <w:tc>
          <w:tcPr>
            <w:tcW w:w="318" w:type="pct"/>
            <w:noWrap w:val="0"/>
            <w:vAlign w:val="center"/>
          </w:tcPr>
          <w:p w14:paraId="0D6E301E">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1805C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2B43A550">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451ECBDA">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下列建筑或场所应设置室内消火栓系统：</w:t>
            </w:r>
          </w:p>
          <w:p w14:paraId="59E774DD">
            <w:pPr>
              <w:adjustRightInd w:val="0"/>
              <w:snapToGrid w:val="0"/>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 w:val="21"/>
                <w:szCs w:val="21"/>
                <w:highlight w:val="none"/>
              </w:rPr>
              <w:t>1  建筑占地面积大于300m</w:t>
            </w:r>
            <w:r>
              <w:rPr>
                <w:rFonts w:hint="eastAsia" w:ascii="宋体" w:hAnsi="宋体" w:eastAsia="宋体" w:cs="宋体"/>
                <w:bCs/>
                <w:color w:val="auto"/>
                <w:sz w:val="21"/>
                <w:szCs w:val="21"/>
                <w:highlight w:val="none"/>
                <w:vertAlign w:val="superscript"/>
              </w:rPr>
              <w:t>2</w:t>
            </w:r>
            <w:r>
              <w:rPr>
                <w:rFonts w:hint="eastAsia" w:ascii="宋体" w:hAnsi="宋体" w:eastAsia="宋体" w:cs="宋体"/>
                <w:bCs/>
                <w:color w:val="auto"/>
                <w:sz w:val="21"/>
                <w:szCs w:val="21"/>
                <w:highlight w:val="none"/>
              </w:rPr>
              <w:t>的厂房和仓库；</w:t>
            </w:r>
          </w:p>
        </w:tc>
        <w:tc>
          <w:tcPr>
            <w:tcW w:w="781" w:type="pct"/>
            <w:noWrap w:val="0"/>
            <w:vAlign w:val="center"/>
          </w:tcPr>
          <w:p w14:paraId="5792DBCA">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GB50016-2014（2018版）</w:t>
            </w:r>
            <w:r>
              <w:rPr>
                <w:rFonts w:hint="eastAsia" w:ascii="宋体" w:hAnsi="宋体" w:eastAsia="宋体" w:cs="宋体"/>
                <w:color w:val="auto"/>
                <w:sz w:val="21"/>
                <w:szCs w:val="21"/>
                <w:highlight w:val="none"/>
                <w:lang w:eastAsia="zh-CN"/>
              </w:rPr>
              <w:t>第</w:t>
            </w:r>
            <w:r>
              <w:rPr>
                <w:rFonts w:hint="eastAsia" w:ascii="宋体" w:hAnsi="宋体" w:eastAsia="宋体" w:cs="宋体"/>
                <w:bCs/>
                <w:color w:val="auto"/>
                <w:sz w:val="21"/>
                <w:szCs w:val="21"/>
                <w:highlight w:val="none"/>
              </w:rPr>
              <w:t>8.2.1</w:t>
            </w:r>
            <w:r>
              <w:rPr>
                <w:rFonts w:hint="eastAsia" w:ascii="宋体" w:hAnsi="宋体" w:eastAsia="宋体" w:cs="宋体"/>
                <w:color w:val="auto"/>
                <w:sz w:val="21"/>
                <w:szCs w:val="21"/>
                <w:highlight w:val="none"/>
                <w:lang w:eastAsia="zh-CN"/>
              </w:rPr>
              <w:t>条</w:t>
            </w:r>
          </w:p>
        </w:tc>
        <w:tc>
          <w:tcPr>
            <w:tcW w:w="1511" w:type="pct"/>
            <w:noWrap w:val="0"/>
            <w:vAlign w:val="center"/>
          </w:tcPr>
          <w:p w14:paraId="76B012F4">
            <w:pPr>
              <w:adjustRightInd w:val="0"/>
              <w:snapToGrid w:val="0"/>
              <w:jc w:val="left"/>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 w:val="21"/>
                <w:szCs w:val="21"/>
                <w:highlight w:val="none"/>
                <w:lang w:eastAsia="zh-CN"/>
              </w:rPr>
              <w:t>危化品仓库</w:t>
            </w:r>
            <w:r>
              <w:rPr>
                <w:rFonts w:hint="eastAsia" w:ascii="宋体" w:hAnsi="宋体" w:eastAsia="宋体" w:cs="宋体"/>
                <w:bCs/>
                <w:color w:val="auto"/>
                <w:sz w:val="21"/>
                <w:szCs w:val="21"/>
                <w:highlight w:val="none"/>
              </w:rPr>
              <w:t>占地面积</w:t>
            </w:r>
            <w:r>
              <w:rPr>
                <w:rFonts w:hint="eastAsia" w:ascii="宋体" w:hAnsi="宋体" w:eastAsia="宋体" w:cs="宋体"/>
                <w:color w:val="auto"/>
                <w:sz w:val="21"/>
                <w:szCs w:val="21"/>
                <w:highlight w:val="none"/>
              </w:rPr>
              <w:t>175.</w:t>
            </w:r>
            <w:r>
              <w:rPr>
                <w:rFonts w:hint="eastAsia" w:ascii="宋体" w:hAnsi="宋体" w:eastAsia="宋体" w:cs="宋体"/>
                <w:color w:val="auto"/>
                <w:sz w:val="21"/>
                <w:szCs w:val="21"/>
                <w:highlight w:val="none"/>
                <w:lang w:val="en-US" w:eastAsia="zh-CN"/>
              </w:rPr>
              <w:t>2</w:t>
            </w:r>
            <w:r>
              <w:rPr>
                <w:rFonts w:hint="eastAsia" w:ascii="宋体" w:hAnsi="宋体" w:eastAsia="宋体" w:cs="宋体"/>
                <w:bCs/>
                <w:color w:val="auto"/>
                <w:sz w:val="21"/>
                <w:szCs w:val="21"/>
                <w:highlight w:val="none"/>
              </w:rPr>
              <w:t>m</w:t>
            </w:r>
            <w:r>
              <w:rPr>
                <w:rFonts w:hint="eastAsia" w:ascii="宋体" w:hAnsi="宋体" w:eastAsia="宋体" w:cs="宋体"/>
                <w:bCs/>
                <w:color w:val="auto"/>
                <w:sz w:val="21"/>
                <w:szCs w:val="21"/>
                <w:highlight w:val="none"/>
                <w:vertAlign w:val="superscript"/>
              </w:rPr>
              <w:t>2</w:t>
            </w:r>
            <w:r>
              <w:rPr>
                <w:rFonts w:hint="eastAsia" w:ascii="宋体" w:hAnsi="宋体" w:eastAsia="宋体" w:cs="宋体"/>
                <w:bCs/>
                <w:color w:val="auto"/>
                <w:sz w:val="21"/>
                <w:szCs w:val="21"/>
                <w:highlight w:val="none"/>
                <w:lang w:eastAsia="zh-CN"/>
              </w:rPr>
              <w:t>，未设置</w:t>
            </w:r>
            <w:r>
              <w:rPr>
                <w:rFonts w:hint="eastAsia" w:ascii="宋体" w:hAnsi="宋体" w:eastAsia="宋体" w:cs="宋体"/>
                <w:bCs/>
                <w:color w:val="auto"/>
                <w:sz w:val="21"/>
                <w:szCs w:val="21"/>
                <w:highlight w:val="none"/>
              </w:rPr>
              <w:t>室内消火栓系统</w:t>
            </w:r>
          </w:p>
        </w:tc>
        <w:tc>
          <w:tcPr>
            <w:tcW w:w="318" w:type="pct"/>
            <w:noWrap w:val="0"/>
            <w:vAlign w:val="center"/>
          </w:tcPr>
          <w:p w14:paraId="05E4448B">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311F0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45C4924D">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70576390">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高层住宅建筑的公共部位和公共建筑内应设置灭火器，其他住宅建筑的公共部位宜设置灭火器。</w:t>
            </w:r>
          </w:p>
          <w:p w14:paraId="5D6D15A7">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厂房、仓库、储罐</w:t>
            </w:r>
            <w:r>
              <w:rPr>
                <w:rFonts w:hint="eastAsia" w:ascii="宋体" w:hAnsi="宋体" w:cs="宋体"/>
                <w:bCs/>
                <w:color w:val="auto"/>
                <w:sz w:val="21"/>
                <w:szCs w:val="21"/>
                <w:highlight w:val="none"/>
                <w:lang w:eastAsia="zh-CN"/>
              </w:rPr>
              <w:t>（</w:t>
            </w:r>
            <w:r>
              <w:rPr>
                <w:rFonts w:hint="eastAsia" w:ascii="宋体" w:hAnsi="宋体" w:eastAsia="宋体" w:cs="宋体"/>
                <w:bCs/>
                <w:color w:val="auto"/>
                <w:sz w:val="21"/>
                <w:szCs w:val="21"/>
                <w:highlight w:val="none"/>
              </w:rPr>
              <w:t>区</w:t>
            </w:r>
            <w:r>
              <w:rPr>
                <w:rFonts w:hint="eastAsia" w:ascii="宋体" w:hAnsi="宋体" w:cs="宋体"/>
                <w:bCs/>
                <w:color w:val="auto"/>
                <w:sz w:val="21"/>
                <w:szCs w:val="21"/>
                <w:highlight w:val="none"/>
                <w:lang w:eastAsia="zh-CN"/>
              </w:rPr>
              <w:t>）</w:t>
            </w:r>
            <w:r>
              <w:rPr>
                <w:rFonts w:hint="eastAsia" w:ascii="宋体" w:hAnsi="宋体" w:eastAsia="宋体" w:cs="宋体"/>
                <w:bCs/>
                <w:color w:val="auto"/>
                <w:sz w:val="21"/>
                <w:szCs w:val="21"/>
                <w:highlight w:val="none"/>
              </w:rPr>
              <w:t>和堆场，应设置灭火器。</w:t>
            </w:r>
          </w:p>
        </w:tc>
        <w:tc>
          <w:tcPr>
            <w:tcW w:w="781" w:type="pct"/>
            <w:noWrap w:val="0"/>
            <w:vAlign w:val="center"/>
          </w:tcPr>
          <w:p w14:paraId="1889DB6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GB50016-2014（2018版）</w:t>
            </w:r>
            <w:r>
              <w:rPr>
                <w:rFonts w:hint="eastAsia" w:ascii="宋体" w:hAnsi="宋体" w:eastAsia="宋体" w:cs="宋体"/>
                <w:color w:val="auto"/>
                <w:sz w:val="21"/>
                <w:szCs w:val="21"/>
                <w:highlight w:val="none"/>
                <w:lang w:eastAsia="zh-CN"/>
              </w:rPr>
              <w:t>第</w:t>
            </w:r>
            <w:r>
              <w:rPr>
                <w:rFonts w:hint="eastAsia" w:ascii="宋体" w:hAnsi="宋体" w:eastAsia="宋体" w:cs="宋体"/>
                <w:bCs/>
                <w:color w:val="auto"/>
                <w:sz w:val="21"/>
                <w:szCs w:val="21"/>
                <w:highlight w:val="none"/>
              </w:rPr>
              <w:t>8.1.10</w:t>
            </w:r>
            <w:r>
              <w:rPr>
                <w:rFonts w:hint="eastAsia" w:ascii="宋体" w:hAnsi="宋体" w:eastAsia="宋体" w:cs="宋体"/>
                <w:color w:val="auto"/>
                <w:sz w:val="21"/>
                <w:szCs w:val="21"/>
                <w:highlight w:val="none"/>
                <w:lang w:eastAsia="zh-CN"/>
              </w:rPr>
              <w:t>条</w:t>
            </w:r>
          </w:p>
        </w:tc>
        <w:tc>
          <w:tcPr>
            <w:tcW w:w="1511" w:type="pct"/>
            <w:noWrap w:val="0"/>
            <w:vAlign w:val="center"/>
          </w:tcPr>
          <w:p w14:paraId="251EF6A9">
            <w:pPr>
              <w:adjustRightInd w:val="0"/>
              <w:snapToGrid w:val="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设置</w:t>
            </w:r>
            <w:r>
              <w:rPr>
                <w:rFonts w:hint="eastAsia" w:ascii="宋体" w:hAnsi="宋体" w:eastAsia="宋体" w:cs="宋体"/>
                <w:bCs/>
                <w:color w:val="auto"/>
                <w:sz w:val="21"/>
                <w:szCs w:val="21"/>
                <w:highlight w:val="none"/>
                <w:lang w:eastAsia="zh-CN"/>
              </w:rPr>
              <w:t>了</w:t>
            </w:r>
            <w:r>
              <w:rPr>
                <w:rFonts w:hint="eastAsia" w:ascii="宋体" w:hAnsi="宋体" w:eastAsia="宋体" w:cs="宋体"/>
                <w:bCs/>
                <w:color w:val="auto"/>
                <w:sz w:val="21"/>
                <w:szCs w:val="21"/>
                <w:highlight w:val="none"/>
              </w:rPr>
              <w:t>灭火器。</w:t>
            </w:r>
          </w:p>
        </w:tc>
        <w:tc>
          <w:tcPr>
            <w:tcW w:w="318" w:type="pct"/>
            <w:noWrap w:val="0"/>
            <w:vAlign w:val="center"/>
          </w:tcPr>
          <w:p w14:paraId="331ABF8B">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05347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39114AC1">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357F8C03">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灭火器的配置类型应与配置场所的火灾种类和危险等级相适应，并应符合下列规定：</w:t>
            </w:r>
          </w:p>
          <w:p w14:paraId="66B86E56">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1A类火灾场所应选择同时适用于A类、E类火灾的灭火器。</w:t>
            </w:r>
          </w:p>
          <w:p w14:paraId="45120EC5">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2B类火灾场所应选择适用于B类火灾的灭火器。B类火灾场所存在水溶性可燃液体</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极性溶剂</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且选择水基型灭火器时，应选用抗溶性的灭火器。</w:t>
            </w:r>
          </w:p>
          <w:p w14:paraId="129023BF">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3C类火灾场所应选择适用于C类火灾的灭火器。</w:t>
            </w:r>
          </w:p>
          <w:p w14:paraId="09B2941E">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4D类火灾场所应根据金属的种类、物态及其特性选择适用于特定金属的专用灭火器。</w:t>
            </w:r>
          </w:p>
          <w:p w14:paraId="56ED8DFB">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5E类火灾场所应选择适用于E类火灾的灭火器。带电设备电压超过1kV且灭火时不能断电的场所不应使用灭火器带电扑救。</w:t>
            </w:r>
          </w:p>
          <w:p w14:paraId="66A43DDA">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6F类火灾场所应选择适用于E类、F类火灾的灭火器。</w:t>
            </w:r>
          </w:p>
          <w:p w14:paraId="39E043D0">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7当配置场所存在多种火灾时，应选用能同时适用扑救该场所所有种类火灾的灭火器。</w:t>
            </w:r>
          </w:p>
        </w:tc>
        <w:tc>
          <w:tcPr>
            <w:tcW w:w="781" w:type="pct"/>
            <w:noWrap w:val="0"/>
            <w:vAlign w:val="center"/>
          </w:tcPr>
          <w:p w14:paraId="1300DAD1">
            <w:pPr>
              <w:widowControl w:val="0"/>
              <w:adjustRightInd w:val="0"/>
              <w:snapToGrid w:val="0"/>
              <w:spacing w:after="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GB55036-2022</w:t>
            </w:r>
            <w:r>
              <w:rPr>
                <w:rFonts w:hint="eastAsia" w:ascii="宋体" w:hAnsi="宋体" w:eastAsia="宋体" w:cs="宋体"/>
                <w:bCs/>
                <w:color w:val="auto"/>
                <w:kern w:val="0"/>
                <w:sz w:val="21"/>
                <w:szCs w:val="21"/>
                <w:highlight w:val="none"/>
                <w:lang w:eastAsia="zh-CN"/>
              </w:rPr>
              <w:t>第</w:t>
            </w:r>
            <w:r>
              <w:rPr>
                <w:rFonts w:hint="eastAsia" w:ascii="宋体" w:hAnsi="宋体" w:eastAsia="宋体" w:cs="宋体"/>
                <w:bCs/>
                <w:color w:val="auto"/>
                <w:kern w:val="0"/>
                <w:sz w:val="21"/>
                <w:szCs w:val="21"/>
                <w:highlight w:val="none"/>
              </w:rPr>
              <w:t>10.0.1</w:t>
            </w:r>
            <w:r>
              <w:rPr>
                <w:rFonts w:hint="eastAsia" w:ascii="宋体" w:hAnsi="宋体" w:eastAsia="宋体" w:cs="宋体"/>
                <w:bCs/>
                <w:color w:val="auto"/>
                <w:kern w:val="0"/>
                <w:sz w:val="21"/>
                <w:szCs w:val="21"/>
                <w:highlight w:val="none"/>
                <w:lang w:eastAsia="zh-CN"/>
              </w:rPr>
              <w:t>条</w:t>
            </w:r>
          </w:p>
        </w:tc>
        <w:tc>
          <w:tcPr>
            <w:tcW w:w="1511" w:type="pct"/>
            <w:noWrap w:val="0"/>
            <w:vAlign w:val="center"/>
          </w:tcPr>
          <w:p w14:paraId="09A74BC1">
            <w:pPr>
              <w:adjustRightInd w:val="0"/>
              <w:snapToGrid w:val="0"/>
              <w:jc w:val="left"/>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rPr>
              <w:t>配置</w:t>
            </w:r>
            <w:r>
              <w:rPr>
                <w:rFonts w:hint="eastAsia" w:ascii="宋体" w:hAnsi="宋体" w:eastAsia="宋体" w:cs="宋体"/>
                <w:bCs/>
                <w:color w:val="auto"/>
                <w:kern w:val="0"/>
                <w:sz w:val="21"/>
                <w:szCs w:val="21"/>
                <w:highlight w:val="none"/>
                <w:lang w:eastAsia="zh-CN"/>
              </w:rPr>
              <w:t>了干粉</w:t>
            </w:r>
            <w:r>
              <w:rPr>
                <w:rFonts w:hint="eastAsia" w:ascii="宋体" w:hAnsi="宋体" w:eastAsia="宋体" w:cs="宋体"/>
                <w:bCs/>
                <w:color w:val="auto"/>
                <w:kern w:val="0"/>
                <w:sz w:val="21"/>
                <w:szCs w:val="21"/>
                <w:highlight w:val="none"/>
              </w:rPr>
              <w:t>灭火器</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推车式水基型灭火器</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半固定式泡沫灭火装置</w:t>
            </w:r>
            <w:r>
              <w:rPr>
                <w:rFonts w:hint="eastAsia" w:ascii="宋体" w:hAnsi="宋体" w:eastAsia="宋体" w:cs="宋体"/>
                <w:bCs/>
                <w:color w:val="auto"/>
                <w:kern w:val="0"/>
                <w:sz w:val="21"/>
                <w:szCs w:val="21"/>
                <w:highlight w:val="none"/>
                <w:lang w:eastAsia="zh-CN"/>
              </w:rPr>
              <w:t>。</w:t>
            </w:r>
          </w:p>
        </w:tc>
        <w:tc>
          <w:tcPr>
            <w:tcW w:w="318" w:type="pct"/>
            <w:noWrap w:val="0"/>
            <w:vAlign w:val="center"/>
          </w:tcPr>
          <w:p w14:paraId="5D71201B">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19B2A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4488EA31">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651EF09E">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灭火器不应设置在可能超出其使用温度范围的场所，并应采取与设置场所环境条件相适应的防护措施。</w:t>
            </w:r>
          </w:p>
        </w:tc>
        <w:tc>
          <w:tcPr>
            <w:tcW w:w="781" w:type="pct"/>
            <w:noWrap w:val="0"/>
            <w:vAlign w:val="center"/>
          </w:tcPr>
          <w:p w14:paraId="667B7FE8">
            <w:pPr>
              <w:widowControl w:val="0"/>
              <w:adjustRightInd w:val="0"/>
              <w:snapToGrid w:val="0"/>
              <w:spacing w:after="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GB55036-2022</w:t>
            </w:r>
            <w:r>
              <w:rPr>
                <w:rFonts w:hint="eastAsia" w:ascii="宋体" w:hAnsi="宋体" w:eastAsia="宋体" w:cs="宋体"/>
                <w:bCs/>
                <w:color w:val="auto"/>
                <w:kern w:val="0"/>
                <w:sz w:val="21"/>
                <w:szCs w:val="21"/>
                <w:highlight w:val="none"/>
                <w:lang w:eastAsia="zh-CN"/>
              </w:rPr>
              <w:t>第</w:t>
            </w:r>
            <w:r>
              <w:rPr>
                <w:rFonts w:hint="eastAsia" w:ascii="宋体" w:hAnsi="宋体" w:eastAsia="宋体" w:cs="宋体"/>
                <w:bCs/>
                <w:color w:val="auto"/>
                <w:kern w:val="0"/>
                <w:sz w:val="21"/>
                <w:szCs w:val="21"/>
                <w:highlight w:val="none"/>
              </w:rPr>
              <w:t>10.0.5</w:t>
            </w:r>
            <w:r>
              <w:rPr>
                <w:rFonts w:hint="eastAsia" w:ascii="宋体" w:hAnsi="宋体" w:eastAsia="宋体" w:cs="宋体"/>
                <w:bCs/>
                <w:color w:val="auto"/>
                <w:kern w:val="0"/>
                <w:sz w:val="21"/>
                <w:szCs w:val="21"/>
                <w:highlight w:val="none"/>
                <w:lang w:eastAsia="zh-CN"/>
              </w:rPr>
              <w:t>条</w:t>
            </w:r>
          </w:p>
        </w:tc>
        <w:tc>
          <w:tcPr>
            <w:tcW w:w="1511" w:type="pct"/>
            <w:noWrap w:val="0"/>
            <w:vAlign w:val="center"/>
          </w:tcPr>
          <w:p w14:paraId="4BF896D4">
            <w:pPr>
              <w:adjustRightInd w:val="0"/>
              <w:snapToGrid w:val="0"/>
              <w:jc w:val="left"/>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rPr>
              <w:t>灭火器</w:t>
            </w:r>
            <w:r>
              <w:rPr>
                <w:rFonts w:hint="eastAsia" w:ascii="宋体" w:hAnsi="宋体" w:eastAsia="宋体" w:cs="宋体"/>
                <w:bCs/>
                <w:color w:val="auto"/>
                <w:kern w:val="0"/>
                <w:sz w:val="21"/>
                <w:szCs w:val="21"/>
                <w:highlight w:val="none"/>
                <w:lang w:eastAsia="zh-CN"/>
              </w:rPr>
              <w:t>靠墙</w:t>
            </w:r>
            <w:r>
              <w:rPr>
                <w:rFonts w:hint="eastAsia" w:ascii="宋体" w:hAnsi="宋体" w:eastAsia="宋体" w:cs="宋体"/>
                <w:bCs/>
                <w:color w:val="auto"/>
                <w:kern w:val="0"/>
                <w:sz w:val="21"/>
                <w:szCs w:val="21"/>
                <w:highlight w:val="none"/>
              </w:rPr>
              <w:t>设置</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sz w:val="21"/>
                <w:szCs w:val="21"/>
                <w:highlight w:val="none"/>
                <w:lang w:eastAsia="zh-CN"/>
              </w:rPr>
              <w:t>放置</w:t>
            </w:r>
            <w:r>
              <w:rPr>
                <w:rFonts w:hint="eastAsia" w:ascii="宋体" w:hAnsi="宋体" w:eastAsia="宋体" w:cs="宋体"/>
                <w:bCs/>
                <w:color w:val="auto"/>
                <w:kern w:val="0"/>
                <w:sz w:val="21"/>
                <w:szCs w:val="21"/>
                <w:highlight w:val="none"/>
              </w:rPr>
              <w:t>在</w:t>
            </w:r>
            <w:r>
              <w:rPr>
                <w:rFonts w:hint="eastAsia" w:ascii="宋体" w:hAnsi="宋体" w:eastAsia="宋体" w:cs="宋体"/>
                <w:bCs/>
                <w:color w:val="auto"/>
                <w:sz w:val="21"/>
                <w:szCs w:val="21"/>
                <w:highlight w:val="none"/>
                <w:lang w:eastAsia="zh-CN"/>
              </w:rPr>
              <w:t>灭火器箱内</w:t>
            </w:r>
            <w:r>
              <w:rPr>
                <w:rFonts w:hint="eastAsia" w:ascii="宋体" w:hAnsi="宋体" w:eastAsia="宋体" w:cs="宋体"/>
                <w:bCs/>
                <w:color w:val="auto"/>
                <w:kern w:val="0"/>
                <w:sz w:val="21"/>
                <w:szCs w:val="21"/>
                <w:highlight w:val="none"/>
                <w:lang w:eastAsia="zh-CN"/>
              </w:rPr>
              <w:t>。</w:t>
            </w:r>
          </w:p>
        </w:tc>
        <w:tc>
          <w:tcPr>
            <w:tcW w:w="318" w:type="pct"/>
            <w:noWrap w:val="0"/>
            <w:vAlign w:val="center"/>
          </w:tcPr>
          <w:p w14:paraId="612AEB26">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2E7D1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4274E094">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4C5B8504">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灭火器应定期维护、维修和报废。灭火器报废后，应按照等效替代的原则更换。</w:t>
            </w:r>
          </w:p>
        </w:tc>
        <w:tc>
          <w:tcPr>
            <w:tcW w:w="781" w:type="pct"/>
            <w:noWrap w:val="0"/>
            <w:vAlign w:val="center"/>
          </w:tcPr>
          <w:p w14:paraId="042B583C">
            <w:pPr>
              <w:widowControl w:val="0"/>
              <w:adjustRightInd w:val="0"/>
              <w:snapToGrid w:val="0"/>
              <w:spacing w:after="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GB55036-2022</w:t>
            </w:r>
            <w:r>
              <w:rPr>
                <w:rFonts w:hint="eastAsia" w:ascii="宋体" w:hAnsi="宋体" w:eastAsia="宋体" w:cs="宋体"/>
                <w:bCs/>
                <w:color w:val="auto"/>
                <w:kern w:val="0"/>
                <w:sz w:val="21"/>
                <w:szCs w:val="21"/>
                <w:highlight w:val="none"/>
                <w:lang w:eastAsia="zh-CN"/>
              </w:rPr>
              <w:t>第</w:t>
            </w:r>
            <w:r>
              <w:rPr>
                <w:rFonts w:hint="eastAsia" w:ascii="宋体" w:hAnsi="宋体" w:eastAsia="宋体" w:cs="宋体"/>
                <w:bCs/>
                <w:color w:val="auto"/>
                <w:kern w:val="0"/>
                <w:sz w:val="21"/>
                <w:szCs w:val="21"/>
                <w:highlight w:val="none"/>
              </w:rPr>
              <w:t>10.0.7</w:t>
            </w:r>
            <w:r>
              <w:rPr>
                <w:rFonts w:hint="eastAsia" w:ascii="宋体" w:hAnsi="宋体" w:eastAsia="宋体" w:cs="宋体"/>
                <w:bCs/>
                <w:color w:val="auto"/>
                <w:kern w:val="0"/>
                <w:sz w:val="21"/>
                <w:szCs w:val="21"/>
                <w:highlight w:val="none"/>
                <w:lang w:eastAsia="zh-CN"/>
              </w:rPr>
              <w:t>条</w:t>
            </w:r>
          </w:p>
        </w:tc>
        <w:tc>
          <w:tcPr>
            <w:tcW w:w="1511" w:type="pct"/>
            <w:noWrap w:val="0"/>
            <w:vAlign w:val="center"/>
          </w:tcPr>
          <w:p w14:paraId="434CB95F">
            <w:pPr>
              <w:adjustRightInd w:val="0"/>
              <w:snapToGrid w:val="0"/>
              <w:jc w:val="left"/>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rPr>
              <w:t>灭火器定期维护、维修</w:t>
            </w:r>
            <w:r>
              <w:rPr>
                <w:rFonts w:hint="eastAsia" w:ascii="宋体" w:hAnsi="宋体" w:eastAsia="宋体" w:cs="宋体"/>
                <w:bCs/>
                <w:color w:val="auto"/>
                <w:kern w:val="0"/>
                <w:sz w:val="21"/>
                <w:szCs w:val="21"/>
                <w:highlight w:val="none"/>
                <w:lang w:eastAsia="zh-CN"/>
              </w:rPr>
              <w:t>。</w:t>
            </w:r>
          </w:p>
        </w:tc>
        <w:tc>
          <w:tcPr>
            <w:tcW w:w="318" w:type="pct"/>
            <w:noWrap w:val="0"/>
            <w:vAlign w:val="center"/>
          </w:tcPr>
          <w:p w14:paraId="6534B718">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2B454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2FF763DA">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636185FD">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符合下列情形之一的灭火器应报废：</w:t>
            </w:r>
          </w:p>
          <w:p w14:paraId="7E2A8F1E">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1筒体锈蚀面积大于或等于筒体总表面积的1/3</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表面有凹坑；</w:t>
            </w:r>
          </w:p>
          <w:p w14:paraId="67EA3CFD">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2筒体明显变形，机械损伤严重；</w:t>
            </w:r>
          </w:p>
          <w:p w14:paraId="49A166AD">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3器头存在裂纹、无泄压机构；</w:t>
            </w:r>
          </w:p>
          <w:p w14:paraId="20112239">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4存在筒体为平底等结构不合理现象；</w:t>
            </w:r>
          </w:p>
          <w:p w14:paraId="1C76A3A8">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5没有间歇喷射机构的手提式灭火器；</w:t>
            </w:r>
          </w:p>
          <w:p w14:paraId="411A9CC9">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6不能确认生产单位名称和出厂时间，包括铭牌脱落，铭牌模糊、不能分辨生产单位名称，出厂时间钢印无法识别等；</w:t>
            </w:r>
          </w:p>
          <w:p w14:paraId="29E8E6B2">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7筒体有锡焊、铜焊或补缀等修补痕迹；</w:t>
            </w:r>
          </w:p>
          <w:p w14:paraId="11E9BB52">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8被火烧过；</w:t>
            </w:r>
          </w:p>
          <w:p w14:paraId="0A40380B">
            <w:pPr>
              <w:widowControl w:val="0"/>
              <w:adjustRightInd w:val="0"/>
              <w:snapToGrid w:val="0"/>
              <w:spacing w:after="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9出厂时间达到或超过表10.0.8规定的最大报废期限。</w:t>
            </w:r>
          </w:p>
        </w:tc>
        <w:tc>
          <w:tcPr>
            <w:tcW w:w="781" w:type="pct"/>
            <w:noWrap w:val="0"/>
            <w:vAlign w:val="center"/>
          </w:tcPr>
          <w:p w14:paraId="24E1ABFD">
            <w:pPr>
              <w:widowControl w:val="0"/>
              <w:adjustRightInd w:val="0"/>
              <w:snapToGrid w:val="0"/>
              <w:spacing w:after="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GB55036-2022</w:t>
            </w:r>
            <w:r>
              <w:rPr>
                <w:rFonts w:hint="eastAsia" w:ascii="宋体" w:hAnsi="宋体" w:eastAsia="宋体" w:cs="宋体"/>
                <w:bCs/>
                <w:color w:val="auto"/>
                <w:kern w:val="0"/>
                <w:sz w:val="21"/>
                <w:szCs w:val="21"/>
                <w:highlight w:val="none"/>
                <w:lang w:eastAsia="zh-CN"/>
              </w:rPr>
              <w:t>第</w:t>
            </w:r>
            <w:r>
              <w:rPr>
                <w:rFonts w:hint="eastAsia" w:ascii="宋体" w:hAnsi="宋体" w:eastAsia="宋体" w:cs="宋体"/>
                <w:bCs/>
                <w:color w:val="auto"/>
                <w:kern w:val="0"/>
                <w:sz w:val="21"/>
                <w:szCs w:val="21"/>
                <w:highlight w:val="none"/>
              </w:rPr>
              <w:t>10.0.8</w:t>
            </w:r>
            <w:r>
              <w:rPr>
                <w:rFonts w:hint="eastAsia" w:ascii="宋体" w:hAnsi="宋体" w:eastAsia="宋体" w:cs="宋体"/>
                <w:bCs/>
                <w:color w:val="auto"/>
                <w:kern w:val="0"/>
                <w:sz w:val="21"/>
                <w:szCs w:val="21"/>
                <w:highlight w:val="none"/>
                <w:lang w:eastAsia="zh-CN"/>
              </w:rPr>
              <w:t>条</w:t>
            </w:r>
          </w:p>
        </w:tc>
        <w:tc>
          <w:tcPr>
            <w:tcW w:w="1511" w:type="pct"/>
            <w:noWrap w:val="0"/>
            <w:vAlign w:val="center"/>
          </w:tcPr>
          <w:p w14:paraId="1F1614A8">
            <w:pPr>
              <w:adjustRightInd w:val="0"/>
              <w:snapToGrid w:val="0"/>
              <w:jc w:val="left"/>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rPr>
              <w:t>灭火器</w:t>
            </w:r>
            <w:r>
              <w:rPr>
                <w:rFonts w:hint="eastAsia" w:ascii="宋体" w:hAnsi="宋体" w:eastAsia="宋体" w:cs="宋体"/>
                <w:bCs/>
                <w:color w:val="auto"/>
                <w:kern w:val="0"/>
                <w:sz w:val="21"/>
                <w:szCs w:val="21"/>
                <w:highlight w:val="none"/>
                <w:lang w:eastAsia="zh-CN"/>
              </w:rPr>
              <w:t>无左项</w:t>
            </w:r>
            <w:r>
              <w:rPr>
                <w:rFonts w:hint="eastAsia" w:ascii="宋体" w:hAnsi="宋体" w:eastAsia="宋体" w:cs="宋体"/>
                <w:bCs/>
                <w:color w:val="auto"/>
                <w:kern w:val="0"/>
                <w:sz w:val="21"/>
                <w:szCs w:val="21"/>
                <w:highlight w:val="none"/>
              </w:rPr>
              <w:t>情形之一</w:t>
            </w:r>
            <w:r>
              <w:rPr>
                <w:rFonts w:hint="eastAsia" w:ascii="宋体" w:hAnsi="宋体" w:eastAsia="宋体" w:cs="宋体"/>
                <w:bCs/>
                <w:color w:val="auto"/>
                <w:kern w:val="0"/>
                <w:sz w:val="21"/>
                <w:szCs w:val="21"/>
                <w:highlight w:val="none"/>
                <w:lang w:eastAsia="zh-CN"/>
              </w:rPr>
              <w:t>。</w:t>
            </w:r>
          </w:p>
        </w:tc>
        <w:tc>
          <w:tcPr>
            <w:tcW w:w="318" w:type="pct"/>
            <w:noWrap w:val="0"/>
            <w:vAlign w:val="center"/>
          </w:tcPr>
          <w:p w14:paraId="2473FBD5">
            <w:pPr>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符合</w:t>
            </w:r>
          </w:p>
        </w:tc>
      </w:tr>
      <w:tr w14:paraId="5B87B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2106D0F4">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2ECE33DE">
            <w:pPr>
              <w:adjustRightInd w:val="0"/>
              <w:snapToGrid w:val="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灭火器的摆放应稳固，其铭牌应朝外。手提式灭火器宜设置在灭火器箱内或挂钩、托架上，灭火器箱不得上锁。</w:t>
            </w:r>
          </w:p>
        </w:tc>
        <w:tc>
          <w:tcPr>
            <w:tcW w:w="781" w:type="pct"/>
            <w:noWrap w:val="0"/>
            <w:vAlign w:val="center"/>
          </w:tcPr>
          <w:p w14:paraId="7E09865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GB50140-2005</w:t>
            </w:r>
          </w:p>
          <w:p w14:paraId="56C23ABC">
            <w:pPr>
              <w:adjustRightInd w:val="0"/>
              <w:snapToGrid w:val="0"/>
              <w:jc w:val="center"/>
              <w:rPr>
                <w:rFonts w:hint="eastAsia" w:ascii="宋体" w:hAnsi="宋体" w:eastAsia="宋体" w:cs="宋体"/>
                <w:color w:val="auto"/>
                <w:spacing w:val="-4"/>
                <w:sz w:val="21"/>
                <w:szCs w:val="21"/>
                <w:highlight w:val="none"/>
              </w:rPr>
            </w:pPr>
            <w:r>
              <w:rPr>
                <w:rFonts w:hint="eastAsia" w:ascii="宋体" w:hAnsi="宋体" w:eastAsia="宋体" w:cs="宋体"/>
                <w:color w:val="auto"/>
                <w:sz w:val="21"/>
                <w:szCs w:val="21"/>
                <w:highlight w:val="none"/>
              </w:rPr>
              <w:t>第5.1.3条</w:t>
            </w:r>
          </w:p>
        </w:tc>
        <w:tc>
          <w:tcPr>
            <w:tcW w:w="1511" w:type="pct"/>
            <w:noWrap w:val="0"/>
            <w:vAlign w:val="center"/>
          </w:tcPr>
          <w:p w14:paraId="0CA18EBC">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bCs/>
                <w:color w:val="auto"/>
                <w:sz w:val="21"/>
                <w:szCs w:val="21"/>
                <w:highlight w:val="none"/>
              </w:rPr>
              <w:t>摆放稳固，其铭牌朝外。手提式灭火器设置在灭火器箱内</w:t>
            </w:r>
            <w:r>
              <w:rPr>
                <w:rFonts w:hint="eastAsia" w:ascii="宋体" w:hAnsi="宋体" w:eastAsia="宋体" w:cs="宋体"/>
                <w:bCs/>
                <w:color w:val="auto"/>
                <w:sz w:val="21"/>
                <w:szCs w:val="21"/>
                <w:highlight w:val="none"/>
                <w:lang w:eastAsia="zh-CN"/>
              </w:rPr>
              <w:t>。</w:t>
            </w:r>
          </w:p>
        </w:tc>
        <w:tc>
          <w:tcPr>
            <w:tcW w:w="318" w:type="pct"/>
            <w:noWrap w:val="0"/>
            <w:vAlign w:val="center"/>
          </w:tcPr>
          <w:p w14:paraId="1B2BF5B4">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3EC31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3E02F8CA">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1B1E3D73">
            <w:pPr>
              <w:adjustRightInd w:val="0"/>
              <w:snapToGrid w:val="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灭火器不宜设置在潮湿或强腐蚀性的地点。当必须设置时，应有相应的保护措施。灭火器设置在室外时，应有相应的保护措施。</w:t>
            </w:r>
          </w:p>
        </w:tc>
        <w:tc>
          <w:tcPr>
            <w:tcW w:w="781" w:type="pct"/>
            <w:noWrap w:val="0"/>
            <w:vAlign w:val="center"/>
          </w:tcPr>
          <w:p w14:paraId="20C5463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GB50140-2005</w:t>
            </w:r>
          </w:p>
          <w:p w14:paraId="61E019E8">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第5.1.4条</w:t>
            </w:r>
          </w:p>
        </w:tc>
        <w:tc>
          <w:tcPr>
            <w:tcW w:w="1511" w:type="pct"/>
            <w:noWrap w:val="0"/>
            <w:vAlign w:val="center"/>
          </w:tcPr>
          <w:p w14:paraId="32A6797A">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bCs/>
                <w:color w:val="auto"/>
                <w:sz w:val="21"/>
                <w:szCs w:val="21"/>
                <w:highlight w:val="none"/>
              </w:rPr>
              <w:t>室外灭火器</w:t>
            </w:r>
            <w:r>
              <w:rPr>
                <w:rFonts w:hint="eastAsia" w:ascii="宋体" w:hAnsi="宋体" w:eastAsia="宋体" w:cs="宋体"/>
                <w:bCs/>
                <w:color w:val="auto"/>
                <w:sz w:val="21"/>
                <w:szCs w:val="21"/>
                <w:highlight w:val="none"/>
                <w:lang w:eastAsia="zh-CN"/>
              </w:rPr>
              <w:t>放置在灭火器箱内。</w:t>
            </w:r>
          </w:p>
        </w:tc>
        <w:tc>
          <w:tcPr>
            <w:tcW w:w="318" w:type="pct"/>
            <w:noWrap w:val="0"/>
            <w:vAlign w:val="center"/>
          </w:tcPr>
          <w:p w14:paraId="40817016">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r w14:paraId="1CDCA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4" w:type="pct"/>
            <w:noWrap w:val="0"/>
            <w:vAlign w:val="center"/>
          </w:tcPr>
          <w:p w14:paraId="55B77065">
            <w:pPr>
              <w:numPr>
                <w:ilvl w:val="0"/>
                <w:numId w:val="58"/>
              </w:numPr>
              <w:adjustRightInd w:val="0"/>
              <w:snapToGrid w:val="0"/>
              <w:jc w:val="center"/>
              <w:rPr>
                <w:rFonts w:hint="eastAsia" w:ascii="宋体" w:hAnsi="宋体" w:eastAsia="宋体" w:cs="宋体"/>
                <w:color w:val="auto"/>
                <w:sz w:val="21"/>
                <w:szCs w:val="21"/>
                <w:highlight w:val="none"/>
              </w:rPr>
            </w:pPr>
          </w:p>
        </w:tc>
        <w:tc>
          <w:tcPr>
            <w:tcW w:w="2104" w:type="pct"/>
            <w:noWrap w:val="0"/>
            <w:vAlign w:val="center"/>
          </w:tcPr>
          <w:p w14:paraId="5334EBFE">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公共建筑、建筑高度大于54m的住宅建筑、高层厂房</w:t>
            </w:r>
            <w:r>
              <w:rPr>
                <w:rFonts w:hint="eastAsia" w:ascii="宋体" w:hAnsi="宋体" w:cs="宋体"/>
                <w:bCs/>
                <w:color w:val="auto"/>
                <w:sz w:val="21"/>
                <w:szCs w:val="21"/>
                <w:highlight w:val="none"/>
                <w:lang w:eastAsia="zh-CN"/>
              </w:rPr>
              <w:t>（</w:t>
            </w:r>
            <w:r>
              <w:rPr>
                <w:rFonts w:hint="eastAsia" w:ascii="宋体" w:hAnsi="宋体" w:eastAsia="宋体" w:cs="宋体"/>
                <w:bCs/>
                <w:color w:val="auto"/>
                <w:sz w:val="21"/>
                <w:szCs w:val="21"/>
                <w:highlight w:val="none"/>
              </w:rPr>
              <w:t>库房</w:t>
            </w:r>
            <w:r>
              <w:rPr>
                <w:rFonts w:hint="eastAsia" w:ascii="宋体" w:hAnsi="宋体" w:cs="宋体"/>
                <w:bCs/>
                <w:color w:val="auto"/>
                <w:sz w:val="21"/>
                <w:szCs w:val="21"/>
                <w:highlight w:val="none"/>
                <w:lang w:eastAsia="zh-CN"/>
              </w:rPr>
              <w:t>）</w:t>
            </w:r>
            <w:r>
              <w:rPr>
                <w:rFonts w:hint="eastAsia" w:ascii="宋体" w:hAnsi="宋体" w:eastAsia="宋体" w:cs="宋体"/>
                <w:bCs/>
                <w:color w:val="auto"/>
                <w:sz w:val="21"/>
                <w:szCs w:val="21"/>
                <w:highlight w:val="none"/>
              </w:rPr>
              <w:t>和甲、乙、丙类单、多层厂房，应设置灯光疏散指示标志，并应符合下列规定：</w:t>
            </w:r>
          </w:p>
          <w:p w14:paraId="103D96EE">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1  应设置在安全出口和人员密集的场所的疏散门的正上方。</w:t>
            </w:r>
          </w:p>
          <w:p w14:paraId="1EA3CCD8">
            <w:pPr>
              <w:adjustRightInd w:val="0"/>
              <w:snapToGrid w:val="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2  应设置在疏散走道及其转角处距地面高度1.0m以下的墙面或地面上。灯光疏散指示标志的间距不应大于20m；对于袋形走道，不应大于10m；在走道转角区，不应大于1.0m。</w:t>
            </w:r>
          </w:p>
        </w:tc>
        <w:tc>
          <w:tcPr>
            <w:tcW w:w="781" w:type="pct"/>
            <w:noWrap w:val="0"/>
            <w:vAlign w:val="center"/>
          </w:tcPr>
          <w:p w14:paraId="29858AD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GB50016-2014（2018版）</w:t>
            </w:r>
            <w:r>
              <w:rPr>
                <w:rFonts w:hint="eastAsia" w:ascii="宋体" w:hAnsi="宋体" w:eastAsia="宋体" w:cs="宋体"/>
                <w:color w:val="auto"/>
                <w:sz w:val="21"/>
                <w:szCs w:val="21"/>
                <w:highlight w:val="none"/>
                <w:lang w:eastAsia="zh-CN"/>
              </w:rPr>
              <w:t>第</w:t>
            </w:r>
            <w:r>
              <w:rPr>
                <w:rFonts w:hint="eastAsia" w:ascii="宋体" w:hAnsi="宋体" w:eastAsia="宋体" w:cs="宋体"/>
                <w:bCs/>
                <w:color w:val="auto"/>
                <w:sz w:val="21"/>
                <w:szCs w:val="21"/>
                <w:highlight w:val="none"/>
              </w:rPr>
              <w:t>10.3.5</w:t>
            </w:r>
            <w:r>
              <w:rPr>
                <w:rFonts w:hint="eastAsia" w:ascii="宋体" w:hAnsi="宋体" w:eastAsia="宋体" w:cs="宋体"/>
                <w:color w:val="auto"/>
                <w:sz w:val="21"/>
                <w:szCs w:val="21"/>
                <w:highlight w:val="none"/>
                <w:lang w:eastAsia="zh-CN"/>
              </w:rPr>
              <w:t>条</w:t>
            </w:r>
          </w:p>
        </w:tc>
        <w:tc>
          <w:tcPr>
            <w:tcW w:w="1511" w:type="pct"/>
            <w:noWrap w:val="0"/>
            <w:vAlign w:val="center"/>
          </w:tcPr>
          <w:p w14:paraId="58BCB8FD">
            <w:pPr>
              <w:adjustRightInd w:val="0"/>
              <w:snapToGrid w:val="0"/>
              <w:jc w:val="left"/>
              <w:rPr>
                <w:rFonts w:hint="eastAsia" w:ascii="宋体" w:hAnsi="宋体" w:eastAsia="宋体" w:cs="宋体"/>
                <w:color w:val="auto"/>
                <w:sz w:val="21"/>
                <w:szCs w:val="21"/>
                <w:highlight w:val="none"/>
                <w:lang w:eastAsia="zh-CN"/>
              </w:rPr>
            </w:pPr>
            <w:r>
              <w:rPr>
                <w:rFonts w:hint="eastAsia" w:ascii="宋体" w:hAnsi="宋体" w:eastAsia="宋体" w:cs="宋体"/>
                <w:bCs/>
                <w:color w:val="auto"/>
                <w:sz w:val="21"/>
                <w:szCs w:val="21"/>
                <w:highlight w:val="none"/>
              </w:rPr>
              <w:t>设置</w:t>
            </w:r>
            <w:r>
              <w:rPr>
                <w:rFonts w:hint="eastAsia" w:ascii="宋体" w:hAnsi="宋体" w:eastAsia="宋体" w:cs="宋体"/>
                <w:bCs/>
                <w:color w:val="auto"/>
                <w:sz w:val="21"/>
                <w:szCs w:val="21"/>
                <w:highlight w:val="none"/>
                <w:lang w:eastAsia="zh-CN"/>
              </w:rPr>
              <w:t>了</w:t>
            </w:r>
            <w:r>
              <w:rPr>
                <w:rFonts w:hint="eastAsia" w:ascii="宋体" w:hAnsi="宋体" w:eastAsia="宋体" w:cs="宋体"/>
                <w:bCs/>
                <w:color w:val="auto"/>
                <w:sz w:val="21"/>
                <w:szCs w:val="21"/>
                <w:highlight w:val="none"/>
              </w:rPr>
              <w:t>灯光疏散指示标志</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设置在安全出口和疏散门的正上方</w:t>
            </w:r>
            <w:r>
              <w:rPr>
                <w:rFonts w:hint="eastAsia" w:ascii="宋体" w:hAnsi="宋体" w:eastAsia="宋体" w:cs="宋体"/>
                <w:bCs/>
                <w:color w:val="auto"/>
                <w:sz w:val="21"/>
                <w:szCs w:val="21"/>
                <w:highlight w:val="none"/>
                <w:lang w:eastAsia="zh-CN"/>
              </w:rPr>
              <w:t>。</w:t>
            </w:r>
          </w:p>
        </w:tc>
        <w:tc>
          <w:tcPr>
            <w:tcW w:w="318" w:type="pct"/>
            <w:noWrap w:val="0"/>
            <w:vAlign w:val="center"/>
          </w:tcPr>
          <w:p w14:paraId="1132D2B0">
            <w:pPr>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w:t>
            </w:r>
          </w:p>
        </w:tc>
      </w:tr>
    </w:tbl>
    <w:p w14:paraId="010DC37E">
      <w:pPr>
        <w:pStyle w:val="91"/>
        <w:adjustRightInd w:val="0"/>
        <w:snapToGrid w:val="0"/>
        <w:spacing w:before="157" w:beforeLines="50" w:line="360" w:lineRule="auto"/>
        <w:rPr>
          <w:color w:val="auto"/>
          <w:szCs w:val="21"/>
          <w:highlight w:val="none"/>
        </w:rPr>
      </w:pPr>
      <w:r>
        <w:rPr>
          <w:rFonts w:hint="eastAsia"/>
          <w:color w:val="auto"/>
          <w:highlight w:val="none"/>
          <w:lang w:eastAsia="zh-CN"/>
        </w:rPr>
        <w:t>评价小结，</w:t>
      </w:r>
      <w:r>
        <w:rPr>
          <w:rFonts w:hint="eastAsia" w:ascii="宋体" w:hAnsi="宋体" w:cs="宋体"/>
          <w:bCs/>
          <w:color w:val="auto"/>
          <w:sz w:val="28"/>
          <w:szCs w:val="28"/>
          <w:highlight w:val="none"/>
          <w:lang w:val="en-US" w:eastAsia="zh-CN"/>
        </w:rPr>
        <w:t>危化品仓库的消防设施符合</w:t>
      </w:r>
      <w:r>
        <w:rPr>
          <w:rFonts w:hint="eastAsia" w:ascii="宋体" w:hAnsi="宋体" w:cs="宋体"/>
          <w:bCs/>
          <w:color w:val="auto"/>
          <w:sz w:val="28"/>
          <w:szCs w:val="28"/>
          <w:highlight w:val="none"/>
        </w:rPr>
        <w:t>《中华人民共和国消防法》</w:t>
      </w:r>
      <w:r>
        <w:rPr>
          <w:rFonts w:hint="eastAsia" w:ascii="宋体" w:hAnsi="宋体" w:cs="宋体"/>
          <w:bCs/>
          <w:color w:val="auto"/>
          <w:sz w:val="28"/>
          <w:szCs w:val="28"/>
          <w:highlight w:val="none"/>
          <w:lang w:eastAsia="zh-CN"/>
        </w:rPr>
        <w:t>（</w:t>
      </w:r>
      <w:r>
        <w:rPr>
          <w:rFonts w:hint="eastAsia" w:ascii="宋体" w:hAnsi="宋体" w:eastAsia="宋体" w:cs="宋体"/>
          <w:color w:val="auto"/>
          <w:kern w:val="0"/>
          <w:sz w:val="28"/>
          <w:szCs w:val="28"/>
          <w:highlight w:val="none"/>
        </w:rPr>
        <w:t>主席令</w:t>
      </w:r>
      <w:r>
        <w:rPr>
          <w:rFonts w:hint="eastAsia" w:ascii="宋体" w:hAnsi="宋体"/>
          <w:color w:val="auto"/>
          <w:highlight w:val="none"/>
        </w:rPr>
        <w:t>〔</w:t>
      </w:r>
      <w:r>
        <w:rPr>
          <w:rFonts w:hint="eastAsia" w:ascii="宋体" w:hAnsi="宋体" w:eastAsia="宋体" w:cs="宋体"/>
          <w:color w:val="auto"/>
          <w:kern w:val="0"/>
          <w:sz w:val="28"/>
          <w:szCs w:val="28"/>
          <w:highlight w:val="none"/>
        </w:rPr>
        <w:t>2008</w:t>
      </w:r>
      <w:r>
        <w:rPr>
          <w:rFonts w:hint="eastAsia" w:ascii="宋体" w:hAnsi="宋体"/>
          <w:color w:val="auto"/>
          <w:highlight w:val="none"/>
        </w:rPr>
        <w:t>〕</w:t>
      </w:r>
      <w:r>
        <w:rPr>
          <w:rFonts w:hint="eastAsia" w:ascii="宋体" w:hAnsi="宋体" w:eastAsia="宋体" w:cs="宋体"/>
          <w:color w:val="auto"/>
          <w:kern w:val="0"/>
          <w:sz w:val="28"/>
          <w:szCs w:val="28"/>
          <w:highlight w:val="none"/>
        </w:rPr>
        <w:t>6号</w:t>
      </w:r>
      <w:r>
        <w:rPr>
          <w:rFonts w:hint="eastAsia" w:ascii="宋体" w:hAnsi="宋体" w:cs="宋体"/>
          <w:color w:val="auto"/>
          <w:kern w:val="0"/>
          <w:sz w:val="28"/>
          <w:szCs w:val="28"/>
          <w:highlight w:val="none"/>
          <w:lang w:eastAsia="zh-CN"/>
        </w:rPr>
        <w:t>发布</w:t>
      </w:r>
      <w:r>
        <w:rPr>
          <w:rFonts w:hint="eastAsia" w:ascii="宋体" w:hAnsi="宋体" w:eastAsia="宋体" w:cs="宋体"/>
          <w:color w:val="auto"/>
          <w:kern w:val="0"/>
          <w:sz w:val="28"/>
          <w:szCs w:val="28"/>
          <w:highlight w:val="none"/>
        </w:rPr>
        <w:t>，主席令</w:t>
      </w:r>
      <w:r>
        <w:rPr>
          <w:rFonts w:hint="eastAsia" w:ascii="宋体" w:hAnsi="宋体"/>
          <w:color w:val="auto"/>
          <w:highlight w:val="none"/>
        </w:rPr>
        <w:t>〔</w:t>
      </w:r>
      <w:r>
        <w:rPr>
          <w:rFonts w:hint="eastAsia" w:ascii="宋体" w:hAnsi="宋体" w:eastAsia="宋体" w:cs="宋体"/>
          <w:color w:val="auto"/>
          <w:kern w:val="0"/>
          <w:sz w:val="28"/>
          <w:szCs w:val="28"/>
          <w:highlight w:val="none"/>
        </w:rPr>
        <w:t>2019</w:t>
      </w:r>
      <w:r>
        <w:rPr>
          <w:rFonts w:hint="eastAsia" w:ascii="宋体" w:hAnsi="宋体"/>
          <w:color w:val="auto"/>
          <w:highlight w:val="none"/>
        </w:rPr>
        <w:t>〕</w:t>
      </w:r>
      <w:r>
        <w:rPr>
          <w:rFonts w:hint="eastAsia" w:ascii="宋体" w:hAnsi="宋体" w:eastAsia="宋体" w:cs="宋体"/>
          <w:color w:val="auto"/>
          <w:kern w:val="0"/>
          <w:sz w:val="28"/>
          <w:szCs w:val="28"/>
          <w:highlight w:val="none"/>
        </w:rPr>
        <w:t>29号修改，主席令</w:t>
      </w:r>
      <w:r>
        <w:rPr>
          <w:rFonts w:hint="eastAsia" w:ascii="宋体" w:hAnsi="宋体"/>
          <w:color w:val="auto"/>
          <w:highlight w:val="none"/>
        </w:rPr>
        <w:t>〔</w:t>
      </w:r>
      <w:r>
        <w:rPr>
          <w:rFonts w:hint="eastAsia" w:ascii="宋体" w:hAnsi="宋体" w:eastAsia="宋体" w:cs="宋体"/>
          <w:color w:val="auto"/>
          <w:kern w:val="0"/>
          <w:sz w:val="28"/>
          <w:szCs w:val="28"/>
          <w:highlight w:val="none"/>
        </w:rPr>
        <w:t>2021</w:t>
      </w:r>
      <w:r>
        <w:rPr>
          <w:rFonts w:hint="eastAsia" w:ascii="宋体" w:hAnsi="宋体"/>
          <w:color w:val="auto"/>
          <w:highlight w:val="none"/>
        </w:rPr>
        <w:t>〕</w:t>
      </w:r>
      <w:r>
        <w:rPr>
          <w:rFonts w:hint="eastAsia" w:ascii="宋体" w:hAnsi="宋体" w:eastAsia="宋体" w:cs="宋体"/>
          <w:color w:val="auto"/>
          <w:kern w:val="0"/>
          <w:sz w:val="28"/>
          <w:szCs w:val="28"/>
          <w:highlight w:val="none"/>
        </w:rPr>
        <w:t>81号修改</w:t>
      </w:r>
      <w:r>
        <w:rPr>
          <w:rFonts w:hint="eastAsia" w:ascii="宋体" w:hAnsi="宋体" w:cs="宋体"/>
          <w:bCs/>
          <w:color w:val="auto"/>
          <w:sz w:val="28"/>
          <w:szCs w:val="28"/>
          <w:highlight w:val="none"/>
          <w:lang w:eastAsia="zh-CN"/>
        </w:rPr>
        <w:t>）</w:t>
      </w:r>
      <w:r>
        <w:rPr>
          <w:rFonts w:ascii="宋体" w:hAnsi="宋体" w:cs="宋体"/>
          <w:bCs/>
          <w:color w:val="auto"/>
          <w:sz w:val="28"/>
          <w:szCs w:val="28"/>
          <w:highlight w:val="none"/>
        </w:rPr>
        <w:t>、</w:t>
      </w:r>
      <w:r>
        <w:rPr>
          <w:rFonts w:hint="eastAsia" w:ascii="宋体" w:hAnsi="宋体" w:eastAsia="宋体" w:cs="宋体"/>
          <w:color w:val="auto"/>
          <w:kern w:val="0"/>
          <w:sz w:val="28"/>
          <w:szCs w:val="28"/>
          <w:highlight w:val="none"/>
        </w:rPr>
        <w:t>《建筑设计防火规范》GB50016-2014（2018版）、</w:t>
      </w:r>
      <w:r>
        <w:rPr>
          <w:rFonts w:ascii="宋体" w:hAnsi="宋体" w:cs="宋体"/>
          <w:bCs/>
          <w:color w:val="auto"/>
          <w:sz w:val="28"/>
          <w:szCs w:val="28"/>
          <w:highlight w:val="none"/>
        </w:rPr>
        <w:t>《建筑灭火器配置设计规范》GB50140-2005</w:t>
      </w:r>
      <w:r>
        <w:rPr>
          <w:rFonts w:hint="eastAsia" w:ascii="宋体" w:hAnsi="宋体" w:cs="宋体"/>
          <w:bCs/>
          <w:color w:val="auto"/>
          <w:sz w:val="28"/>
          <w:szCs w:val="28"/>
          <w:highlight w:val="none"/>
          <w:lang w:eastAsia="zh-CN"/>
        </w:rPr>
        <w:t>、《消防给水及消火栓系统技术规范》GB50974-2014、《消防设施通用规范》GB55036-2022的要求</w:t>
      </w:r>
      <w:r>
        <w:rPr>
          <w:rFonts w:hint="eastAsia"/>
          <w:color w:val="auto"/>
          <w:highlight w:val="none"/>
        </w:rPr>
        <w:t>。</w:t>
      </w:r>
    </w:p>
    <w:p w14:paraId="3E123826">
      <w:pPr>
        <w:adjustRightInd w:val="0"/>
        <w:snapToGrid w:val="0"/>
        <w:spacing w:line="360" w:lineRule="auto"/>
        <w:outlineLvl w:val="2"/>
        <w:rPr>
          <w:rFonts w:hint="eastAsia" w:ascii="黑体" w:eastAsia="黑体"/>
          <w:b/>
          <w:bCs/>
          <w:color w:val="auto"/>
          <w:kern w:val="0"/>
          <w:sz w:val="28"/>
          <w:szCs w:val="28"/>
          <w:highlight w:val="none"/>
          <w:lang w:eastAsia="zh-CN"/>
        </w:rPr>
      </w:pPr>
      <w:bookmarkStart w:id="1826" w:name="_Toc9793"/>
      <w:bookmarkStart w:id="1827" w:name="_Toc23812"/>
      <w:bookmarkStart w:id="1828" w:name="_Toc6301"/>
      <w:bookmarkStart w:id="1829" w:name="_Toc3853"/>
      <w:bookmarkStart w:id="1830" w:name="_Toc31188"/>
      <w:bookmarkStart w:id="1831" w:name="_Toc11349"/>
      <w:bookmarkStart w:id="1832" w:name="_Toc6072"/>
      <w:bookmarkStart w:id="1833" w:name="_Toc31951"/>
      <w:bookmarkStart w:id="1834" w:name="_Toc21969"/>
      <w:bookmarkStart w:id="1835" w:name="_Toc8840"/>
      <w:bookmarkStart w:id="1836" w:name="_Toc32228"/>
      <w:bookmarkStart w:id="1837" w:name="_Toc1750"/>
      <w:bookmarkStart w:id="1838" w:name="_Toc28349"/>
      <w:bookmarkStart w:id="1839" w:name="_Toc27463"/>
      <w:bookmarkStart w:id="1840" w:name="_Toc6179"/>
      <w:bookmarkStart w:id="1841" w:name="_Toc4359"/>
      <w:bookmarkStart w:id="1842" w:name="_Toc30906"/>
      <w:bookmarkStart w:id="1843" w:name="_Toc10004"/>
      <w:bookmarkStart w:id="1844" w:name="_Toc14452"/>
      <w:bookmarkStart w:id="1845" w:name="_Toc31235"/>
      <w:bookmarkStart w:id="1846" w:name="_Toc17231"/>
      <w:bookmarkStart w:id="1847" w:name="_Toc18297"/>
      <w:bookmarkStart w:id="1848" w:name="_Toc18286"/>
      <w:bookmarkStart w:id="1849" w:name="_Toc14645"/>
      <w:bookmarkStart w:id="1850" w:name="_Toc60846650"/>
      <w:bookmarkStart w:id="1851" w:name="_Toc498075628"/>
      <w:r>
        <w:rPr>
          <w:rFonts w:ascii="黑体" w:eastAsia="黑体"/>
          <w:b/>
          <w:bCs/>
          <w:color w:val="auto"/>
          <w:kern w:val="0"/>
          <w:sz w:val="28"/>
          <w:szCs w:val="28"/>
          <w:highlight w:val="none"/>
        </w:rPr>
        <w:t>5.1.</w:t>
      </w:r>
      <w:r>
        <w:rPr>
          <w:rFonts w:hint="eastAsia" w:ascii="黑体" w:eastAsia="黑体"/>
          <w:b/>
          <w:bCs/>
          <w:color w:val="auto"/>
          <w:kern w:val="0"/>
          <w:sz w:val="28"/>
          <w:szCs w:val="28"/>
          <w:highlight w:val="none"/>
          <w:lang w:val="en-US" w:eastAsia="zh-CN"/>
        </w:rPr>
        <w:t xml:space="preserve">9 </w:t>
      </w:r>
      <w:r>
        <w:rPr>
          <w:rFonts w:hint="eastAsia" w:ascii="黑体" w:eastAsia="黑体"/>
          <w:b/>
          <w:bCs/>
          <w:color w:val="auto"/>
          <w:kern w:val="0"/>
          <w:sz w:val="28"/>
          <w:szCs w:val="28"/>
          <w:highlight w:val="none"/>
        </w:rPr>
        <w:t>工贸企业</w:t>
      </w:r>
      <w:r>
        <w:rPr>
          <w:rFonts w:ascii="黑体" w:eastAsia="黑体"/>
          <w:b/>
          <w:bCs/>
          <w:color w:val="auto"/>
          <w:kern w:val="0"/>
          <w:sz w:val="28"/>
          <w:szCs w:val="28"/>
          <w:highlight w:val="none"/>
        </w:rPr>
        <w:t>重大</w:t>
      </w:r>
      <w:r>
        <w:rPr>
          <w:rFonts w:hint="eastAsia" w:ascii="黑体" w:eastAsia="黑体"/>
          <w:b/>
          <w:bCs/>
          <w:color w:val="auto"/>
          <w:kern w:val="0"/>
          <w:sz w:val="28"/>
          <w:szCs w:val="28"/>
          <w:highlight w:val="none"/>
          <w:lang w:eastAsia="zh-CN"/>
        </w:rPr>
        <w:t>事故</w:t>
      </w:r>
      <w:r>
        <w:rPr>
          <w:rFonts w:ascii="黑体" w:eastAsia="黑体"/>
          <w:b/>
          <w:bCs/>
          <w:color w:val="auto"/>
          <w:kern w:val="0"/>
          <w:sz w:val="28"/>
          <w:szCs w:val="28"/>
          <w:highlight w:val="none"/>
        </w:rPr>
        <w:t>隐患</w:t>
      </w:r>
      <w:bookmarkEnd w:id="1826"/>
      <w:bookmarkEnd w:id="1827"/>
      <w:bookmarkEnd w:id="1828"/>
      <w:bookmarkEnd w:id="1829"/>
      <w:bookmarkEnd w:id="1830"/>
      <w:bookmarkEnd w:id="1831"/>
      <w:bookmarkEnd w:id="1832"/>
      <w:r>
        <w:rPr>
          <w:rFonts w:hint="eastAsia" w:ascii="黑体" w:eastAsia="黑体"/>
          <w:b/>
          <w:bCs/>
          <w:color w:val="auto"/>
          <w:kern w:val="0"/>
          <w:sz w:val="28"/>
          <w:szCs w:val="28"/>
          <w:highlight w:val="none"/>
          <w:lang w:eastAsia="zh-CN"/>
        </w:rPr>
        <w:t>判定</w:t>
      </w:r>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p>
    <w:p w14:paraId="4811EF2A">
      <w:pPr>
        <w:adjustRightInd w:val="0"/>
        <w:snapToGrid w:val="0"/>
        <w:spacing w:line="360" w:lineRule="auto"/>
        <w:ind w:firstLine="560" w:firstLineChars="200"/>
        <w:rPr>
          <w:rFonts w:hint="eastAsia"/>
          <w:color w:val="auto"/>
          <w:kern w:val="0"/>
          <w:sz w:val="28"/>
          <w:szCs w:val="28"/>
          <w:highlight w:val="none"/>
        </w:rPr>
      </w:pPr>
      <w:r>
        <w:rPr>
          <w:rFonts w:hint="eastAsia"/>
          <w:color w:val="auto"/>
          <w:kern w:val="0"/>
          <w:sz w:val="28"/>
          <w:szCs w:val="28"/>
          <w:highlight w:val="none"/>
        </w:rPr>
        <w:t>按照</w:t>
      </w:r>
      <w:r>
        <w:rPr>
          <w:rFonts w:ascii="宋体" w:hAnsi="宋体" w:cs="宋体"/>
          <w:color w:val="auto"/>
          <w:kern w:val="0"/>
          <w:sz w:val="28"/>
          <w:szCs w:val="28"/>
          <w:highlight w:val="none"/>
        </w:rPr>
        <w:t>《</w:t>
      </w:r>
      <w:r>
        <w:rPr>
          <w:rFonts w:hint="eastAsia" w:ascii="宋体" w:hAnsi="宋体" w:cs="宋体"/>
          <w:color w:val="auto"/>
          <w:kern w:val="0"/>
          <w:sz w:val="28"/>
          <w:szCs w:val="28"/>
          <w:highlight w:val="none"/>
        </w:rPr>
        <w:t>工贸企业重大事故隐患判定标准</w:t>
      </w:r>
      <w:r>
        <w:rPr>
          <w:rFonts w:ascii="宋体" w:hAnsi="宋体" w:cs="宋体"/>
          <w:color w:val="auto"/>
          <w:kern w:val="0"/>
          <w:sz w:val="28"/>
          <w:szCs w:val="28"/>
          <w:highlight w:val="none"/>
        </w:rPr>
        <w:t>》</w:t>
      </w:r>
      <w:r>
        <w:rPr>
          <w:rFonts w:hint="eastAsia" w:ascii="宋体" w:hAnsi="宋体" w:cs="宋体"/>
          <w:color w:val="auto"/>
          <w:kern w:val="0"/>
          <w:sz w:val="28"/>
          <w:szCs w:val="28"/>
          <w:highlight w:val="none"/>
        </w:rPr>
        <w:t>应急管理部令第10号</w:t>
      </w:r>
      <w:r>
        <w:rPr>
          <w:rFonts w:ascii="宋体" w:hAnsi="宋体" w:cs="宋体"/>
          <w:color w:val="auto"/>
          <w:kern w:val="0"/>
          <w:sz w:val="28"/>
          <w:szCs w:val="28"/>
          <w:highlight w:val="none"/>
        </w:rPr>
        <w:t>、《工贸企业重大事故隐患判定标准解读》</w:t>
      </w:r>
      <w:r>
        <w:rPr>
          <w:rFonts w:hint="eastAsia"/>
          <w:color w:val="auto"/>
          <w:kern w:val="0"/>
          <w:sz w:val="28"/>
          <w:szCs w:val="28"/>
          <w:highlight w:val="none"/>
        </w:rPr>
        <w:t>的要求对</w:t>
      </w:r>
      <w:r>
        <w:rPr>
          <w:rFonts w:hint="eastAsia"/>
          <w:color w:val="auto"/>
          <w:kern w:val="0"/>
          <w:sz w:val="28"/>
          <w:szCs w:val="28"/>
          <w:highlight w:val="none"/>
          <w:lang w:eastAsia="zh-CN"/>
        </w:rPr>
        <w:t>危化品仓库</w:t>
      </w:r>
      <w:r>
        <w:rPr>
          <w:rFonts w:hint="eastAsia"/>
          <w:color w:val="auto"/>
          <w:kern w:val="0"/>
          <w:sz w:val="28"/>
          <w:szCs w:val="28"/>
          <w:highlight w:val="none"/>
        </w:rPr>
        <w:t>的重大生产安全事故隐患进行</w:t>
      </w:r>
      <w:r>
        <w:rPr>
          <w:rFonts w:hint="eastAsia"/>
          <w:color w:val="auto"/>
          <w:kern w:val="0"/>
          <w:sz w:val="28"/>
          <w:szCs w:val="28"/>
          <w:highlight w:val="none"/>
          <w:lang w:eastAsia="zh-CN"/>
        </w:rPr>
        <w:t>排查</w:t>
      </w:r>
      <w:r>
        <w:rPr>
          <w:rFonts w:hint="eastAsia"/>
          <w:color w:val="auto"/>
          <w:kern w:val="0"/>
          <w:sz w:val="28"/>
          <w:szCs w:val="28"/>
          <w:highlight w:val="none"/>
        </w:rPr>
        <w:t>，</w:t>
      </w:r>
      <w:r>
        <w:rPr>
          <w:rFonts w:hint="eastAsia"/>
          <w:color w:val="auto"/>
          <w:kern w:val="0"/>
          <w:sz w:val="28"/>
          <w:szCs w:val="28"/>
          <w:highlight w:val="none"/>
          <w:lang w:eastAsia="zh-CN"/>
        </w:rPr>
        <w:t>排查</w:t>
      </w:r>
      <w:r>
        <w:rPr>
          <w:rFonts w:hint="eastAsia"/>
          <w:color w:val="auto"/>
          <w:kern w:val="0"/>
          <w:sz w:val="28"/>
          <w:szCs w:val="28"/>
          <w:highlight w:val="none"/>
        </w:rPr>
        <w:t>情况详见下表。</w:t>
      </w:r>
    </w:p>
    <w:p w14:paraId="5E125DF4">
      <w:pPr>
        <w:pStyle w:val="136"/>
        <w:widowControl w:val="0"/>
        <w:adjustRightInd w:val="0"/>
        <w:spacing w:line="360" w:lineRule="auto"/>
        <w:jc w:val="center"/>
        <w:rPr>
          <w:rFonts w:hint="eastAsia" w:ascii="黑体" w:hAnsi="黑体" w:eastAsia="黑体"/>
          <w:b/>
          <w:bCs w:val="0"/>
          <w:color w:val="auto"/>
          <w:kern w:val="0"/>
          <w:sz w:val="24"/>
          <w:szCs w:val="24"/>
          <w:highlight w:val="none"/>
        </w:rPr>
      </w:pPr>
    </w:p>
    <w:p w14:paraId="5C84E3BA">
      <w:pPr>
        <w:pStyle w:val="136"/>
        <w:widowControl w:val="0"/>
        <w:adjustRightInd w:val="0"/>
        <w:spacing w:line="360" w:lineRule="auto"/>
        <w:jc w:val="center"/>
        <w:rPr>
          <w:rFonts w:hint="eastAsia" w:ascii="黑体" w:hAnsi="黑体" w:eastAsia="黑体"/>
          <w:b/>
          <w:bCs w:val="0"/>
          <w:color w:val="auto"/>
          <w:kern w:val="0"/>
          <w:sz w:val="24"/>
          <w:szCs w:val="24"/>
          <w:highlight w:val="none"/>
        </w:rPr>
      </w:pPr>
    </w:p>
    <w:p w14:paraId="4E336C08">
      <w:pPr>
        <w:pStyle w:val="136"/>
        <w:widowControl w:val="0"/>
        <w:adjustRightInd w:val="0"/>
        <w:spacing w:line="360" w:lineRule="auto"/>
        <w:jc w:val="center"/>
        <w:rPr>
          <w:rFonts w:hAnsi="黑体"/>
          <w:b/>
          <w:bCs w:val="0"/>
          <w:color w:val="auto"/>
          <w:kern w:val="0"/>
          <w:sz w:val="24"/>
          <w:szCs w:val="24"/>
          <w:highlight w:val="none"/>
        </w:rPr>
      </w:pPr>
      <w:r>
        <w:rPr>
          <w:rFonts w:hint="eastAsia" w:ascii="黑体" w:hAnsi="黑体" w:eastAsia="黑体"/>
          <w:b/>
          <w:bCs w:val="0"/>
          <w:color w:val="auto"/>
          <w:kern w:val="0"/>
          <w:sz w:val="24"/>
          <w:szCs w:val="24"/>
          <w:highlight w:val="none"/>
        </w:rPr>
        <w:t>表</w:t>
      </w:r>
      <w:r>
        <w:rPr>
          <w:rFonts w:ascii="黑体" w:hAnsi="黑体" w:eastAsia="黑体"/>
          <w:b/>
          <w:bCs w:val="0"/>
          <w:color w:val="auto"/>
          <w:kern w:val="0"/>
          <w:sz w:val="24"/>
          <w:szCs w:val="24"/>
          <w:highlight w:val="none"/>
        </w:rPr>
        <w:t>5.1-</w:t>
      </w:r>
      <w:r>
        <w:rPr>
          <w:rFonts w:hint="eastAsia" w:ascii="黑体" w:hAnsi="黑体" w:eastAsia="黑体"/>
          <w:b/>
          <w:bCs w:val="0"/>
          <w:color w:val="auto"/>
          <w:kern w:val="0"/>
          <w:sz w:val="24"/>
          <w:szCs w:val="24"/>
          <w:highlight w:val="none"/>
          <w:lang w:val="en-US" w:eastAsia="zh-CN"/>
        </w:rPr>
        <w:t>1</w:t>
      </w:r>
      <w:r>
        <w:rPr>
          <w:rFonts w:hint="eastAsia"/>
          <w:b/>
          <w:bCs w:val="0"/>
          <w:color w:val="auto"/>
          <w:kern w:val="0"/>
          <w:sz w:val="24"/>
          <w:szCs w:val="24"/>
          <w:highlight w:val="none"/>
          <w:lang w:val="en-US" w:eastAsia="zh-CN"/>
        </w:rPr>
        <w:t>7</w:t>
      </w:r>
      <w:r>
        <w:rPr>
          <w:rFonts w:hint="eastAsia" w:ascii="黑体" w:hAnsi="黑体" w:eastAsia="黑体"/>
          <w:b/>
          <w:bCs w:val="0"/>
          <w:color w:val="auto"/>
          <w:kern w:val="0"/>
          <w:sz w:val="24"/>
          <w:szCs w:val="24"/>
          <w:highlight w:val="none"/>
        </w:rPr>
        <w:t>重大隐患</w:t>
      </w:r>
      <w:r>
        <w:rPr>
          <w:rFonts w:hint="eastAsia"/>
          <w:b/>
          <w:bCs w:val="0"/>
          <w:color w:val="auto"/>
          <w:kern w:val="0"/>
          <w:sz w:val="24"/>
          <w:szCs w:val="24"/>
          <w:highlight w:val="none"/>
          <w:lang w:eastAsia="zh-CN"/>
        </w:rPr>
        <w:t>排查</w:t>
      </w:r>
      <w:r>
        <w:rPr>
          <w:rFonts w:hint="eastAsia" w:ascii="黑体" w:hAnsi="黑体" w:eastAsia="黑体"/>
          <w:b/>
          <w:bCs w:val="0"/>
          <w:color w:val="auto"/>
          <w:kern w:val="0"/>
          <w:sz w:val="24"/>
          <w:szCs w:val="24"/>
          <w:highlight w:val="none"/>
        </w:rPr>
        <w:t>表</w:t>
      </w:r>
    </w:p>
    <w:tbl>
      <w:tblPr>
        <w:tblStyle w:val="6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2925"/>
        <w:gridCol w:w="3751"/>
        <w:gridCol w:w="1824"/>
        <w:gridCol w:w="464"/>
      </w:tblGrid>
      <w:tr w14:paraId="7D320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27" w:type="pct"/>
            <w:vAlign w:val="center"/>
          </w:tcPr>
          <w:p w14:paraId="3B650C1E">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1558" w:type="pct"/>
            <w:vAlign w:val="center"/>
          </w:tcPr>
          <w:p w14:paraId="4A6D2298">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应急管理部令第10号</w:t>
            </w:r>
          </w:p>
        </w:tc>
        <w:tc>
          <w:tcPr>
            <w:tcW w:w="1997" w:type="pct"/>
            <w:vAlign w:val="center"/>
          </w:tcPr>
          <w:p w14:paraId="359DDD6A">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《工贸企业重大事故隐患判定标准解读》</w:t>
            </w:r>
          </w:p>
        </w:tc>
        <w:tc>
          <w:tcPr>
            <w:tcW w:w="971" w:type="pct"/>
            <w:vAlign w:val="center"/>
          </w:tcPr>
          <w:p w14:paraId="59D42843">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检查情况</w:t>
            </w:r>
          </w:p>
        </w:tc>
        <w:tc>
          <w:tcPr>
            <w:tcW w:w="245" w:type="pct"/>
          </w:tcPr>
          <w:p w14:paraId="65AA158F">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结论</w:t>
            </w:r>
          </w:p>
        </w:tc>
      </w:tr>
      <w:tr w14:paraId="3534B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252E90DF">
            <w:pPr>
              <w:adjustRightInd w:val="0"/>
              <w:snapToGrid w:val="0"/>
              <w:jc w:val="left"/>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第三条  工贸企业有下列情形之一的，应当判定为重大事故隐患：</w:t>
            </w:r>
          </w:p>
        </w:tc>
      </w:tr>
      <w:tr w14:paraId="03555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46509AA3">
            <w:pPr>
              <w:numPr>
                <w:ilvl w:val="0"/>
                <w:numId w:val="59"/>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6EF4FEB2">
            <w:pPr>
              <w:adjustRightInd w:val="0"/>
              <w:snapToGrid w:val="0"/>
              <w:jc w:val="left"/>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（一）未对承包单位、承租单位的安全生产工作统一协调、管理，或者未定期进行安全检查的；</w:t>
            </w:r>
          </w:p>
        </w:tc>
        <w:tc>
          <w:tcPr>
            <w:tcW w:w="1997" w:type="pct"/>
            <w:vAlign w:val="center"/>
          </w:tcPr>
          <w:p w14:paraId="60E4833D">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判定情形：</w:t>
            </w:r>
          </w:p>
          <w:p w14:paraId="2AAA5355">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（1）生产经营项目、场所发包或者出租给其他单位的，企业未与承包单位、承租单位签订专门的安全生产管理协议，或者未在承包合同、承租合同中约定各自的安全生产管理职责。</w:t>
            </w:r>
          </w:p>
          <w:p w14:paraId="571ADBB2">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（2）生产经营项目、场所发包或者出租给其他单位的，企业与承包单位、承租单位签订的安全生产管理协议、承包合同、承租合同中，免除或者转嫁企业安全生产工作统一协调、管理义务。</w:t>
            </w:r>
          </w:p>
          <w:p w14:paraId="631F7A4F">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（3）生产经营项目、场所发包或者出租给其他单位的，企业未按照安全生产规章制度或者协议、合同中的要求，定期对承包单位、承租单位进行安全检查，或者发现安全问题未督促整改。</w:t>
            </w:r>
          </w:p>
        </w:tc>
        <w:tc>
          <w:tcPr>
            <w:tcW w:w="971" w:type="pct"/>
            <w:vAlign w:val="center"/>
          </w:tcPr>
          <w:p w14:paraId="12E30D96">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cs="宋体"/>
                <w:color w:val="auto"/>
                <w:kern w:val="0"/>
                <w:szCs w:val="21"/>
                <w:highlight w:val="none"/>
                <w:lang w:eastAsia="zh-CN"/>
              </w:rPr>
              <w:t>本项目不涉及</w:t>
            </w:r>
            <w:r>
              <w:rPr>
                <w:rFonts w:hint="eastAsia" w:ascii="宋体" w:hAnsi="宋体" w:cs="宋体"/>
                <w:color w:val="auto"/>
                <w:kern w:val="0"/>
                <w:szCs w:val="21"/>
                <w:highlight w:val="none"/>
              </w:rPr>
              <w:t>承包单位、承租单位</w:t>
            </w:r>
            <w:r>
              <w:rPr>
                <w:rFonts w:hint="eastAsia" w:ascii="宋体" w:hAnsi="宋体" w:cs="宋体"/>
                <w:color w:val="auto"/>
                <w:kern w:val="0"/>
                <w:szCs w:val="21"/>
                <w:highlight w:val="none"/>
                <w:lang w:eastAsia="zh-CN"/>
              </w:rPr>
              <w:t>。</w:t>
            </w:r>
          </w:p>
        </w:tc>
        <w:tc>
          <w:tcPr>
            <w:tcW w:w="245" w:type="pct"/>
            <w:vAlign w:val="center"/>
          </w:tcPr>
          <w:p w14:paraId="0C793F45">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r w14:paraId="002A7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4267F0EF">
            <w:pPr>
              <w:numPr>
                <w:ilvl w:val="0"/>
                <w:numId w:val="59"/>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55050913">
            <w:pPr>
              <w:adjustRightInd w:val="0"/>
              <w:snapToGrid w:val="0"/>
              <w:jc w:val="left"/>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（二）特种作业人员未按照规定经专门的安全作业培训并取得相应资格，上岗作业的；</w:t>
            </w:r>
          </w:p>
        </w:tc>
        <w:tc>
          <w:tcPr>
            <w:tcW w:w="1997" w:type="pct"/>
            <w:vAlign w:val="center"/>
          </w:tcPr>
          <w:p w14:paraId="184EBC46">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判定情形：</w:t>
            </w:r>
          </w:p>
          <w:p w14:paraId="4481D76B">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（1）企业使用未取得相应特种作业操作证的特种作业人员上岗作业。</w:t>
            </w:r>
          </w:p>
          <w:p w14:paraId="7AD98A49">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（2）企业使用伪造特种作业操作证的特种作业人员上岗作业。</w:t>
            </w:r>
          </w:p>
          <w:p w14:paraId="6405AD42">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（3）企业使用特种作业操作证已过有效期或者到期未复审的特种作业人员上岗作业。</w:t>
            </w:r>
          </w:p>
        </w:tc>
        <w:tc>
          <w:tcPr>
            <w:tcW w:w="971" w:type="pct"/>
            <w:vAlign w:val="center"/>
          </w:tcPr>
          <w:p w14:paraId="4C414BB6">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（1）使用取得相应特种作业操作证的特种作业人员上岗作业。</w:t>
            </w:r>
          </w:p>
          <w:p w14:paraId="49B007F8">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未</w:t>
            </w:r>
            <w:r>
              <w:rPr>
                <w:rFonts w:hint="eastAsia" w:ascii="宋体" w:hAnsi="宋体" w:cs="宋体"/>
                <w:color w:val="auto"/>
                <w:kern w:val="0"/>
                <w:szCs w:val="21"/>
                <w:highlight w:val="none"/>
              </w:rPr>
              <w:t>使用伪造特种作业操作证的特种作业人员上岗作业。</w:t>
            </w:r>
          </w:p>
          <w:p w14:paraId="3C29DD6C">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（3）使用特种作业操作证</w:t>
            </w:r>
            <w:r>
              <w:rPr>
                <w:rFonts w:hint="eastAsia" w:ascii="宋体" w:hAnsi="宋体" w:cs="宋体"/>
                <w:color w:val="auto"/>
                <w:kern w:val="0"/>
                <w:szCs w:val="21"/>
                <w:highlight w:val="none"/>
                <w:lang w:eastAsia="zh-CN"/>
              </w:rPr>
              <w:t>在</w:t>
            </w:r>
            <w:r>
              <w:rPr>
                <w:rFonts w:hint="eastAsia" w:ascii="宋体" w:hAnsi="宋体" w:cs="宋体"/>
                <w:color w:val="auto"/>
                <w:kern w:val="0"/>
                <w:szCs w:val="21"/>
                <w:highlight w:val="none"/>
              </w:rPr>
              <w:t>有效期</w:t>
            </w:r>
            <w:r>
              <w:rPr>
                <w:rFonts w:hint="eastAsia" w:ascii="宋体" w:hAnsi="宋体" w:cs="宋体"/>
                <w:color w:val="auto"/>
                <w:kern w:val="0"/>
                <w:szCs w:val="21"/>
                <w:highlight w:val="none"/>
                <w:lang w:eastAsia="zh-CN"/>
              </w:rPr>
              <w:t>内、按</w:t>
            </w:r>
            <w:r>
              <w:rPr>
                <w:rFonts w:hint="eastAsia" w:ascii="宋体" w:hAnsi="宋体" w:cs="宋体"/>
                <w:color w:val="auto"/>
                <w:kern w:val="0"/>
                <w:szCs w:val="21"/>
                <w:highlight w:val="none"/>
              </w:rPr>
              <w:t>期复审的特种作业人员上岗作业。</w:t>
            </w:r>
          </w:p>
        </w:tc>
        <w:tc>
          <w:tcPr>
            <w:tcW w:w="245" w:type="pct"/>
            <w:vAlign w:val="center"/>
          </w:tcPr>
          <w:p w14:paraId="20530B09">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r w14:paraId="36723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5084D8D3">
            <w:pPr>
              <w:numPr>
                <w:ilvl w:val="0"/>
                <w:numId w:val="59"/>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193CB77A">
            <w:pPr>
              <w:adjustRightInd w:val="0"/>
              <w:snapToGrid w:val="0"/>
              <w:jc w:val="left"/>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（三）金属冶炼企业主要负责人、安全生产管理人员未按照规定经考核合格的。</w:t>
            </w:r>
          </w:p>
        </w:tc>
        <w:tc>
          <w:tcPr>
            <w:tcW w:w="1997" w:type="pct"/>
            <w:vAlign w:val="center"/>
          </w:tcPr>
          <w:p w14:paraId="141D1430">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判定情形：</w:t>
            </w:r>
          </w:p>
          <w:p w14:paraId="1F064EC0">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金属冶炼企业主要负责人、安全生产管理人员任职之日起6个月后，未经相应的应急管理部门考核合格。</w:t>
            </w:r>
          </w:p>
        </w:tc>
        <w:tc>
          <w:tcPr>
            <w:tcW w:w="971" w:type="pct"/>
            <w:vAlign w:val="center"/>
          </w:tcPr>
          <w:p w14:paraId="251BF71A">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cs="宋体"/>
                <w:color w:val="auto"/>
                <w:kern w:val="0"/>
                <w:szCs w:val="21"/>
                <w:highlight w:val="none"/>
                <w:lang w:eastAsia="zh-CN"/>
              </w:rPr>
              <w:t>不是</w:t>
            </w:r>
            <w:r>
              <w:rPr>
                <w:rFonts w:hint="eastAsia" w:ascii="宋体" w:hAnsi="宋体" w:cs="宋体"/>
                <w:color w:val="auto"/>
                <w:kern w:val="0"/>
                <w:szCs w:val="21"/>
                <w:highlight w:val="none"/>
              </w:rPr>
              <w:t>金属冶炼企业</w:t>
            </w:r>
            <w:r>
              <w:rPr>
                <w:rFonts w:hint="eastAsia" w:ascii="宋体" w:hAnsi="宋体" w:cs="宋体"/>
                <w:color w:val="auto"/>
                <w:kern w:val="0"/>
                <w:szCs w:val="21"/>
                <w:highlight w:val="none"/>
                <w:lang w:eastAsia="zh-CN"/>
              </w:rPr>
              <w:t>。</w:t>
            </w:r>
          </w:p>
        </w:tc>
        <w:tc>
          <w:tcPr>
            <w:tcW w:w="245" w:type="pct"/>
            <w:vAlign w:val="center"/>
          </w:tcPr>
          <w:p w14:paraId="275D6E64">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r w14:paraId="378B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69AE1D5B">
            <w:pPr>
              <w:adjustRightInd w:val="0"/>
              <w:snapToGrid w:val="0"/>
              <w:jc w:val="both"/>
              <w:rPr>
                <w:rFonts w:hint="eastAsia" w:ascii="宋体" w:hAnsi="宋体" w:cs="宋体"/>
                <w:color w:val="auto"/>
                <w:kern w:val="0"/>
                <w:sz w:val="21"/>
                <w:szCs w:val="21"/>
                <w:highlight w:val="none"/>
                <w:lang w:eastAsia="zh-CN"/>
              </w:rPr>
            </w:pPr>
            <w:r>
              <w:rPr>
                <w:rFonts w:hint="eastAsia" w:ascii="宋体" w:hAnsi="宋体" w:cs="宋体"/>
                <w:color w:val="auto"/>
                <w:kern w:val="0"/>
                <w:szCs w:val="21"/>
                <w:highlight w:val="none"/>
              </w:rPr>
              <w:t>第八条  轻工企业有下列情形之一的，应当判定为重大事故隐患：</w:t>
            </w:r>
          </w:p>
        </w:tc>
      </w:tr>
      <w:tr w14:paraId="5B7AC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7B681825">
            <w:pPr>
              <w:numPr>
                <w:ilvl w:val="0"/>
                <w:numId w:val="60"/>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42E452BD">
            <w:pPr>
              <w:adjustRightInd w:val="0"/>
              <w:snapToGrid w:val="0"/>
              <w:jc w:val="left"/>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Cs w:val="21"/>
                <w:highlight w:val="none"/>
              </w:rPr>
              <w:t>（一）食品制造企业烘制、油炸设备未设置防过热自动切断装置的；</w:t>
            </w:r>
          </w:p>
        </w:tc>
        <w:tc>
          <w:tcPr>
            <w:tcW w:w="1997" w:type="pct"/>
            <w:vAlign w:val="center"/>
          </w:tcPr>
          <w:p w14:paraId="3DF6958A">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1.说明：</w:t>
            </w:r>
          </w:p>
          <w:p w14:paraId="1DB86D96">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“防过热自动切断装置”是指当加热温度超过要求时</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可以自动切断电源或者燃气等供热源的装置。</w:t>
            </w:r>
          </w:p>
          <w:p w14:paraId="5238CDFA">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119C58C1">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（1）食品制造企业烘制设备未设置防过热自动切断装置。</w:t>
            </w:r>
          </w:p>
          <w:p w14:paraId="791FC718">
            <w:pPr>
              <w:adjustRightInd w:val="0"/>
              <w:snapToGrid w:val="0"/>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Cs w:val="21"/>
                <w:highlight w:val="none"/>
              </w:rPr>
              <w:t>（2）食品制造企业油炸设备未设置防过热自动切断装置。</w:t>
            </w:r>
          </w:p>
        </w:tc>
        <w:tc>
          <w:tcPr>
            <w:tcW w:w="971" w:type="pct"/>
            <w:vAlign w:val="center"/>
          </w:tcPr>
          <w:p w14:paraId="192598A0">
            <w:pPr>
              <w:adjustRightInd w:val="0"/>
              <w:snapToGrid w:val="0"/>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eastAsia="zh-CN"/>
              </w:rPr>
              <w:t>不涉及。</w:t>
            </w:r>
          </w:p>
        </w:tc>
        <w:tc>
          <w:tcPr>
            <w:tcW w:w="245" w:type="pct"/>
            <w:vAlign w:val="center"/>
          </w:tcPr>
          <w:p w14:paraId="1BD10483">
            <w:pPr>
              <w:adjustRightInd w:val="0"/>
              <w:snapToGrid w:val="0"/>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eastAsia="zh-CN"/>
              </w:rPr>
              <w:t>否</w:t>
            </w:r>
          </w:p>
        </w:tc>
      </w:tr>
      <w:tr w14:paraId="55F38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60B604E4">
            <w:pPr>
              <w:numPr>
                <w:ilvl w:val="0"/>
                <w:numId w:val="60"/>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7386614E">
            <w:pPr>
              <w:adjustRightInd w:val="0"/>
              <w:snapToGrid w:val="0"/>
              <w:jc w:val="left"/>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（二）白酒勾兑、灌装场所和酒库未设置固定式乙醇蒸气浓度监测报警装置，或者监测报警装置未与通风设施联锁的；</w:t>
            </w:r>
          </w:p>
        </w:tc>
        <w:tc>
          <w:tcPr>
            <w:tcW w:w="1997" w:type="pct"/>
            <w:vAlign w:val="center"/>
          </w:tcPr>
          <w:p w14:paraId="645DC7EE">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1.说明：</w:t>
            </w:r>
          </w:p>
          <w:p w14:paraId="56195062">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“酒库”是指采用陶坛、橡木桶或者金属储罐等容器存放白酒的室内场所，包括人工洞酒库。</w:t>
            </w:r>
          </w:p>
          <w:p w14:paraId="477449F5">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54BD0BFB">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（1）白酒生产企业的白酒勾兑、灌装场所和酒库未设置固定式乙醇蒸气浓度监测报警装置。</w:t>
            </w:r>
          </w:p>
          <w:p w14:paraId="226A7766">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（2）白酒生产企业的白酒勾兑、灌装场所和酒库未设置机械通风设施。</w:t>
            </w:r>
          </w:p>
          <w:p w14:paraId="6890F618">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（3）白酒生产企业的白酒勾兑、灌装场所和酒库固定式乙醇蒸气浓度监测报警装置未与通风设施联锁。</w:t>
            </w:r>
          </w:p>
          <w:p w14:paraId="2088D083">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3.除外情形：</w:t>
            </w:r>
          </w:p>
          <w:p w14:paraId="7A6828FC">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制（酿）酒车间用于临时储存或者中转的酒库；半敞开式酒库。</w:t>
            </w:r>
          </w:p>
        </w:tc>
        <w:tc>
          <w:tcPr>
            <w:tcW w:w="971" w:type="pct"/>
            <w:vAlign w:val="center"/>
          </w:tcPr>
          <w:p w14:paraId="4C1BDC0B">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不涉及。</w:t>
            </w:r>
          </w:p>
        </w:tc>
        <w:tc>
          <w:tcPr>
            <w:tcW w:w="245" w:type="pct"/>
            <w:vAlign w:val="center"/>
          </w:tcPr>
          <w:p w14:paraId="0DF45532">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否</w:t>
            </w:r>
          </w:p>
        </w:tc>
      </w:tr>
      <w:tr w14:paraId="2E565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04B89CAB">
            <w:pPr>
              <w:numPr>
                <w:ilvl w:val="0"/>
                <w:numId w:val="60"/>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60340E0C">
            <w:pPr>
              <w:adjustRightInd w:val="0"/>
              <w:snapToGrid w:val="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（三）纸浆制造、造纸企业使用蒸气、明火直接加热钢瓶汽化液氯的；</w:t>
            </w:r>
          </w:p>
        </w:tc>
        <w:tc>
          <w:tcPr>
            <w:tcW w:w="1997" w:type="pct"/>
            <w:vAlign w:val="center"/>
          </w:tcPr>
          <w:p w14:paraId="7124C7BD">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判定情形：</w:t>
            </w:r>
          </w:p>
          <w:p w14:paraId="5786E243">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（1）纸浆制造、造纸企业使用蒸气直接加热钢瓶汽化液氯。</w:t>
            </w:r>
          </w:p>
          <w:p w14:paraId="4F81B178">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（2）纸浆制造、造纸企业使用明火直接加热钢瓶汽化液氯。</w:t>
            </w:r>
          </w:p>
        </w:tc>
        <w:tc>
          <w:tcPr>
            <w:tcW w:w="971" w:type="pct"/>
            <w:vAlign w:val="center"/>
          </w:tcPr>
          <w:p w14:paraId="4C59886E">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不涉及。</w:t>
            </w:r>
          </w:p>
        </w:tc>
        <w:tc>
          <w:tcPr>
            <w:tcW w:w="245" w:type="pct"/>
            <w:vAlign w:val="center"/>
          </w:tcPr>
          <w:p w14:paraId="196573AE">
            <w:pPr>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否</w:t>
            </w:r>
          </w:p>
        </w:tc>
      </w:tr>
      <w:tr w14:paraId="4DAEA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135256BB">
            <w:pPr>
              <w:numPr>
                <w:ilvl w:val="0"/>
                <w:numId w:val="60"/>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5CAB2634">
            <w:pPr>
              <w:adjustRightInd w:val="0"/>
              <w:snapToGrid w:val="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（四）日用玻璃、陶瓷制造企业采用预混燃烧方式的燃气窑炉（热发生炉煤气窑炉除外）的燃气总管未设置管道压力监测报警装置，或者监测报警装置未与紧急自动切断装置联锁的；</w:t>
            </w:r>
          </w:p>
        </w:tc>
        <w:tc>
          <w:tcPr>
            <w:tcW w:w="1997" w:type="pct"/>
            <w:vAlign w:val="center"/>
          </w:tcPr>
          <w:p w14:paraId="527F56AC">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1.说明：</w:t>
            </w:r>
          </w:p>
          <w:p w14:paraId="6D6A9F81">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“燃气总管”是指供应单体燃气窑炉全部燃气的管道。</w:t>
            </w:r>
          </w:p>
          <w:p w14:paraId="0205CF21">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7D69E7FD">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（1）日用玻璃、陶瓷制造企业采用预混、部分预混燃烧方式的燃气窑炉的燃气总管未设置管道压力监测报警装置。</w:t>
            </w:r>
          </w:p>
          <w:p w14:paraId="7FE9FC5C">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（2）燃气窑炉的燃气总管未设置紧急自动切断装置。</w:t>
            </w:r>
          </w:p>
          <w:p w14:paraId="78FB3121">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（3）燃气总管的管道压力监测报警装置未与紧急自动切断装置联锁。</w:t>
            </w:r>
          </w:p>
          <w:p w14:paraId="51B26122">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3.除外情形：</w:t>
            </w:r>
          </w:p>
          <w:p w14:paraId="36796E83">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采用扩散燃烧方式的燃气窑炉；热发生炉煤气窑炉。</w:t>
            </w:r>
          </w:p>
        </w:tc>
        <w:tc>
          <w:tcPr>
            <w:tcW w:w="971" w:type="pct"/>
            <w:vAlign w:val="center"/>
          </w:tcPr>
          <w:p w14:paraId="0343540E">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不涉及。</w:t>
            </w:r>
          </w:p>
        </w:tc>
        <w:tc>
          <w:tcPr>
            <w:tcW w:w="245" w:type="pct"/>
            <w:vAlign w:val="center"/>
          </w:tcPr>
          <w:p w14:paraId="5FAFD099">
            <w:pPr>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否</w:t>
            </w:r>
          </w:p>
        </w:tc>
      </w:tr>
      <w:tr w14:paraId="69B85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7C585567">
            <w:pPr>
              <w:numPr>
                <w:ilvl w:val="0"/>
                <w:numId w:val="60"/>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38B4E15D">
            <w:pPr>
              <w:adjustRightInd w:val="0"/>
              <w:snapToGrid w:val="0"/>
              <w:jc w:val="left"/>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（五）日用玻璃制造企业玻璃窑炉的冷却保护系统未设置监测报警装置的；</w:t>
            </w:r>
          </w:p>
        </w:tc>
        <w:tc>
          <w:tcPr>
            <w:tcW w:w="1997" w:type="pct"/>
            <w:vAlign w:val="center"/>
          </w:tcPr>
          <w:p w14:paraId="5AAEF301">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判定情形：</w:t>
            </w:r>
          </w:p>
          <w:p w14:paraId="4D75BD02">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（1）日用玻璃制造企业玻璃窑炉未设置冷却保护系统。</w:t>
            </w:r>
          </w:p>
          <w:p w14:paraId="2727C7A8">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（2）日用玻璃制造企业玻璃窑炉使用水冷保护系统的，进水总管未设置水流量监测报警装置，也未设置压力监测报警装置。</w:t>
            </w:r>
          </w:p>
          <w:p w14:paraId="06603D43">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（3）日用玻璃制造企业玻璃窑炉使用风冷保护系统的，未设置风机停机监测报警装置。</w:t>
            </w:r>
          </w:p>
        </w:tc>
        <w:tc>
          <w:tcPr>
            <w:tcW w:w="971" w:type="pct"/>
            <w:vAlign w:val="center"/>
          </w:tcPr>
          <w:p w14:paraId="342281A6">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不涉及。</w:t>
            </w:r>
          </w:p>
        </w:tc>
        <w:tc>
          <w:tcPr>
            <w:tcW w:w="245" w:type="pct"/>
            <w:vAlign w:val="center"/>
          </w:tcPr>
          <w:p w14:paraId="0790B839">
            <w:pPr>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否</w:t>
            </w:r>
          </w:p>
        </w:tc>
      </w:tr>
      <w:tr w14:paraId="75DA4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4925D3DB">
            <w:pPr>
              <w:numPr>
                <w:ilvl w:val="0"/>
                <w:numId w:val="60"/>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3B919D5D">
            <w:pPr>
              <w:adjustRightInd w:val="0"/>
              <w:snapToGrid w:val="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（六）使用非水性漆的调漆间、喷漆室未设置固定式可燃气体浓度监测报警装置或者通风设施的；</w:t>
            </w:r>
          </w:p>
        </w:tc>
        <w:tc>
          <w:tcPr>
            <w:tcW w:w="1997" w:type="pct"/>
            <w:vAlign w:val="center"/>
          </w:tcPr>
          <w:p w14:paraId="38178B40">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1.说明：</w:t>
            </w:r>
          </w:p>
          <w:p w14:paraId="0D5CB0F3">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“水性漆”即水性涂料，是指挥发物的主要成分为水的一类涂料。</w:t>
            </w:r>
          </w:p>
          <w:p w14:paraId="7A8936ED">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771998EE">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（1）使用非水性漆的调漆间、喷漆室未设置固定式可燃气体浓度监测报警。</w:t>
            </w:r>
          </w:p>
          <w:p w14:paraId="077B1FF9">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（2）使用非水性漆的调漆间、喷漆室未设置通风设施。</w:t>
            </w:r>
          </w:p>
          <w:p w14:paraId="59F71A05">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（3）使用非水性漆的调漆间、喷漆室的通风换气次数小于15次/小时。</w:t>
            </w:r>
          </w:p>
          <w:p w14:paraId="591D3C02">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注：“换气次数”是指单位时间内室内空气的更换次数，即通风量与房间容积的比值。</w:t>
            </w:r>
          </w:p>
        </w:tc>
        <w:tc>
          <w:tcPr>
            <w:tcW w:w="971" w:type="pct"/>
            <w:vAlign w:val="center"/>
          </w:tcPr>
          <w:p w14:paraId="76DAABBF">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不涉及。</w:t>
            </w:r>
          </w:p>
        </w:tc>
        <w:tc>
          <w:tcPr>
            <w:tcW w:w="245" w:type="pct"/>
            <w:vAlign w:val="center"/>
          </w:tcPr>
          <w:p w14:paraId="25ACDF36">
            <w:pPr>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否</w:t>
            </w:r>
          </w:p>
        </w:tc>
      </w:tr>
      <w:tr w14:paraId="5F396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6D860296">
            <w:pPr>
              <w:numPr>
                <w:ilvl w:val="0"/>
                <w:numId w:val="60"/>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0D00E8BE">
            <w:pPr>
              <w:adjustRightInd w:val="0"/>
              <w:snapToGrid w:val="0"/>
              <w:jc w:val="left"/>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（七）锂离子电池储存仓库未对故障电池采取有效物理隔离措施的。</w:t>
            </w:r>
          </w:p>
        </w:tc>
        <w:tc>
          <w:tcPr>
            <w:tcW w:w="1997" w:type="pct"/>
            <w:vAlign w:val="center"/>
          </w:tcPr>
          <w:p w14:paraId="3D78C49A">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1.说明：</w:t>
            </w:r>
          </w:p>
          <w:p w14:paraId="207A26D3">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（1）“故障电池”是指单体电池电压大于3伏特，存在胀气、短路、破损、过充电等安全缺陷的电池，不包括持续浸泡在水中的电池。</w:t>
            </w:r>
          </w:p>
          <w:p w14:paraId="76EFB972">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（2）“物理隔离措施”是指通过实体墙、防爆柜、铁皮柜、单独集装箱、防火卷帘等方式，将故障电池与非故障电池隔离的措施。</w:t>
            </w:r>
          </w:p>
          <w:p w14:paraId="526FE33D">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4AE959EB">
            <w:pPr>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锂离子电池储存仓库存放故障电池时，未对故障电池采取物理隔离措施。</w:t>
            </w:r>
          </w:p>
        </w:tc>
        <w:tc>
          <w:tcPr>
            <w:tcW w:w="971" w:type="pct"/>
            <w:vAlign w:val="center"/>
          </w:tcPr>
          <w:p w14:paraId="3A3F1D8E">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不涉及。</w:t>
            </w:r>
          </w:p>
        </w:tc>
        <w:tc>
          <w:tcPr>
            <w:tcW w:w="245" w:type="pct"/>
            <w:vAlign w:val="center"/>
          </w:tcPr>
          <w:p w14:paraId="25B9B51A">
            <w:pPr>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否</w:t>
            </w:r>
          </w:p>
        </w:tc>
      </w:tr>
      <w:tr w14:paraId="04AF5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4FB9C759">
            <w:pPr>
              <w:numPr>
                <w:ilvl w:val="0"/>
                <w:numId w:val="60"/>
              </w:numPr>
              <w:adjustRightInd w:val="0"/>
              <w:snapToGrid w:val="0"/>
              <w:jc w:val="left"/>
              <w:rPr>
                <w:rFonts w:hint="eastAsia" w:ascii="宋体" w:hAnsi="宋体" w:eastAsia="宋体" w:cs="宋体"/>
                <w:color w:val="auto"/>
                <w:kern w:val="0"/>
                <w:sz w:val="21"/>
                <w:szCs w:val="21"/>
                <w:highlight w:val="none"/>
              </w:rPr>
            </w:pPr>
          </w:p>
        </w:tc>
        <w:tc>
          <w:tcPr>
            <w:tcW w:w="1558" w:type="pct"/>
            <w:vAlign w:val="center"/>
          </w:tcPr>
          <w:p w14:paraId="35850920">
            <w:pPr>
              <w:adjustRightInd w:val="0"/>
              <w:snapToGrid w:val="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第十四条  本标准所列情形中直接关系生产安全的监控、报警、防护等设施、设备、装置，应当保证正常运行、使用，失效或者无效均判定为重大事故隐患。</w:t>
            </w:r>
          </w:p>
        </w:tc>
        <w:tc>
          <w:tcPr>
            <w:tcW w:w="1997" w:type="pct"/>
            <w:vAlign w:val="center"/>
          </w:tcPr>
          <w:p w14:paraId="6F1851A2">
            <w:pPr>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由于检测、维护、保养不到位，或者通过关闭、破坏、篡改等方式，造成本标准所列情形中直接关系生产安全的监控、报警、防护等设施、设备、装置，处于未通电、未启用、未联锁、数据失真等不能正常运行、使用的状态，均判定为重大事故隐患。</w:t>
            </w:r>
          </w:p>
        </w:tc>
        <w:tc>
          <w:tcPr>
            <w:tcW w:w="971" w:type="pct"/>
            <w:vAlign w:val="center"/>
          </w:tcPr>
          <w:p w14:paraId="3C3CC56D">
            <w:pPr>
              <w:adjustRightInd w:val="0"/>
              <w:snapToGrid w:val="0"/>
              <w:rPr>
                <w:rFonts w:hint="eastAsia" w:ascii="宋体" w:hAnsi="宋体" w:eastAsia="宋体" w:cs="宋体"/>
                <w:color w:val="auto"/>
                <w:kern w:val="0"/>
                <w:sz w:val="21"/>
                <w:szCs w:val="21"/>
                <w:highlight w:val="none"/>
                <w:lang w:eastAsia="zh-CN"/>
              </w:rPr>
            </w:pPr>
            <w:r>
              <w:rPr>
                <w:rFonts w:hint="eastAsia" w:ascii="宋体" w:hAnsi="宋体" w:cs="宋体"/>
                <w:color w:val="auto"/>
                <w:kern w:val="0"/>
                <w:szCs w:val="21"/>
                <w:highlight w:val="none"/>
                <w:lang w:eastAsia="zh-CN"/>
              </w:rPr>
              <w:t>视频</w:t>
            </w:r>
            <w:r>
              <w:rPr>
                <w:rFonts w:hint="eastAsia" w:ascii="宋体" w:hAnsi="宋体" w:cs="宋体"/>
                <w:color w:val="auto"/>
                <w:kern w:val="0"/>
                <w:szCs w:val="21"/>
                <w:highlight w:val="none"/>
              </w:rPr>
              <w:t>监控、</w:t>
            </w:r>
            <w:r>
              <w:rPr>
                <w:rFonts w:hint="eastAsia" w:ascii="宋体" w:hAnsi="宋体" w:cs="宋体"/>
                <w:color w:val="auto"/>
                <w:kern w:val="0"/>
                <w:szCs w:val="21"/>
                <w:highlight w:val="none"/>
                <w:lang w:eastAsia="zh-CN"/>
              </w:rPr>
              <w:t>可燃气体检测报警器</w:t>
            </w:r>
            <w:r>
              <w:rPr>
                <w:rFonts w:hint="eastAsia" w:ascii="宋体" w:hAnsi="宋体" w:cs="宋体"/>
                <w:color w:val="auto"/>
                <w:kern w:val="0"/>
                <w:szCs w:val="21"/>
                <w:highlight w:val="none"/>
              </w:rPr>
              <w:t>、防护等设施、设备正常运行</w:t>
            </w:r>
            <w:r>
              <w:rPr>
                <w:rFonts w:hint="eastAsia" w:ascii="宋体" w:hAnsi="宋体" w:cs="宋体"/>
                <w:color w:val="auto"/>
                <w:kern w:val="0"/>
                <w:szCs w:val="21"/>
                <w:highlight w:val="none"/>
                <w:lang w:eastAsia="zh-CN"/>
              </w:rPr>
              <w:t>。</w:t>
            </w:r>
          </w:p>
        </w:tc>
        <w:tc>
          <w:tcPr>
            <w:tcW w:w="245" w:type="pct"/>
            <w:vAlign w:val="center"/>
          </w:tcPr>
          <w:p w14:paraId="16B96148">
            <w:pPr>
              <w:adjustRightInd w:val="0"/>
              <w:snapToGrid w:val="0"/>
              <w:jc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bl>
    <w:p w14:paraId="041D9CA7">
      <w:pPr>
        <w:adjustRightInd w:val="0"/>
        <w:snapToGrid w:val="0"/>
        <w:spacing w:beforeLines="50" w:line="360" w:lineRule="auto"/>
        <w:ind w:firstLine="560" w:firstLineChars="200"/>
        <w:rPr>
          <w:rFonts w:hint="eastAsia"/>
          <w:color w:val="auto"/>
          <w:kern w:val="0"/>
          <w:sz w:val="28"/>
          <w:szCs w:val="28"/>
          <w:highlight w:val="none"/>
        </w:rPr>
      </w:pPr>
      <w:r>
        <w:rPr>
          <w:color w:val="auto"/>
          <w:kern w:val="0"/>
          <w:sz w:val="28"/>
          <w:szCs w:val="28"/>
          <w:highlight w:val="none"/>
        </w:rPr>
        <w:t>评</w:t>
      </w:r>
      <w:r>
        <w:rPr>
          <w:rFonts w:hint="eastAsia"/>
          <w:color w:val="auto"/>
          <w:kern w:val="0"/>
          <w:sz w:val="28"/>
          <w:szCs w:val="28"/>
          <w:highlight w:val="none"/>
        </w:rPr>
        <w:t>价</w:t>
      </w:r>
      <w:r>
        <w:rPr>
          <w:color w:val="auto"/>
          <w:kern w:val="0"/>
          <w:sz w:val="28"/>
          <w:szCs w:val="28"/>
          <w:highlight w:val="none"/>
        </w:rPr>
        <w:t>小结</w:t>
      </w:r>
      <w:r>
        <w:rPr>
          <w:rFonts w:hint="eastAsia"/>
          <w:color w:val="auto"/>
          <w:kern w:val="0"/>
          <w:sz w:val="28"/>
          <w:szCs w:val="28"/>
          <w:highlight w:val="none"/>
        </w:rPr>
        <w:t>，</w:t>
      </w:r>
      <w:r>
        <w:rPr>
          <w:rFonts w:hint="eastAsia"/>
          <w:color w:val="auto"/>
          <w:kern w:val="0"/>
          <w:sz w:val="28"/>
          <w:szCs w:val="28"/>
          <w:highlight w:val="none"/>
          <w:lang w:eastAsia="zh-CN"/>
        </w:rPr>
        <w:t>危化品仓库</w:t>
      </w:r>
      <w:r>
        <w:rPr>
          <w:rFonts w:hint="eastAsia"/>
          <w:color w:val="auto"/>
          <w:kern w:val="0"/>
          <w:sz w:val="28"/>
          <w:szCs w:val="28"/>
          <w:highlight w:val="none"/>
        </w:rPr>
        <w:t>不存在重大生产安全事故隐患。</w:t>
      </w:r>
    </w:p>
    <w:p w14:paraId="7A7ED1FC">
      <w:pPr>
        <w:adjustRightInd w:val="0"/>
        <w:snapToGrid w:val="0"/>
        <w:spacing w:beforeLines="0" w:afterLines="0" w:line="360" w:lineRule="auto"/>
        <w:jc w:val="left"/>
        <w:outlineLvl w:val="2"/>
        <w:rPr>
          <w:rFonts w:ascii="黑体" w:hAnsi="黑体" w:eastAsia="黑体" w:cs="Times New Roman"/>
          <w:b/>
          <w:color w:val="auto"/>
          <w:sz w:val="28"/>
          <w:szCs w:val="28"/>
          <w:highlight w:val="none"/>
        </w:rPr>
      </w:pPr>
      <w:bookmarkStart w:id="1852" w:name="_Toc13473"/>
      <w:bookmarkStart w:id="1853" w:name="_Toc11091"/>
      <w:bookmarkStart w:id="1854" w:name="_Toc9607"/>
      <w:bookmarkStart w:id="1855" w:name="_Toc20734"/>
      <w:bookmarkStart w:id="1856" w:name="_Toc20817"/>
      <w:bookmarkStart w:id="1857" w:name="_Toc25550"/>
      <w:bookmarkStart w:id="1858" w:name="_Toc15568"/>
      <w:bookmarkStart w:id="1859" w:name="_Toc1711"/>
      <w:bookmarkStart w:id="1860" w:name="_Toc22043"/>
      <w:bookmarkStart w:id="1861" w:name="_Toc4668"/>
      <w:bookmarkStart w:id="1862" w:name="_Toc30129"/>
      <w:bookmarkStart w:id="1863" w:name="_Toc18684"/>
      <w:bookmarkStart w:id="1864" w:name="_Toc25106"/>
      <w:bookmarkStart w:id="1865" w:name="_Toc18"/>
      <w:bookmarkStart w:id="1866" w:name="_Toc6524"/>
      <w:bookmarkStart w:id="1867" w:name="_Toc21097"/>
      <w:bookmarkStart w:id="1868" w:name="_Toc22221"/>
      <w:r>
        <w:rPr>
          <w:rFonts w:ascii="黑体" w:hAnsi="黑体" w:eastAsia="黑体" w:cs="Times New Roman"/>
          <w:b/>
          <w:color w:val="auto"/>
          <w:sz w:val="28"/>
          <w:szCs w:val="28"/>
          <w:highlight w:val="none"/>
        </w:rPr>
        <w:t>5.</w:t>
      </w:r>
      <w:r>
        <w:rPr>
          <w:rFonts w:hint="eastAsia" w:ascii="黑体" w:hAnsi="黑体" w:eastAsia="黑体" w:cs="Times New Roman"/>
          <w:b/>
          <w:color w:val="auto"/>
          <w:sz w:val="28"/>
          <w:szCs w:val="28"/>
          <w:highlight w:val="none"/>
          <w:lang w:val="en-US" w:eastAsia="zh-CN"/>
        </w:rPr>
        <w:t>1.10</w:t>
      </w:r>
      <w:r>
        <w:rPr>
          <w:rFonts w:ascii="黑体" w:hAnsi="黑体" w:eastAsia="黑体" w:cs="Times New Roman"/>
          <w:b/>
          <w:color w:val="auto"/>
          <w:sz w:val="28"/>
          <w:szCs w:val="28"/>
          <w:highlight w:val="none"/>
        </w:rPr>
        <w:t xml:space="preserve"> </w:t>
      </w:r>
      <w:r>
        <w:rPr>
          <w:rFonts w:hint="eastAsia" w:ascii="黑体" w:eastAsia="黑体"/>
          <w:b/>
          <w:bCs/>
          <w:color w:val="auto"/>
          <w:kern w:val="0"/>
          <w:sz w:val="28"/>
          <w:szCs w:val="28"/>
          <w:highlight w:val="none"/>
          <w:lang w:val="en-GB" w:eastAsia="zh-CN"/>
        </w:rPr>
        <w:t>其他</w:t>
      </w:r>
      <w:r>
        <w:rPr>
          <w:rFonts w:hint="eastAsia" w:ascii="黑体" w:eastAsia="黑体"/>
          <w:b/>
          <w:bCs/>
          <w:color w:val="auto"/>
          <w:kern w:val="0"/>
          <w:sz w:val="28"/>
          <w:szCs w:val="28"/>
          <w:highlight w:val="none"/>
          <w:lang w:val="en-GB"/>
        </w:rPr>
        <w:t>安全生产管理评价</w:t>
      </w:r>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p>
    <w:p w14:paraId="3129345C">
      <w:pPr>
        <w:pStyle w:val="24"/>
        <w:keepNext w:val="0"/>
        <w:keepLines w:val="0"/>
        <w:pageBreakBefore w:val="0"/>
        <w:widowControl w:val="0"/>
        <w:kinsoku/>
        <w:wordWrap/>
        <w:overflowPunct/>
        <w:topLinePunct w:val="0"/>
        <w:autoSpaceDE/>
        <w:autoSpaceDN/>
        <w:bidi w:val="0"/>
        <w:adjustRightInd w:val="0"/>
        <w:snapToGrid w:val="0"/>
        <w:spacing w:after="0"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依据</w:t>
      </w:r>
      <w:r>
        <w:rPr>
          <w:rFonts w:hint="eastAsia" w:ascii="宋体" w:hAnsi="宋体" w:cs="宋体"/>
          <w:color w:val="auto"/>
          <w:kern w:val="0"/>
          <w:sz w:val="28"/>
          <w:szCs w:val="28"/>
          <w:highlight w:val="none"/>
          <w:lang w:eastAsia="zh-CN"/>
        </w:rPr>
        <w:t>现行</w:t>
      </w:r>
      <w:r>
        <w:rPr>
          <w:rFonts w:hint="eastAsia" w:ascii="宋体" w:hAnsi="宋体" w:eastAsia="宋体" w:cs="宋体"/>
          <w:color w:val="auto"/>
          <w:kern w:val="0"/>
          <w:sz w:val="28"/>
          <w:szCs w:val="28"/>
          <w:highlight w:val="none"/>
        </w:rPr>
        <w:t>《中华人民共和国安全生产法》</w:t>
      </w:r>
      <w:r>
        <w:rPr>
          <w:rFonts w:hint="eastAsia" w:ascii="宋体" w:hAnsi="宋体" w:cs="宋体"/>
          <w:color w:val="auto"/>
          <w:sz w:val="28"/>
          <w:highlight w:val="none"/>
          <w:lang w:eastAsia="zh-CN"/>
        </w:rPr>
        <w:t>、</w:t>
      </w:r>
      <w:r>
        <w:rPr>
          <w:rFonts w:hint="eastAsia" w:ascii="宋体" w:hAnsi="宋体" w:eastAsia="宋体" w:cs="宋体"/>
          <w:color w:val="auto"/>
          <w:kern w:val="0"/>
          <w:sz w:val="28"/>
          <w:szCs w:val="28"/>
          <w:highlight w:val="none"/>
        </w:rPr>
        <w:t>《生产经营单位安全培训规定》、《安全生产培训管理办法》</w:t>
      </w:r>
      <w:r>
        <w:rPr>
          <w:rFonts w:hint="eastAsia" w:ascii="宋体" w:hAnsi="宋体" w:eastAsia="宋体" w:cs="宋体"/>
          <w:color w:val="auto"/>
          <w:kern w:val="0"/>
          <w:sz w:val="28"/>
          <w:szCs w:val="28"/>
          <w:highlight w:val="none"/>
          <w:lang w:eastAsia="zh-CN"/>
        </w:rPr>
        <w:t>、</w:t>
      </w:r>
      <w:r>
        <w:rPr>
          <w:rFonts w:hint="eastAsia" w:ascii="宋体" w:hAnsi="宋体" w:cs="宋体"/>
          <w:color w:val="auto"/>
          <w:sz w:val="28"/>
          <w:highlight w:val="none"/>
        </w:rPr>
        <w:t>《生产安全事故应急预案管理办法》</w:t>
      </w:r>
      <w:r>
        <w:rPr>
          <w:rFonts w:hint="eastAsia" w:ascii="宋体" w:hAnsi="宋体" w:eastAsia="宋体" w:cs="宋体"/>
          <w:color w:val="auto"/>
          <w:sz w:val="28"/>
          <w:szCs w:val="28"/>
          <w:highlight w:val="none"/>
          <w:lang w:eastAsia="zh-CN"/>
        </w:rPr>
        <w:t>和</w:t>
      </w:r>
      <w:r>
        <w:rPr>
          <w:rFonts w:hint="eastAsia" w:ascii="宋体" w:hAnsi="宋体" w:eastAsia="宋体" w:cs="宋体"/>
          <w:color w:val="auto"/>
          <w:kern w:val="0"/>
          <w:sz w:val="28"/>
          <w:szCs w:val="28"/>
          <w:highlight w:val="none"/>
        </w:rPr>
        <w:t>《浙江省安全生产条例》</w:t>
      </w:r>
      <w:r>
        <w:rPr>
          <w:rFonts w:hint="eastAsia" w:ascii="宋体" w:hAnsi="宋体" w:eastAsia="宋体" w:cs="宋体"/>
          <w:color w:val="auto"/>
          <w:kern w:val="0"/>
          <w:sz w:val="28"/>
          <w:szCs w:val="28"/>
          <w:highlight w:val="none"/>
          <w:lang w:eastAsia="zh-CN"/>
        </w:rPr>
        <w:t>的</w:t>
      </w:r>
      <w:r>
        <w:rPr>
          <w:rFonts w:hint="eastAsia" w:ascii="宋体" w:hAnsi="宋体" w:eastAsia="宋体" w:cs="宋体"/>
          <w:color w:val="auto"/>
          <w:kern w:val="0"/>
          <w:sz w:val="28"/>
          <w:szCs w:val="28"/>
          <w:highlight w:val="none"/>
        </w:rPr>
        <w:t>要求</w:t>
      </w:r>
      <w:r>
        <w:rPr>
          <w:rFonts w:hint="eastAsia" w:ascii="宋体" w:hAnsi="宋体" w:eastAsia="宋体" w:cs="宋体"/>
          <w:color w:val="auto"/>
          <w:kern w:val="0"/>
          <w:sz w:val="28"/>
          <w:szCs w:val="28"/>
          <w:highlight w:val="none"/>
          <w:lang w:eastAsia="zh-Hans"/>
        </w:rPr>
        <w:t>对</w:t>
      </w:r>
      <w:r>
        <w:rPr>
          <w:rFonts w:hint="eastAsia" w:ascii="宋体" w:hAnsi="宋体" w:eastAsia="宋体" w:cs="宋体"/>
          <w:color w:val="auto"/>
          <w:sz w:val="28"/>
          <w:szCs w:val="28"/>
          <w:highlight w:val="none"/>
        </w:rPr>
        <w:t>伟星临海钮扣分公司</w:t>
      </w:r>
      <w:r>
        <w:rPr>
          <w:rFonts w:hint="eastAsia" w:ascii="宋体" w:hAnsi="宋体" w:cs="宋体"/>
          <w:color w:val="auto"/>
          <w:sz w:val="28"/>
          <w:szCs w:val="28"/>
          <w:highlight w:val="none"/>
          <w:lang w:eastAsia="zh-CN"/>
        </w:rPr>
        <w:t>危化品仓库</w:t>
      </w:r>
      <w:r>
        <w:rPr>
          <w:rFonts w:hint="eastAsia" w:ascii="宋体" w:hAnsi="宋体" w:eastAsia="宋体" w:cs="宋体"/>
          <w:color w:val="auto"/>
          <w:kern w:val="0"/>
          <w:sz w:val="28"/>
          <w:szCs w:val="28"/>
          <w:highlight w:val="none"/>
        </w:rPr>
        <w:t>安全管理进行检查，检查情况见下表。</w:t>
      </w:r>
    </w:p>
    <w:p w14:paraId="44C413A7">
      <w:pPr>
        <w:pStyle w:val="136"/>
        <w:keepNext w:val="0"/>
        <w:keepLines w:val="0"/>
        <w:pageBreakBefore w:val="0"/>
        <w:widowControl w:val="0"/>
        <w:bidi w:val="0"/>
        <w:adjustRightInd w:val="0"/>
        <w:spacing w:line="360" w:lineRule="auto"/>
        <w:jc w:val="center"/>
        <w:rPr>
          <w:rFonts w:hint="eastAsia" w:ascii="黑体" w:hAnsi="黑体" w:eastAsia="黑体"/>
          <w:b/>
          <w:bCs w:val="0"/>
          <w:color w:val="auto"/>
          <w:kern w:val="0"/>
          <w:sz w:val="24"/>
          <w:szCs w:val="24"/>
          <w:highlight w:val="none"/>
        </w:rPr>
      </w:pPr>
    </w:p>
    <w:p w14:paraId="611B3EF9">
      <w:pPr>
        <w:pStyle w:val="136"/>
        <w:keepNext w:val="0"/>
        <w:keepLines w:val="0"/>
        <w:pageBreakBefore w:val="0"/>
        <w:widowControl w:val="0"/>
        <w:bidi w:val="0"/>
        <w:adjustRightInd w:val="0"/>
        <w:spacing w:line="360" w:lineRule="auto"/>
        <w:jc w:val="center"/>
        <w:rPr>
          <w:rFonts w:hint="eastAsia" w:ascii="黑体" w:hAnsi="黑体" w:eastAsia="黑体"/>
          <w:b/>
          <w:bCs w:val="0"/>
          <w:color w:val="auto"/>
          <w:kern w:val="0"/>
          <w:sz w:val="24"/>
          <w:szCs w:val="24"/>
          <w:highlight w:val="none"/>
        </w:rPr>
      </w:pPr>
    </w:p>
    <w:p w14:paraId="7E55E8AE">
      <w:pPr>
        <w:pStyle w:val="136"/>
        <w:keepNext w:val="0"/>
        <w:keepLines w:val="0"/>
        <w:pageBreakBefore w:val="0"/>
        <w:widowControl w:val="0"/>
        <w:bidi w:val="0"/>
        <w:adjustRightInd w:val="0"/>
        <w:spacing w:line="360" w:lineRule="auto"/>
        <w:jc w:val="center"/>
        <w:rPr>
          <w:rFonts w:hint="eastAsia" w:ascii="黑体" w:hAnsi="黑体" w:eastAsia="黑体"/>
          <w:b/>
          <w:bCs w:val="0"/>
          <w:color w:val="auto"/>
          <w:kern w:val="0"/>
          <w:sz w:val="24"/>
          <w:szCs w:val="24"/>
          <w:highlight w:val="none"/>
        </w:rPr>
      </w:pPr>
    </w:p>
    <w:p w14:paraId="510DD76A">
      <w:pPr>
        <w:pStyle w:val="136"/>
        <w:keepNext w:val="0"/>
        <w:keepLines w:val="0"/>
        <w:pageBreakBefore w:val="0"/>
        <w:widowControl w:val="0"/>
        <w:bidi w:val="0"/>
        <w:adjustRightInd w:val="0"/>
        <w:spacing w:line="360" w:lineRule="auto"/>
        <w:jc w:val="center"/>
        <w:rPr>
          <w:rFonts w:hint="eastAsia" w:ascii="黑体" w:hAnsi="黑体" w:eastAsia="黑体"/>
          <w:b/>
          <w:bCs w:val="0"/>
          <w:color w:val="auto"/>
          <w:kern w:val="0"/>
          <w:sz w:val="24"/>
          <w:szCs w:val="24"/>
          <w:highlight w:val="none"/>
        </w:rPr>
      </w:pPr>
    </w:p>
    <w:p w14:paraId="6B2472C7">
      <w:pPr>
        <w:pStyle w:val="136"/>
        <w:keepNext w:val="0"/>
        <w:keepLines w:val="0"/>
        <w:pageBreakBefore w:val="0"/>
        <w:widowControl w:val="0"/>
        <w:bidi w:val="0"/>
        <w:adjustRightInd w:val="0"/>
        <w:spacing w:line="360" w:lineRule="auto"/>
        <w:jc w:val="center"/>
        <w:rPr>
          <w:rFonts w:hint="eastAsia" w:ascii="黑体" w:hAnsi="黑体" w:eastAsia="黑体"/>
          <w:b/>
          <w:bCs w:val="0"/>
          <w:color w:val="auto"/>
          <w:kern w:val="0"/>
          <w:sz w:val="24"/>
          <w:szCs w:val="24"/>
          <w:highlight w:val="none"/>
        </w:rPr>
      </w:pPr>
    </w:p>
    <w:p w14:paraId="6D4BA353">
      <w:pPr>
        <w:pStyle w:val="136"/>
        <w:keepNext w:val="0"/>
        <w:keepLines w:val="0"/>
        <w:pageBreakBefore w:val="0"/>
        <w:widowControl w:val="0"/>
        <w:bidi w:val="0"/>
        <w:adjustRightInd w:val="0"/>
        <w:spacing w:line="360" w:lineRule="auto"/>
        <w:jc w:val="center"/>
        <w:rPr>
          <w:rFonts w:hint="eastAsia" w:ascii="黑体" w:hAnsi="黑体" w:eastAsia="黑体"/>
          <w:b/>
          <w:bCs w:val="0"/>
          <w:color w:val="auto"/>
          <w:kern w:val="0"/>
          <w:sz w:val="24"/>
          <w:szCs w:val="24"/>
          <w:highlight w:val="none"/>
        </w:rPr>
      </w:pPr>
    </w:p>
    <w:p w14:paraId="3BCDB922">
      <w:pPr>
        <w:pStyle w:val="136"/>
        <w:keepNext w:val="0"/>
        <w:keepLines w:val="0"/>
        <w:pageBreakBefore w:val="0"/>
        <w:widowControl w:val="0"/>
        <w:bidi w:val="0"/>
        <w:adjustRightInd w:val="0"/>
        <w:spacing w:line="360" w:lineRule="auto"/>
        <w:jc w:val="center"/>
        <w:rPr>
          <w:rFonts w:hint="eastAsia" w:ascii="黑体" w:hAnsi="黑体" w:eastAsia="黑体"/>
          <w:b/>
          <w:bCs w:val="0"/>
          <w:color w:val="auto"/>
          <w:kern w:val="0"/>
          <w:sz w:val="24"/>
          <w:szCs w:val="24"/>
          <w:highlight w:val="none"/>
        </w:rPr>
      </w:pPr>
    </w:p>
    <w:p w14:paraId="2D99703A">
      <w:pPr>
        <w:pStyle w:val="136"/>
        <w:keepNext w:val="0"/>
        <w:keepLines w:val="0"/>
        <w:pageBreakBefore w:val="0"/>
        <w:widowControl w:val="0"/>
        <w:bidi w:val="0"/>
        <w:adjustRightInd w:val="0"/>
        <w:spacing w:line="360" w:lineRule="auto"/>
        <w:jc w:val="center"/>
        <w:rPr>
          <w:rFonts w:hint="eastAsia" w:ascii="黑体" w:hAnsi="黑体" w:eastAsia="黑体"/>
          <w:b/>
          <w:bCs w:val="0"/>
          <w:color w:val="auto"/>
          <w:kern w:val="0"/>
          <w:sz w:val="24"/>
          <w:szCs w:val="24"/>
          <w:highlight w:val="none"/>
        </w:rPr>
      </w:pPr>
      <w:r>
        <w:rPr>
          <w:rFonts w:hint="eastAsia" w:ascii="黑体" w:hAnsi="黑体" w:eastAsia="黑体"/>
          <w:b/>
          <w:bCs w:val="0"/>
          <w:color w:val="auto"/>
          <w:kern w:val="0"/>
          <w:sz w:val="24"/>
          <w:szCs w:val="24"/>
          <w:highlight w:val="none"/>
        </w:rPr>
        <w:t>表5.</w:t>
      </w:r>
      <w:r>
        <w:rPr>
          <w:rFonts w:hint="eastAsia" w:ascii="黑体" w:hAnsi="黑体" w:eastAsia="黑体"/>
          <w:b/>
          <w:bCs w:val="0"/>
          <w:color w:val="auto"/>
          <w:kern w:val="0"/>
          <w:sz w:val="24"/>
          <w:szCs w:val="24"/>
          <w:highlight w:val="none"/>
          <w:lang w:val="en-US" w:eastAsia="zh-CN"/>
        </w:rPr>
        <w:t>1-1</w:t>
      </w:r>
      <w:r>
        <w:rPr>
          <w:rFonts w:hint="eastAsia"/>
          <w:b/>
          <w:bCs w:val="0"/>
          <w:color w:val="auto"/>
          <w:kern w:val="0"/>
          <w:sz w:val="24"/>
          <w:szCs w:val="24"/>
          <w:highlight w:val="none"/>
          <w:lang w:val="en-US" w:eastAsia="zh-CN"/>
        </w:rPr>
        <w:t>8</w:t>
      </w:r>
      <w:r>
        <w:rPr>
          <w:rFonts w:hint="eastAsia" w:ascii="黑体" w:hAnsi="黑体" w:eastAsia="黑体"/>
          <w:b/>
          <w:bCs w:val="0"/>
          <w:color w:val="auto"/>
          <w:kern w:val="0"/>
          <w:sz w:val="24"/>
          <w:szCs w:val="24"/>
          <w:highlight w:val="none"/>
        </w:rPr>
        <w:t>安全管理检查表</w:t>
      </w:r>
    </w:p>
    <w:tbl>
      <w:tblPr>
        <w:tblStyle w:val="61"/>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3549"/>
        <w:gridCol w:w="1867"/>
        <w:gridCol w:w="2450"/>
        <w:gridCol w:w="843"/>
      </w:tblGrid>
      <w:tr w14:paraId="707ED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363" w:type="pct"/>
            <w:noWrap w:val="0"/>
            <w:vAlign w:val="center"/>
          </w:tcPr>
          <w:p w14:paraId="444A3CB3">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1889" w:type="pct"/>
            <w:noWrap w:val="0"/>
            <w:vAlign w:val="center"/>
          </w:tcPr>
          <w:p w14:paraId="610C5DDC">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检查项目</w:t>
            </w:r>
          </w:p>
        </w:tc>
        <w:tc>
          <w:tcPr>
            <w:tcW w:w="994" w:type="pct"/>
            <w:noWrap w:val="0"/>
            <w:vAlign w:val="center"/>
          </w:tcPr>
          <w:p w14:paraId="29386CFD">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检查依据</w:t>
            </w:r>
          </w:p>
        </w:tc>
        <w:tc>
          <w:tcPr>
            <w:tcW w:w="1304" w:type="pct"/>
            <w:noWrap w:val="0"/>
            <w:vAlign w:val="center"/>
          </w:tcPr>
          <w:p w14:paraId="4E969263">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实际情况</w:t>
            </w:r>
          </w:p>
        </w:tc>
        <w:tc>
          <w:tcPr>
            <w:tcW w:w="448" w:type="pct"/>
            <w:noWrap w:val="0"/>
            <w:vAlign w:val="center"/>
          </w:tcPr>
          <w:p w14:paraId="2F57A4AE">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w:t>
            </w:r>
          </w:p>
          <w:p w14:paraId="549DE5FC">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结果</w:t>
            </w:r>
          </w:p>
        </w:tc>
      </w:tr>
      <w:tr w14:paraId="7E1B8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49D0F306">
            <w:pPr>
              <w:numPr>
                <w:ilvl w:val="0"/>
                <w:numId w:val="61"/>
              </w:numPr>
              <w:adjustRightInd w:val="0"/>
              <w:snapToGrid w:val="0"/>
              <w:ind w:left="0" w:firstLine="0"/>
              <w:jc w:val="both"/>
              <w:rPr>
                <w:rFonts w:hint="eastAsia" w:ascii="宋体" w:hAnsi="宋体" w:eastAsia="宋体" w:cs="宋体"/>
                <w:color w:val="auto"/>
                <w:kern w:val="0"/>
                <w:sz w:val="21"/>
                <w:szCs w:val="21"/>
                <w:highlight w:val="none"/>
              </w:rPr>
            </w:pPr>
          </w:p>
        </w:tc>
        <w:tc>
          <w:tcPr>
            <w:tcW w:w="4636" w:type="pct"/>
            <w:gridSpan w:val="4"/>
            <w:noWrap w:val="0"/>
            <w:vAlign w:val="center"/>
          </w:tcPr>
          <w:p w14:paraId="1338504C">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安全管理制度</w:t>
            </w:r>
          </w:p>
        </w:tc>
      </w:tr>
      <w:tr w14:paraId="71732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7D58D896">
            <w:pPr>
              <w:numPr>
                <w:ilvl w:val="0"/>
                <w:numId w:val="62"/>
              </w:numPr>
              <w:adjustRightInd w:val="0"/>
              <w:snapToGrid w:val="0"/>
              <w:jc w:val="center"/>
              <w:rPr>
                <w:rFonts w:hint="eastAsia" w:ascii="宋体" w:hAnsi="宋体" w:eastAsia="宋体" w:cs="宋体"/>
                <w:color w:val="auto"/>
                <w:kern w:val="0"/>
                <w:sz w:val="21"/>
                <w:szCs w:val="21"/>
                <w:highlight w:val="none"/>
              </w:rPr>
            </w:pPr>
          </w:p>
        </w:tc>
        <w:tc>
          <w:tcPr>
            <w:tcW w:w="1889" w:type="pct"/>
            <w:noWrap w:val="0"/>
            <w:vAlign w:val="center"/>
          </w:tcPr>
          <w:p w14:paraId="252D212B">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生产经营单位应当建立健全下列安全生产管理制度，明确相关操作规程并予以落实：</w:t>
            </w:r>
          </w:p>
          <w:p w14:paraId="371DCD56">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（一）安全生产投入及费用管理；</w:t>
            </w:r>
          </w:p>
          <w:p w14:paraId="2663FD8F">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（二）安全生产教育、培训；</w:t>
            </w:r>
          </w:p>
          <w:p w14:paraId="27ADC7C3">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（三）场所、设施、设备安全管理；</w:t>
            </w:r>
          </w:p>
          <w:p w14:paraId="26F82662">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（四）安全风险分级管控；</w:t>
            </w:r>
          </w:p>
          <w:p w14:paraId="2D27BFE7">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（五）安全检查和事故隐患排查治理；</w:t>
            </w:r>
          </w:p>
          <w:p w14:paraId="46ACDDEF">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（六）劳动防护用品配备和管理；</w:t>
            </w:r>
          </w:p>
          <w:p w14:paraId="1B38ED1C">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（七）应急预案管理和救援；</w:t>
            </w:r>
          </w:p>
          <w:p w14:paraId="4F465FA8">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（八）生产安全事故报告和处置；</w:t>
            </w:r>
          </w:p>
          <w:p w14:paraId="6C3CABEA">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（九）其他保障安全生产的管理制度。</w:t>
            </w:r>
          </w:p>
          <w:p w14:paraId="38C657A6">
            <w:pPr>
              <w:widowControl/>
              <w:adjustRightInd w:val="0"/>
              <w:snapToGrid w:val="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从事危险作业或者生产经营场所、设施、设备存在较大危险因素的，生产经营单位还应当制定专项安全生产管理制度。</w:t>
            </w:r>
          </w:p>
          <w:p w14:paraId="020CF2A7">
            <w:pPr>
              <w:widowControl/>
              <w:adjustRightInd w:val="0"/>
              <w:snapToGrid w:val="0"/>
              <w:jc w:val="left"/>
              <w:textAlignment w:val="center"/>
              <w:rPr>
                <w:rFonts w:hint="eastAsia" w:ascii="宋体" w:hAnsi="宋体" w:eastAsia="宋体" w:cs="宋体"/>
                <w:color w:val="auto"/>
                <w:kern w:val="0"/>
                <w:sz w:val="21"/>
                <w:szCs w:val="21"/>
                <w:highlight w:val="none"/>
                <w:lang w:val="en-US" w:eastAsia="zh-Hans" w:bidi="ar-SA"/>
              </w:rPr>
            </w:pPr>
            <w:r>
              <w:rPr>
                <w:rFonts w:hint="eastAsia" w:ascii="宋体" w:hAnsi="宋体" w:eastAsia="宋体" w:cs="宋体"/>
                <w:color w:val="auto"/>
                <w:kern w:val="0"/>
                <w:sz w:val="21"/>
                <w:szCs w:val="21"/>
                <w:highlight w:val="none"/>
              </w:rPr>
              <w:t>小型、微型企业等规模较小的生产经营单位，可以根据本单位实际，制定综合性安全生产管理制度。</w:t>
            </w:r>
          </w:p>
        </w:tc>
        <w:tc>
          <w:tcPr>
            <w:tcW w:w="994" w:type="pct"/>
            <w:noWrap w:val="0"/>
            <w:vAlign w:val="center"/>
          </w:tcPr>
          <w:p w14:paraId="09F14786">
            <w:pPr>
              <w:widowControl/>
              <w:adjustRightInd w:val="0"/>
              <w:snapToGrid w:val="0"/>
              <w:jc w:val="center"/>
              <w:textAlignment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rPr>
              <w:t>《浙江省安全生产条例》第</w:t>
            </w:r>
            <w:r>
              <w:rPr>
                <w:rFonts w:hint="eastAsia" w:ascii="宋体" w:hAnsi="宋体" w:eastAsia="宋体" w:cs="宋体"/>
                <w:color w:val="auto"/>
                <w:kern w:val="0"/>
                <w:sz w:val="21"/>
                <w:szCs w:val="21"/>
                <w:highlight w:val="none"/>
                <w:lang w:val="en-US" w:eastAsia="zh-CN"/>
              </w:rPr>
              <w:t>12</w:t>
            </w:r>
            <w:r>
              <w:rPr>
                <w:rFonts w:hint="eastAsia" w:ascii="宋体" w:hAnsi="宋体" w:eastAsia="宋体" w:cs="宋体"/>
                <w:color w:val="auto"/>
                <w:kern w:val="0"/>
                <w:sz w:val="21"/>
                <w:szCs w:val="21"/>
                <w:highlight w:val="none"/>
              </w:rPr>
              <w:t>条</w:t>
            </w:r>
          </w:p>
        </w:tc>
        <w:tc>
          <w:tcPr>
            <w:tcW w:w="1304" w:type="pct"/>
            <w:noWrap w:val="0"/>
            <w:vAlign w:val="center"/>
          </w:tcPr>
          <w:p w14:paraId="2D0A887A">
            <w:pPr>
              <w:widowControl/>
              <w:adjustRightInd w:val="0"/>
              <w:snapToGrid w:val="0"/>
              <w:jc w:val="left"/>
              <w:textAlignment w:val="center"/>
              <w:rPr>
                <w:rFonts w:hint="eastAsia" w:ascii="宋体" w:hAnsi="宋体" w:eastAsia="宋体" w:cs="宋体"/>
                <w:b/>
                <w:bCs/>
                <w:color w:val="auto"/>
                <w:kern w:val="0"/>
                <w:sz w:val="21"/>
                <w:szCs w:val="21"/>
                <w:highlight w:val="none"/>
                <w:lang w:val="en-US" w:eastAsia="zh-CN" w:bidi="ar-SA"/>
              </w:rPr>
            </w:pPr>
            <w:bookmarkStart w:id="1869" w:name="_Toc21396"/>
            <w:bookmarkStart w:id="1870" w:name="_Toc1017"/>
            <w:r>
              <w:rPr>
                <w:rFonts w:hint="eastAsia" w:ascii="宋体" w:hAnsi="宋体" w:eastAsia="宋体" w:cs="宋体"/>
                <w:color w:val="auto"/>
                <w:kern w:val="0"/>
                <w:sz w:val="21"/>
                <w:szCs w:val="21"/>
                <w:highlight w:val="none"/>
                <w:lang w:eastAsia="zh-CN"/>
              </w:rPr>
              <w:t>建立了安全生产费用提取、使用及管理制度、安全三级教育培训制度、设备设施安全管理制度、</w:t>
            </w:r>
            <w:r>
              <w:rPr>
                <w:rFonts w:hint="eastAsia" w:ascii="宋体" w:hAnsi="宋体" w:eastAsia="宋体" w:cs="宋体"/>
                <w:color w:val="auto"/>
                <w:kern w:val="0"/>
                <w:sz w:val="21"/>
                <w:szCs w:val="21"/>
                <w:highlight w:val="none"/>
                <w:u w:val="none"/>
                <w:lang w:bidi="ar"/>
              </w:rPr>
              <w:t>安全风险分级管控制度</w:t>
            </w:r>
            <w:r>
              <w:rPr>
                <w:rFonts w:hint="eastAsia" w:ascii="宋体" w:hAnsi="宋体" w:eastAsia="宋体" w:cs="宋体"/>
                <w:color w:val="auto"/>
                <w:kern w:val="0"/>
                <w:sz w:val="21"/>
                <w:szCs w:val="21"/>
                <w:highlight w:val="none"/>
                <w:u w:val="none"/>
                <w:lang w:eastAsia="zh-CN" w:bidi="ar"/>
              </w:rPr>
              <w:t>、安全检查和事故隐患排查治理制度、职业健康监护管理制度（包含</w:t>
            </w:r>
            <w:r>
              <w:rPr>
                <w:rFonts w:hint="eastAsia" w:ascii="宋体" w:hAnsi="宋体" w:eastAsia="宋体" w:cs="宋体"/>
                <w:color w:val="auto"/>
                <w:kern w:val="0"/>
                <w:sz w:val="21"/>
                <w:szCs w:val="21"/>
                <w:highlight w:val="none"/>
              </w:rPr>
              <w:t>劳动防护用品配备和管理</w:t>
            </w:r>
            <w:r>
              <w:rPr>
                <w:rFonts w:hint="eastAsia" w:ascii="宋体" w:hAnsi="宋体" w:eastAsia="宋体" w:cs="宋体"/>
                <w:color w:val="auto"/>
                <w:kern w:val="0"/>
                <w:sz w:val="21"/>
                <w:szCs w:val="21"/>
                <w:highlight w:val="none"/>
                <w:lang w:eastAsia="zh-CN"/>
              </w:rPr>
              <w:t>内容</w:t>
            </w:r>
            <w:r>
              <w:rPr>
                <w:rFonts w:hint="eastAsia" w:ascii="宋体" w:hAnsi="宋体" w:eastAsia="宋体" w:cs="宋体"/>
                <w:color w:val="auto"/>
                <w:kern w:val="0"/>
                <w:sz w:val="21"/>
                <w:szCs w:val="21"/>
                <w:highlight w:val="none"/>
                <w:u w:val="none"/>
                <w:lang w:eastAsia="zh-CN" w:bidi="ar"/>
              </w:rPr>
              <w:t>）、应急救援预案管理制度、事件报告、调查与处理程序等安全生产管理制度</w:t>
            </w:r>
            <w:bookmarkEnd w:id="1869"/>
            <w:bookmarkEnd w:id="1870"/>
            <w:r>
              <w:rPr>
                <w:rFonts w:hint="eastAsia" w:ascii="宋体" w:hAnsi="宋体" w:eastAsia="宋体" w:cs="宋体"/>
                <w:color w:val="auto"/>
                <w:sz w:val="21"/>
                <w:szCs w:val="21"/>
                <w:highlight w:val="none"/>
                <w:lang w:eastAsia="zh-CN"/>
              </w:rPr>
              <w:t>。</w:t>
            </w:r>
          </w:p>
        </w:tc>
        <w:tc>
          <w:tcPr>
            <w:tcW w:w="448" w:type="pct"/>
            <w:noWrap w:val="0"/>
            <w:vAlign w:val="center"/>
          </w:tcPr>
          <w:p w14:paraId="1FA7F7AE">
            <w:pPr>
              <w:adjustRightInd w:val="0"/>
              <w:snapToGrid w:val="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符合</w:t>
            </w:r>
          </w:p>
        </w:tc>
      </w:tr>
      <w:tr w14:paraId="400CA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2DFA02E">
            <w:pPr>
              <w:numPr>
                <w:ilvl w:val="0"/>
                <w:numId w:val="61"/>
              </w:numPr>
              <w:adjustRightInd w:val="0"/>
              <w:snapToGrid w:val="0"/>
              <w:ind w:left="0" w:firstLine="0"/>
              <w:jc w:val="center"/>
              <w:rPr>
                <w:rFonts w:hint="eastAsia" w:ascii="宋体" w:hAnsi="宋体" w:eastAsia="宋体" w:cs="宋体"/>
                <w:color w:val="auto"/>
                <w:kern w:val="0"/>
                <w:sz w:val="21"/>
                <w:szCs w:val="21"/>
                <w:highlight w:val="none"/>
              </w:rPr>
            </w:pPr>
          </w:p>
        </w:tc>
        <w:tc>
          <w:tcPr>
            <w:tcW w:w="4636" w:type="pct"/>
            <w:gridSpan w:val="4"/>
            <w:noWrap w:val="0"/>
            <w:vAlign w:val="center"/>
          </w:tcPr>
          <w:p w14:paraId="7A7645FD">
            <w:pPr>
              <w:adjustRightInd w:val="0"/>
              <w:snapToGrid w:val="0"/>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CN"/>
              </w:rPr>
              <w:t>从业人员安全</w:t>
            </w:r>
            <w:r>
              <w:rPr>
                <w:rFonts w:hint="eastAsia" w:ascii="宋体" w:hAnsi="宋体" w:eastAsia="宋体" w:cs="宋体"/>
                <w:color w:val="auto"/>
                <w:kern w:val="0"/>
                <w:sz w:val="21"/>
                <w:szCs w:val="21"/>
                <w:highlight w:val="none"/>
              </w:rPr>
              <w:t>培训</w:t>
            </w:r>
          </w:p>
        </w:tc>
      </w:tr>
      <w:tr w14:paraId="73A23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6770F0C">
            <w:pPr>
              <w:numPr>
                <w:ilvl w:val="0"/>
                <w:numId w:val="63"/>
              </w:numPr>
              <w:adjustRightInd w:val="0"/>
              <w:snapToGrid w:val="0"/>
              <w:jc w:val="center"/>
              <w:rPr>
                <w:rFonts w:hint="eastAsia" w:ascii="宋体" w:hAnsi="宋体" w:eastAsia="宋体" w:cs="宋体"/>
                <w:color w:val="auto"/>
                <w:kern w:val="0"/>
                <w:sz w:val="21"/>
                <w:szCs w:val="21"/>
                <w:highlight w:val="none"/>
              </w:rPr>
            </w:pPr>
          </w:p>
        </w:tc>
        <w:tc>
          <w:tcPr>
            <w:tcW w:w="1889" w:type="pct"/>
            <w:noWrap w:val="0"/>
            <w:vAlign w:val="center"/>
          </w:tcPr>
          <w:p w14:paraId="3339687A">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生产经营单位新上岗的从业人员，岗前安全培训时间不得少于24学时。</w:t>
            </w:r>
          </w:p>
          <w:p w14:paraId="63E2FC44">
            <w:pPr>
              <w:adjustRightInd w:val="0"/>
              <w:snapToGrid w:val="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煤矿、非煤矿山、危险化学品、烟花爆竹、金属冶炼等生产经营单位新上岗的从业人员安全培训时间不得少于72学时，每年再培训的时间不得少于20学时。</w:t>
            </w:r>
          </w:p>
        </w:tc>
        <w:tc>
          <w:tcPr>
            <w:tcW w:w="994" w:type="pct"/>
            <w:noWrap w:val="0"/>
            <w:vAlign w:val="center"/>
          </w:tcPr>
          <w:p w14:paraId="72BE4CD1">
            <w:pPr>
              <w:adjustRightInd w:val="0"/>
              <w:snapToGrid w:val="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《生产经营单位安全培训规定》第</w:t>
            </w:r>
            <w:r>
              <w:rPr>
                <w:rFonts w:hint="eastAsia" w:ascii="宋体" w:hAnsi="宋体" w:eastAsia="宋体" w:cs="宋体"/>
                <w:color w:val="auto"/>
                <w:kern w:val="0"/>
                <w:sz w:val="21"/>
                <w:szCs w:val="21"/>
                <w:highlight w:val="none"/>
                <w:lang w:val="en-US" w:eastAsia="zh-CN"/>
              </w:rPr>
              <w:t>13</w:t>
            </w:r>
            <w:r>
              <w:rPr>
                <w:rFonts w:hint="eastAsia" w:ascii="宋体" w:hAnsi="宋体" w:eastAsia="宋体" w:cs="宋体"/>
                <w:color w:val="auto"/>
                <w:kern w:val="0"/>
                <w:sz w:val="21"/>
                <w:szCs w:val="21"/>
                <w:highlight w:val="none"/>
              </w:rPr>
              <w:t>条</w:t>
            </w:r>
          </w:p>
        </w:tc>
        <w:tc>
          <w:tcPr>
            <w:tcW w:w="1304" w:type="pct"/>
            <w:noWrap w:val="0"/>
            <w:vAlign w:val="center"/>
          </w:tcPr>
          <w:p w14:paraId="502DF3E6">
            <w:pPr>
              <w:adjustRightInd w:val="0"/>
              <w:snapToGrid w:val="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岗前安全培训时间24学时。</w:t>
            </w:r>
          </w:p>
        </w:tc>
        <w:tc>
          <w:tcPr>
            <w:tcW w:w="448" w:type="pct"/>
            <w:noWrap w:val="0"/>
            <w:vAlign w:val="center"/>
          </w:tcPr>
          <w:p w14:paraId="7C46A0EF">
            <w:pPr>
              <w:adjustRightInd w:val="0"/>
              <w:snapToGrid w:val="0"/>
              <w:jc w:val="center"/>
              <w:rPr>
                <w:rFonts w:hint="eastAsia" w:ascii="宋体" w:hAnsi="宋体" w:eastAsia="宋体" w:cs="宋体"/>
                <w:color w:val="auto"/>
                <w:kern w:val="0"/>
                <w:sz w:val="21"/>
                <w:szCs w:val="21"/>
                <w:highlight w:val="none"/>
                <w:lang w:val="en-US" w:eastAsia="zh-Hans" w:bidi="ar-SA"/>
              </w:rPr>
            </w:pPr>
            <w:r>
              <w:rPr>
                <w:rFonts w:hint="eastAsia" w:ascii="宋体" w:hAnsi="宋体" w:eastAsia="宋体" w:cs="宋体"/>
                <w:color w:val="auto"/>
                <w:kern w:val="0"/>
                <w:sz w:val="21"/>
                <w:szCs w:val="21"/>
                <w:highlight w:val="none"/>
                <w:lang w:eastAsia="zh-Hans"/>
              </w:rPr>
              <w:t>符合</w:t>
            </w:r>
          </w:p>
        </w:tc>
      </w:tr>
      <w:tr w14:paraId="1A9C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6C773F64">
            <w:pPr>
              <w:numPr>
                <w:ilvl w:val="0"/>
                <w:numId w:val="63"/>
              </w:numPr>
              <w:adjustRightInd w:val="0"/>
              <w:snapToGrid w:val="0"/>
              <w:jc w:val="center"/>
              <w:rPr>
                <w:rFonts w:hint="eastAsia" w:ascii="宋体" w:hAnsi="宋体" w:eastAsia="宋体" w:cs="宋体"/>
                <w:color w:val="auto"/>
                <w:kern w:val="0"/>
                <w:sz w:val="21"/>
                <w:szCs w:val="21"/>
                <w:highlight w:val="none"/>
              </w:rPr>
            </w:pPr>
          </w:p>
        </w:tc>
        <w:tc>
          <w:tcPr>
            <w:tcW w:w="1889" w:type="pct"/>
            <w:noWrap w:val="0"/>
            <w:vAlign w:val="center"/>
          </w:tcPr>
          <w:p w14:paraId="790E814F">
            <w:pPr>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安全生产监督管理部门、煤矿安全培训监管机构和生产经营单位应当制定安全培训的考核制度，建立考核管理档案备查。</w:t>
            </w:r>
          </w:p>
        </w:tc>
        <w:tc>
          <w:tcPr>
            <w:tcW w:w="994" w:type="pct"/>
            <w:noWrap w:val="0"/>
            <w:vAlign w:val="center"/>
          </w:tcPr>
          <w:p w14:paraId="1BD1B68C">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《安全生产培训管理办法》第</w:t>
            </w:r>
            <w:r>
              <w:rPr>
                <w:rFonts w:hint="eastAsia" w:ascii="宋体" w:hAnsi="宋体" w:eastAsia="宋体" w:cs="宋体"/>
                <w:color w:val="auto"/>
                <w:kern w:val="0"/>
                <w:sz w:val="21"/>
                <w:szCs w:val="21"/>
                <w:highlight w:val="none"/>
                <w:lang w:val="en-US" w:eastAsia="zh-CN"/>
              </w:rPr>
              <w:t>21</w:t>
            </w:r>
            <w:r>
              <w:rPr>
                <w:rFonts w:hint="eastAsia" w:ascii="宋体" w:hAnsi="宋体" w:eastAsia="宋体" w:cs="宋体"/>
                <w:color w:val="auto"/>
                <w:kern w:val="0"/>
                <w:sz w:val="21"/>
                <w:szCs w:val="21"/>
                <w:highlight w:val="none"/>
              </w:rPr>
              <w:t>条</w:t>
            </w:r>
          </w:p>
        </w:tc>
        <w:tc>
          <w:tcPr>
            <w:tcW w:w="1304" w:type="pct"/>
            <w:noWrap w:val="0"/>
            <w:vAlign w:val="center"/>
          </w:tcPr>
          <w:p w14:paraId="436DFA83">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制定</w:t>
            </w:r>
            <w:r>
              <w:rPr>
                <w:rFonts w:hint="eastAsia" w:ascii="宋体" w:hAnsi="宋体" w:eastAsia="宋体" w:cs="宋体"/>
                <w:color w:val="auto"/>
                <w:kern w:val="0"/>
                <w:sz w:val="21"/>
                <w:szCs w:val="21"/>
                <w:highlight w:val="none"/>
                <w:lang w:eastAsia="zh-CN"/>
              </w:rPr>
              <w:t>了</w:t>
            </w:r>
            <w:r>
              <w:rPr>
                <w:rFonts w:hint="eastAsia" w:ascii="宋体" w:hAnsi="宋体" w:eastAsia="宋体" w:cs="宋体"/>
                <w:i w:val="0"/>
                <w:iCs w:val="0"/>
                <w:color w:val="auto"/>
                <w:kern w:val="0"/>
                <w:sz w:val="21"/>
                <w:szCs w:val="21"/>
                <w:highlight w:val="none"/>
                <w:u w:val="none"/>
                <w:lang w:val="en-US" w:eastAsia="zh-CN" w:bidi="ar"/>
              </w:rPr>
              <w:t>安全三级教育培训制度，包含</w:t>
            </w:r>
            <w:r>
              <w:rPr>
                <w:rFonts w:hint="eastAsia" w:ascii="宋体" w:hAnsi="宋体" w:eastAsia="宋体" w:cs="宋体"/>
                <w:color w:val="auto"/>
                <w:kern w:val="0"/>
                <w:sz w:val="21"/>
                <w:szCs w:val="21"/>
                <w:highlight w:val="none"/>
              </w:rPr>
              <w:t>安全培训的考核</w:t>
            </w:r>
            <w:r>
              <w:rPr>
                <w:rFonts w:hint="eastAsia" w:ascii="宋体" w:hAnsi="宋体" w:eastAsia="宋体" w:cs="宋体"/>
                <w:color w:val="auto"/>
                <w:kern w:val="0"/>
                <w:sz w:val="21"/>
                <w:szCs w:val="21"/>
                <w:highlight w:val="none"/>
                <w:lang w:eastAsia="zh-CN"/>
              </w:rPr>
              <w:t>规定</w:t>
            </w:r>
            <w:r>
              <w:rPr>
                <w:rFonts w:hint="eastAsia" w:ascii="宋体" w:hAnsi="宋体" w:eastAsia="宋体" w:cs="宋体"/>
                <w:color w:val="auto"/>
                <w:kern w:val="0"/>
                <w:sz w:val="21"/>
                <w:szCs w:val="21"/>
                <w:highlight w:val="none"/>
              </w:rPr>
              <w:t>，建立</w:t>
            </w:r>
            <w:r>
              <w:rPr>
                <w:rFonts w:hint="eastAsia" w:ascii="宋体" w:hAnsi="宋体" w:eastAsia="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考核管理档案。</w:t>
            </w:r>
          </w:p>
        </w:tc>
        <w:tc>
          <w:tcPr>
            <w:tcW w:w="448" w:type="pct"/>
            <w:noWrap w:val="0"/>
            <w:vAlign w:val="center"/>
          </w:tcPr>
          <w:p w14:paraId="30454443">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761CE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C258F1C">
            <w:pPr>
              <w:numPr>
                <w:ilvl w:val="0"/>
                <w:numId w:val="61"/>
              </w:numPr>
              <w:adjustRightInd w:val="0"/>
              <w:snapToGrid w:val="0"/>
              <w:ind w:left="0" w:firstLine="0"/>
              <w:jc w:val="center"/>
              <w:rPr>
                <w:rFonts w:hint="eastAsia" w:ascii="宋体" w:hAnsi="宋体" w:eastAsia="宋体" w:cs="宋体"/>
                <w:color w:val="auto"/>
                <w:kern w:val="0"/>
                <w:sz w:val="21"/>
                <w:szCs w:val="21"/>
                <w:highlight w:val="none"/>
              </w:rPr>
            </w:pPr>
          </w:p>
        </w:tc>
        <w:tc>
          <w:tcPr>
            <w:tcW w:w="4636" w:type="pct"/>
            <w:gridSpan w:val="4"/>
            <w:noWrap w:val="0"/>
            <w:vAlign w:val="center"/>
          </w:tcPr>
          <w:p w14:paraId="3578CDFF">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危险作业</w:t>
            </w:r>
          </w:p>
        </w:tc>
      </w:tr>
      <w:tr w14:paraId="57343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1AF2D26B">
            <w:pPr>
              <w:numPr>
                <w:ilvl w:val="0"/>
                <w:numId w:val="64"/>
              </w:numPr>
              <w:adjustRightInd w:val="0"/>
              <w:snapToGrid w:val="0"/>
              <w:jc w:val="center"/>
              <w:rPr>
                <w:rFonts w:hint="eastAsia" w:ascii="宋体" w:hAnsi="宋体" w:eastAsia="宋体" w:cs="宋体"/>
                <w:color w:val="auto"/>
                <w:kern w:val="0"/>
                <w:sz w:val="21"/>
                <w:szCs w:val="21"/>
                <w:highlight w:val="none"/>
              </w:rPr>
            </w:pPr>
          </w:p>
        </w:tc>
        <w:tc>
          <w:tcPr>
            <w:tcW w:w="1889" w:type="pct"/>
            <w:noWrap w:val="0"/>
            <w:vAlign w:val="center"/>
          </w:tcPr>
          <w:p w14:paraId="777814E8">
            <w:pPr>
              <w:adjustRightInd w:val="0"/>
              <w:snapToGrid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生产经营单位进行爆破、吊装、动火、临时用电以及国务院应急管理部门会同国务院有关部门规定的其他危险作业，应当安排专门人员进行现场安全管理，确保操作规程的遵守和安全措施的落实。</w:t>
            </w:r>
          </w:p>
        </w:tc>
        <w:tc>
          <w:tcPr>
            <w:tcW w:w="994" w:type="pct"/>
            <w:noWrap w:val="0"/>
            <w:vAlign w:val="center"/>
          </w:tcPr>
          <w:p w14:paraId="6AE525F8">
            <w:pPr>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《中华人民共和国安全生产法》</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rPr>
              <w:t>43</w:t>
            </w:r>
            <w:r>
              <w:rPr>
                <w:rFonts w:hint="eastAsia" w:ascii="宋体" w:hAnsi="宋体" w:eastAsia="宋体" w:cs="宋体"/>
                <w:color w:val="auto"/>
                <w:kern w:val="0"/>
                <w:sz w:val="21"/>
                <w:szCs w:val="21"/>
                <w:highlight w:val="none"/>
              </w:rPr>
              <w:t>条</w:t>
            </w:r>
          </w:p>
        </w:tc>
        <w:tc>
          <w:tcPr>
            <w:tcW w:w="1304" w:type="pct"/>
            <w:noWrap w:val="0"/>
            <w:vAlign w:val="center"/>
          </w:tcPr>
          <w:p w14:paraId="31F324E2">
            <w:pPr>
              <w:adjustRightInd w:val="0"/>
              <w:snapToGrid w:val="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危险作业安排专门人员进行现场安全管理</w:t>
            </w:r>
            <w:r>
              <w:rPr>
                <w:rFonts w:hint="eastAsia" w:ascii="宋体" w:hAnsi="宋体" w:eastAsia="宋体" w:cs="宋体"/>
                <w:color w:val="auto"/>
                <w:kern w:val="0"/>
                <w:sz w:val="21"/>
                <w:szCs w:val="21"/>
                <w:highlight w:val="none"/>
                <w:lang w:eastAsia="zh-CN"/>
              </w:rPr>
              <w:t>。</w:t>
            </w:r>
          </w:p>
        </w:tc>
        <w:tc>
          <w:tcPr>
            <w:tcW w:w="448" w:type="pct"/>
            <w:noWrap w:val="0"/>
            <w:vAlign w:val="center"/>
          </w:tcPr>
          <w:p w14:paraId="6918AC0C">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4610E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F204A00">
            <w:pPr>
              <w:numPr>
                <w:ilvl w:val="0"/>
                <w:numId w:val="61"/>
              </w:numPr>
              <w:adjustRightInd w:val="0"/>
              <w:snapToGrid w:val="0"/>
              <w:ind w:left="0" w:firstLine="0"/>
              <w:jc w:val="center"/>
              <w:rPr>
                <w:rFonts w:hint="eastAsia" w:ascii="宋体" w:hAnsi="宋体" w:eastAsia="宋体" w:cs="宋体"/>
                <w:color w:val="auto"/>
                <w:kern w:val="0"/>
                <w:sz w:val="21"/>
                <w:szCs w:val="21"/>
                <w:highlight w:val="none"/>
              </w:rPr>
            </w:pPr>
          </w:p>
        </w:tc>
        <w:tc>
          <w:tcPr>
            <w:tcW w:w="4636" w:type="pct"/>
            <w:gridSpan w:val="4"/>
            <w:noWrap w:val="0"/>
            <w:vAlign w:val="center"/>
          </w:tcPr>
          <w:p w14:paraId="5675A8E2">
            <w:pPr>
              <w:numPr>
                <w:ilvl w:val="-1"/>
                <w:numId w:val="0"/>
              </w:numPr>
              <w:adjustRightInd w:val="0"/>
              <w:snapToGrid w:val="0"/>
              <w:ind w:left="0" w:firstLine="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bCs/>
                <w:color w:val="auto"/>
                <w:sz w:val="21"/>
                <w:szCs w:val="21"/>
                <w:highlight w:val="none"/>
              </w:rPr>
              <w:t>应急预案</w:t>
            </w:r>
          </w:p>
        </w:tc>
      </w:tr>
      <w:tr w14:paraId="7EAFC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58AB0A6">
            <w:pPr>
              <w:numPr>
                <w:ilvl w:val="0"/>
                <w:numId w:val="65"/>
              </w:numPr>
              <w:adjustRightInd w:val="0"/>
              <w:snapToGrid w:val="0"/>
              <w:jc w:val="center"/>
              <w:rPr>
                <w:rFonts w:hint="eastAsia" w:ascii="宋体" w:hAnsi="宋体" w:eastAsia="宋体" w:cs="宋体"/>
                <w:color w:val="auto"/>
                <w:kern w:val="0"/>
                <w:sz w:val="21"/>
                <w:szCs w:val="21"/>
                <w:highlight w:val="none"/>
              </w:rPr>
            </w:pPr>
          </w:p>
        </w:tc>
        <w:tc>
          <w:tcPr>
            <w:tcW w:w="1889" w:type="pct"/>
            <w:noWrap w:val="0"/>
            <w:vAlign w:val="center"/>
          </w:tcPr>
          <w:p w14:paraId="5008D707">
            <w:pPr>
              <w:adjustRightInd w:val="0"/>
              <w:snapToGrid w:val="0"/>
              <w:rPr>
                <w:rFonts w:hint="eastAsia" w:ascii="宋体" w:hAnsi="宋体" w:eastAsia="宋体" w:cs="宋体"/>
                <w:bCs/>
                <w:color w:val="auto"/>
                <w:sz w:val="21"/>
                <w:szCs w:val="21"/>
                <w:highlight w:val="none"/>
              </w:rPr>
            </w:pPr>
            <w:r>
              <w:rPr>
                <w:rFonts w:hint="eastAsia" w:ascii="宋体" w:hAnsi="宋体" w:cs="宋体"/>
                <w:bCs/>
                <w:color w:val="auto"/>
                <w:szCs w:val="21"/>
                <w:highlight w:val="none"/>
              </w:rPr>
              <w:t>应急预案演练结束后，应急预案演练组织单位应当对应急预案演练效果进行评估，撰写应急预案演练评估报告，分析存在的问题，并对应急预案提出修订意见。</w:t>
            </w:r>
          </w:p>
        </w:tc>
        <w:tc>
          <w:tcPr>
            <w:tcW w:w="994" w:type="pct"/>
            <w:noWrap w:val="0"/>
            <w:vAlign w:val="center"/>
          </w:tcPr>
          <w:p w14:paraId="58C44998">
            <w:pPr>
              <w:adjustRightInd w:val="0"/>
              <w:snapToGrid w:val="0"/>
              <w:jc w:val="center"/>
              <w:rPr>
                <w:rFonts w:hint="eastAsia" w:ascii="宋体" w:hAnsi="宋体" w:eastAsia="宋体" w:cs="宋体"/>
                <w:bCs/>
                <w:color w:val="auto"/>
                <w:sz w:val="21"/>
                <w:szCs w:val="21"/>
                <w:highlight w:val="none"/>
              </w:rPr>
            </w:pPr>
            <w:r>
              <w:rPr>
                <w:rFonts w:hint="eastAsia" w:ascii="宋体" w:hAnsi="宋体" w:cs="宋体"/>
                <w:bCs/>
                <w:color w:val="auto"/>
                <w:szCs w:val="21"/>
                <w:highlight w:val="none"/>
              </w:rPr>
              <w:t>《生产安全事故应急预案管理办法》第</w:t>
            </w:r>
            <w:r>
              <w:rPr>
                <w:rFonts w:hint="eastAsia" w:ascii="宋体" w:hAnsi="宋体" w:cs="宋体"/>
                <w:bCs/>
                <w:color w:val="auto"/>
                <w:szCs w:val="21"/>
                <w:highlight w:val="none"/>
                <w:lang w:val="en-US" w:eastAsia="zh-CN"/>
              </w:rPr>
              <w:t>34</w:t>
            </w:r>
            <w:r>
              <w:rPr>
                <w:rFonts w:hint="eastAsia" w:ascii="宋体" w:hAnsi="宋体" w:cs="宋体"/>
                <w:bCs/>
                <w:color w:val="auto"/>
                <w:szCs w:val="21"/>
                <w:highlight w:val="none"/>
              </w:rPr>
              <w:t>条</w:t>
            </w:r>
          </w:p>
        </w:tc>
        <w:tc>
          <w:tcPr>
            <w:tcW w:w="1304" w:type="pct"/>
            <w:noWrap w:val="0"/>
            <w:vAlign w:val="center"/>
          </w:tcPr>
          <w:p w14:paraId="07A01D13">
            <w:pPr>
              <w:adjustRightInd w:val="0"/>
              <w:snapToGrid w:val="0"/>
              <w:rPr>
                <w:rFonts w:hint="eastAsia" w:ascii="宋体" w:hAnsi="宋体" w:eastAsia="宋体" w:cs="宋体"/>
                <w:bCs/>
                <w:color w:val="auto"/>
                <w:sz w:val="21"/>
                <w:szCs w:val="21"/>
                <w:highlight w:val="none"/>
              </w:rPr>
            </w:pPr>
            <w:r>
              <w:rPr>
                <w:rFonts w:hint="eastAsia" w:ascii="宋体" w:hAnsi="宋体" w:cs="宋体"/>
                <w:bCs/>
                <w:color w:val="auto"/>
                <w:szCs w:val="21"/>
                <w:highlight w:val="none"/>
                <w:lang w:eastAsia="zh-CN"/>
              </w:rPr>
              <w:t>应急演练记录</w:t>
            </w:r>
            <w:r>
              <w:rPr>
                <w:rFonts w:hint="eastAsia" w:ascii="宋体" w:hAnsi="宋体" w:cs="宋体"/>
                <w:bCs/>
                <w:color w:val="auto"/>
                <w:szCs w:val="21"/>
                <w:highlight w:val="none"/>
              </w:rPr>
              <w:t>有应急预案演练效果评估</w:t>
            </w:r>
            <w:r>
              <w:rPr>
                <w:rFonts w:hint="eastAsia" w:ascii="宋体" w:hAnsi="宋体" w:cs="宋体"/>
                <w:bCs/>
                <w:color w:val="auto"/>
                <w:szCs w:val="21"/>
                <w:highlight w:val="none"/>
                <w:lang w:eastAsia="zh-CN"/>
              </w:rPr>
              <w:t>内容</w:t>
            </w:r>
            <w:r>
              <w:rPr>
                <w:rFonts w:hint="eastAsia" w:ascii="宋体" w:hAnsi="宋体" w:cs="宋体"/>
                <w:bCs/>
                <w:color w:val="auto"/>
                <w:szCs w:val="21"/>
                <w:highlight w:val="none"/>
              </w:rPr>
              <w:t>。</w:t>
            </w:r>
          </w:p>
        </w:tc>
        <w:tc>
          <w:tcPr>
            <w:tcW w:w="448" w:type="pct"/>
            <w:noWrap w:val="0"/>
            <w:vAlign w:val="center"/>
          </w:tcPr>
          <w:p w14:paraId="69144B95">
            <w:pPr>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符合</w:t>
            </w:r>
          </w:p>
        </w:tc>
      </w:tr>
      <w:tr w14:paraId="5C47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1333864D">
            <w:pPr>
              <w:numPr>
                <w:ilvl w:val="0"/>
                <w:numId w:val="61"/>
              </w:numPr>
              <w:adjustRightInd w:val="0"/>
              <w:snapToGrid w:val="0"/>
              <w:ind w:left="0" w:firstLine="0"/>
              <w:jc w:val="center"/>
              <w:rPr>
                <w:rFonts w:hint="eastAsia" w:ascii="宋体" w:hAnsi="宋体" w:eastAsia="宋体" w:cs="宋体"/>
                <w:color w:val="auto"/>
                <w:kern w:val="0"/>
                <w:sz w:val="21"/>
                <w:szCs w:val="21"/>
                <w:highlight w:val="none"/>
              </w:rPr>
            </w:pPr>
          </w:p>
        </w:tc>
        <w:tc>
          <w:tcPr>
            <w:tcW w:w="4636" w:type="pct"/>
            <w:gridSpan w:val="4"/>
            <w:noWrap w:val="0"/>
            <w:vAlign w:val="center"/>
          </w:tcPr>
          <w:p w14:paraId="1A3C1664">
            <w:pPr>
              <w:adjustRightInd w:val="0"/>
              <w:snapToGrid w:val="0"/>
              <w:jc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工伤保险</w:t>
            </w:r>
          </w:p>
        </w:tc>
      </w:tr>
      <w:tr w14:paraId="7E691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4579DD9C">
            <w:pPr>
              <w:numPr>
                <w:ilvl w:val="0"/>
                <w:numId w:val="66"/>
              </w:numPr>
              <w:adjustRightInd w:val="0"/>
              <w:snapToGrid w:val="0"/>
              <w:jc w:val="center"/>
              <w:rPr>
                <w:rFonts w:hint="eastAsia" w:ascii="宋体" w:hAnsi="宋体" w:eastAsia="宋体" w:cs="宋体"/>
                <w:color w:val="auto"/>
                <w:kern w:val="0"/>
                <w:sz w:val="21"/>
                <w:szCs w:val="21"/>
                <w:highlight w:val="none"/>
              </w:rPr>
            </w:pPr>
          </w:p>
        </w:tc>
        <w:tc>
          <w:tcPr>
            <w:tcW w:w="1889" w:type="pct"/>
            <w:noWrap w:val="0"/>
            <w:vAlign w:val="center"/>
          </w:tcPr>
          <w:p w14:paraId="320D3C67">
            <w:pPr>
              <w:adjustRightInd w:val="0"/>
              <w:snapToGrid w:val="0"/>
              <w:rPr>
                <w:rFonts w:hint="eastAsia" w:ascii="宋体" w:hAnsi="宋体" w:cs="宋体"/>
                <w:bCs/>
                <w:color w:val="auto"/>
                <w:szCs w:val="21"/>
                <w:highlight w:val="none"/>
              </w:rPr>
            </w:pPr>
            <w:r>
              <w:rPr>
                <w:rFonts w:hint="eastAsia" w:ascii="宋体" w:hAnsi="宋体" w:cs="宋体"/>
                <w:bCs/>
                <w:color w:val="auto"/>
                <w:szCs w:val="21"/>
                <w:highlight w:val="none"/>
              </w:rPr>
              <w:t>生产经营单位必须依法参加工伤保险，为从业人员缴纳保险费。</w:t>
            </w:r>
          </w:p>
        </w:tc>
        <w:tc>
          <w:tcPr>
            <w:tcW w:w="994" w:type="pct"/>
            <w:noWrap w:val="0"/>
            <w:vAlign w:val="center"/>
          </w:tcPr>
          <w:p w14:paraId="38138243">
            <w:pPr>
              <w:adjustRightInd w:val="0"/>
              <w:snapToGrid w:val="0"/>
              <w:jc w:val="center"/>
              <w:rPr>
                <w:rFonts w:hint="eastAsia" w:ascii="宋体" w:hAnsi="宋体" w:cs="宋体"/>
                <w:bCs/>
                <w:color w:val="auto"/>
                <w:szCs w:val="21"/>
                <w:highlight w:val="none"/>
              </w:rPr>
            </w:pPr>
            <w:r>
              <w:rPr>
                <w:rFonts w:hint="eastAsia" w:ascii="宋体" w:hAnsi="宋体" w:eastAsia="宋体" w:cs="宋体"/>
                <w:color w:val="auto"/>
                <w:kern w:val="0"/>
                <w:sz w:val="21"/>
                <w:szCs w:val="21"/>
                <w:highlight w:val="none"/>
                <w:lang w:bidi="ar"/>
              </w:rPr>
              <w:t>《中华人民共和国安全生产法》</w:t>
            </w:r>
            <w:r>
              <w:rPr>
                <w:rFonts w:hint="eastAsia" w:ascii="宋体" w:hAnsi="宋体" w:cs="宋体"/>
                <w:bCs/>
                <w:color w:val="auto"/>
                <w:szCs w:val="21"/>
                <w:highlight w:val="none"/>
              </w:rPr>
              <w:t>第</w:t>
            </w:r>
            <w:r>
              <w:rPr>
                <w:rFonts w:hint="eastAsia" w:ascii="宋体" w:hAnsi="宋体" w:cs="宋体"/>
                <w:bCs/>
                <w:color w:val="auto"/>
                <w:szCs w:val="21"/>
                <w:highlight w:val="none"/>
                <w:lang w:val="en-US" w:eastAsia="zh-CN"/>
              </w:rPr>
              <w:t>51</w:t>
            </w:r>
            <w:r>
              <w:rPr>
                <w:rFonts w:hint="eastAsia" w:ascii="宋体" w:hAnsi="宋体" w:cs="宋体"/>
                <w:bCs/>
                <w:color w:val="auto"/>
                <w:szCs w:val="21"/>
                <w:highlight w:val="none"/>
              </w:rPr>
              <w:t>条</w:t>
            </w:r>
          </w:p>
        </w:tc>
        <w:tc>
          <w:tcPr>
            <w:tcW w:w="1304" w:type="pct"/>
            <w:noWrap w:val="0"/>
            <w:vAlign w:val="center"/>
          </w:tcPr>
          <w:p w14:paraId="164BB635">
            <w:pPr>
              <w:adjustRightInd w:val="0"/>
              <w:snapToGrid w:val="0"/>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依法参加工伤保险</w:t>
            </w:r>
            <w:r>
              <w:rPr>
                <w:rFonts w:hint="eastAsia" w:ascii="宋体" w:hAnsi="宋体" w:cs="宋体"/>
                <w:bCs/>
                <w:color w:val="auto"/>
                <w:szCs w:val="21"/>
                <w:highlight w:val="none"/>
                <w:lang w:eastAsia="zh-CN"/>
              </w:rPr>
              <w:t>。</w:t>
            </w:r>
          </w:p>
        </w:tc>
        <w:tc>
          <w:tcPr>
            <w:tcW w:w="448" w:type="pct"/>
            <w:noWrap w:val="0"/>
            <w:vAlign w:val="center"/>
          </w:tcPr>
          <w:p w14:paraId="73DFE7BF">
            <w:pPr>
              <w:adjustRightInd w:val="0"/>
              <w:snapToGrid w:val="0"/>
              <w:jc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符合</w:t>
            </w:r>
          </w:p>
        </w:tc>
      </w:tr>
      <w:tr w14:paraId="71BAC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1C9D3707">
            <w:pPr>
              <w:numPr>
                <w:ilvl w:val="0"/>
                <w:numId w:val="61"/>
              </w:numPr>
              <w:adjustRightInd w:val="0"/>
              <w:snapToGrid w:val="0"/>
              <w:ind w:left="0" w:firstLine="0"/>
              <w:jc w:val="center"/>
              <w:rPr>
                <w:rFonts w:hint="eastAsia" w:ascii="宋体" w:hAnsi="宋体" w:eastAsia="宋体" w:cs="宋体"/>
                <w:color w:val="auto"/>
                <w:kern w:val="0"/>
                <w:sz w:val="21"/>
                <w:szCs w:val="21"/>
                <w:highlight w:val="none"/>
              </w:rPr>
            </w:pPr>
          </w:p>
        </w:tc>
        <w:tc>
          <w:tcPr>
            <w:tcW w:w="4636" w:type="pct"/>
            <w:gridSpan w:val="4"/>
            <w:noWrap w:val="0"/>
            <w:vAlign w:val="center"/>
          </w:tcPr>
          <w:p w14:paraId="5AA1F7A1">
            <w:pPr>
              <w:adjustRightInd w:val="0"/>
              <w:snapToGrid w:val="0"/>
              <w:jc w:val="center"/>
              <w:rPr>
                <w:rFonts w:hint="eastAsia" w:ascii="宋体" w:hAnsi="宋体" w:cs="宋体"/>
                <w:color w:val="auto"/>
                <w:kern w:val="0"/>
                <w:sz w:val="21"/>
                <w:szCs w:val="21"/>
                <w:highlight w:val="none"/>
                <w:lang w:eastAsia="zh-CN"/>
              </w:rPr>
            </w:pPr>
            <w:r>
              <w:rPr>
                <w:rFonts w:hint="eastAsia" w:ascii="宋体" w:hAnsi="宋体" w:eastAsia="宋体" w:cs="宋体"/>
                <w:color w:val="auto"/>
                <w:sz w:val="21"/>
                <w:szCs w:val="21"/>
                <w:highlight w:val="none"/>
              </w:rPr>
              <w:t>安全生产费用</w:t>
            </w:r>
          </w:p>
        </w:tc>
      </w:tr>
      <w:tr w14:paraId="40BEF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28BA09C9">
            <w:pPr>
              <w:numPr>
                <w:ilvl w:val="0"/>
                <w:numId w:val="67"/>
              </w:numPr>
              <w:adjustRightInd w:val="0"/>
              <w:snapToGrid w:val="0"/>
              <w:jc w:val="center"/>
              <w:rPr>
                <w:rFonts w:hint="eastAsia" w:ascii="宋体" w:hAnsi="宋体" w:eastAsia="宋体" w:cs="宋体"/>
                <w:color w:val="auto"/>
                <w:kern w:val="0"/>
                <w:sz w:val="21"/>
                <w:szCs w:val="21"/>
                <w:highlight w:val="none"/>
              </w:rPr>
            </w:pPr>
          </w:p>
        </w:tc>
        <w:tc>
          <w:tcPr>
            <w:tcW w:w="1889" w:type="pct"/>
            <w:noWrap w:val="0"/>
            <w:vAlign w:val="center"/>
          </w:tcPr>
          <w:p w14:paraId="1DAC4AF4">
            <w:pPr>
              <w:adjustRightInd w:val="0"/>
              <w:snapToGrid w:val="0"/>
              <w:jc w:val="left"/>
              <w:rPr>
                <w:rFonts w:hint="eastAsia" w:ascii="宋体" w:hAnsi="宋体" w:cs="宋体"/>
                <w:bCs/>
                <w:color w:val="auto"/>
                <w:szCs w:val="21"/>
                <w:highlight w:val="none"/>
              </w:rPr>
            </w:pPr>
            <w:r>
              <w:rPr>
                <w:rFonts w:hint="eastAsia" w:ascii="宋体" w:hAnsi="宋体" w:eastAsia="宋体" w:cs="宋体"/>
                <w:color w:val="auto"/>
                <w:sz w:val="21"/>
                <w:szCs w:val="21"/>
                <w:highlight w:val="none"/>
              </w:rPr>
              <w:t>企业应当建立健全内部企业安全生产费用管理制度，明确企业安全生产费用提取和使用的程序、职责及权限，落实责任，确保按规定提取和使用企业安全生产费用。</w:t>
            </w:r>
          </w:p>
        </w:tc>
        <w:tc>
          <w:tcPr>
            <w:tcW w:w="994" w:type="pct"/>
            <w:noWrap w:val="0"/>
            <w:vAlign w:val="center"/>
          </w:tcPr>
          <w:p w14:paraId="4A15629E">
            <w:pPr>
              <w:adjustRightInd w:val="0"/>
              <w:snapToGrid w:val="0"/>
              <w:jc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sz w:val="21"/>
                <w:szCs w:val="21"/>
                <w:highlight w:val="none"/>
              </w:rPr>
              <w:t>《企业安全生产费用提取和使用管理办法》第</w:t>
            </w:r>
            <w:r>
              <w:rPr>
                <w:rFonts w:hint="eastAsia" w:ascii="宋体" w:hAnsi="宋体" w:eastAsia="宋体" w:cs="宋体"/>
                <w:color w:val="auto"/>
                <w:sz w:val="21"/>
                <w:szCs w:val="21"/>
                <w:highlight w:val="none"/>
                <w:lang w:eastAsia="zh-CN"/>
              </w:rPr>
              <w:t>4</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条</w:t>
            </w:r>
          </w:p>
        </w:tc>
        <w:tc>
          <w:tcPr>
            <w:tcW w:w="1304" w:type="pct"/>
            <w:noWrap w:val="0"/>
            <w:vAlign w:val="center"/>
          </w:tcPr>
          <w:p w14:paraId="557AA327">
            <w:pPr>
              <w:adjustRightInd w:val="0"/>
              <w:snapToGrid w:val="0"/>
              <w:jc w:val="left"/>
              <w:rPr>
                <w:rFonts w:hint="eastAsia" w:ascii="宋体" w:hAnsi="宋体" w:cs="宋体"/>
                <w:bCs/>
                <w:color w:val="auto"/>
                <w:szCs w:val="21"/>
                <w:highlight w:val="none"/>
                <w:lang w:eastAsia="zh-CN"/>
              </w:rPr>
            </w:pPr>
            <w:r>
              <w:rPr>
                <w:rFonts w:hint="eastAsia" w:ascii="宋体" w:hAnsi="宋体" w:eastAsia="宋体" w:cs="宋体"/>
                <w:color w:val="auto"/>
                <w:sz w:val="21"/>
                <w:szCs w:val="21"/>
                <w:highlight w:val="none"/>
                <w:lang w:eastAsia="zh-Hans"/>
              </w:rPr>
              <w:t>制定了</w:t>
            </w:r>
            <w:r>
              <w:rPr>
                <w:rFonts w:hint="eastAsia" w:ascii="宋体" w:hAnsi="宋体" w:eastAsia="宋体" w:cs="宋体"/>
                <w:i w:val="0"/>
                <w:iCs w:val="0"/>
                <w:color w:val="auto"/>
                <w:kern w:val="0"/>
                <w:sz w:val="21"/>
                <w:szCs w:val="21"/>
                <w:highlight w:val="none"/>
                <w:u w:val="none"/>
                <w:lang w:val="en-US" w:eastAsia="zh-CN" w:bidi="ar"/>
              </w:rPr>
              <w:t>安全生产费用提取、使用及管理制度</w:t>
            </w:r>
            <w:r>
              <w:rPr>
                <w:rFonts w:hint="eastAsia" w:ascii="宋体" w:hAnsi="宋体" w:eastAsia="宋体" w:cs="宋体"/>
                <w:color w:val="auto"/>
                <w:sz w:val="21"/>
                <w:szCs w:val="21"/>
                <w:highlight w:val="none"/>
              </w:rPr>
              <w:t>。</w:t>
            </w:r>
          </w:p>
        </w:tc>
        <w:tc>
          <w:tcPr>
            <w:tcW w:w="448" w:type="pct"/>
            <w:noWrap w:val="0"/>
            <w:vAlign w:val="center"/>
          </w:tcPr>
          <w:p w14:paraId="2E675532">
            <w:pPr>
              <w:adjustRightInd w:val="0"/>
              <w:snapToGrid w:val="0"/>
              <w:jc w:val="center"/>
              <w:rPr>
                <w:rFonts w:hint="eastAsia" w:ascii="宋体" w:hAnsi="宋体" w:cs="宋体"/>
                <w:color w:val="auto"/>
                <w:kern w:val="0"/>
                <w:sz w:val="21"/>
                <w:szCs w:val="21"/>
                <w:highlight w:val="none"/>
                <w:lang w:eastAsia="zh-CN"/>
              </w:rPr>
            </w:pPr>
            <w:r>
              <w:rPr>
                <w:rFonts w:hint="eastAsia" w:ascii="宋体" w:hAnsi="宋体" w:eastAsia="宋体" w:cs="宋体"/>
                <w:color w:val="auto"/>
                <w:sz w:val="21"/>
                <w:szCs w:val="21"/>
                <w:highlight w:val="none"/>
                <w:lang w:eastAsia="zh-Hans"/>
              </w:rPr>
              <w:t>符合</w:t>
            </w:r>
          </w:p>
        </w:tc>
      </w:tr>
    </w:tbl>
    <w:p w14:paraId="0648E7CE">
      <w:pPr>
        <w:pStyle w:val="25"/>
        <w:numPr>
          <w:ilvl w:val="-1"/>
          <w:numId w:val="0"/>
        </w:numPr>
        <w:adjustRightInd w:val="0"/>
        <w:snapToGrid w:val="0"/>
        <w:spacing w:beforeLines="50" w:after="0" w:line="360" w:lineRule="auto"/>
        <w:ind w:left="0" w:leftChars="0" w:firstLine="560" w:firstLineChars="200"/>
        <w:jc w:val="left"/>
        <w:rPr>
          <w:rFonts w:hint="eastAsia" w:ascii="宋体" w:hAnsi="宋体" w:cs="宋体"/>
          <w:color w:val="auto"/>
          <w:kern w:val="0"/>
          <w:sz w:val="28"/>
          <w:szCs w:val="28"/>
          <w:highlight w:val="none"/>
          <w:lang w:eastAsia="zh-CN"/>
        </w:rPr>
      </w:pPr>
      <w:r>
        <w:rPr>
          <w:color w:val="auto"/>
          <w:kern w:val="0"/>
          <w:sz w:val="28"/>
          <w:szCs w:val="28"/>
          <w:highlight w:val="none"/>
        </w:rPr>
        <w:t>评</w:t>
      </w:r>
      <w:r>
        <w:rPr>
          <w:rFonts w:hint="eastAsia"/>
          <w:color w:val="auto"/>
          <w:kern w:val="0"/>
          <w:sz w:val="28"/>
          <w:szCs w:val="28"/>
          <w:highlight w:val="none"/>
        </w:rPr>
        <w:t>价</w:t>
      </w:r>
      <w:r>
        <w:rPr>
          <w:color w:val="auto"/>
          <w:kern w:val="0"/>
          <w:sz w:val="28"/>
          <w:szCs w:val="28"/>
          <w:highlight w:val="none"/>
        </w:rPr>
        <w:t>小结</w:t>
      </w:r>
      <w:r>
        <w:rPr>
          <w:rFonts w:hint="eastAsia"/>
          <w:color w:val="auto"/>
          <w:kern w:val="0"/>
          <w:sz w:val="28"/>
          <w:szCs w:val="28"/>
          <w:highlight w:val="none"/>
        </w:rPr>
        <w:t>，经检查，</w:t>
      </w:r>
      <w:r>
        <w:rPr>
          <w:rFonts w:hint="eastAsia" w:ascii="宋体" w:hAnsi="宋体" w:eastAsia="宋体" w:cs="宋体"/>
          <w:color w:val="auto"/>
          <w:sz w:val="28"/>
          <w:szCs w:val="28"/>
          <w:highlight w:val="none"/>
        </w:rPr>
        <w:t>伟星临海钮扣分公司</w:t>
      </w:r>
      <w:r>
        <w:rPr>
          <w:rFonts w:hint="eastAsia" w:ascii="宋体" w:hAnsi="宋体" w:cs="宋体"/>
          <w:color w:val="auto"/>
          <w:sz w:val="28"/>
          <w:szCs w:val="28"/>
          <w:highlight w:val="none"/>
          <w:lang w:eastAsia="zh-CN"/>
        </w:rPr>
        <w:t>危化品仓库</w:t>
      </w:r>
      <w:r>
        <w:rPr>
          <w:rFonts w:hint="eastAsia" w:ascii="宋体" w:hAnsi="宋体" w:eastAsia="宋体" w:cs="宋体"/>
          <w:color w:val="auto"/>
          <w:kern w:val="0"/>
          <w:sz w:val="28"/>
          <w:szCs w:val="28"/>
          <w:highlight w:val="none"/>
        </w:rPr>
        <w:t>安全管理</w:t>
      </w:r>
      <w:r>
        <w:rPr>
          <w:rFonts w:hint="eastAsia" w:ascii="宋体" w:hAnsi="宋体" w:cs="宋体"/>
          <w:color w:val="auto"/>
          <w:kern w:val="0"/>
          <w:sz w:val="28"/>
          <w:szCs w:val="28"/>
          <w:highlight w:val="none"/>
          <w:lang w:eastAsia="zh-CN"/>
        </w:rPr>
        <w:t>符合</w:t>
      </w:r>
      <w:r>
        <w:rPr>
          <w:rFonts w:hint="eastAsia" w:ascii="宋体" w:hAnsi="宋体" w:eastAsia="宋体" w:cs="宋体"/>
          <w:color w:val="auto"/>
          <w:kern w:val="0"/>
          <w:sz w:val="28"/>
          <w:szCs w:val="28"/>
          <w:highlight w:val="none"/>
        </w:rPr>
        <w:t>《中华人民共和国安全生产法》</w:t>
      </w:r>
      <w:r>
        <w:rPr>
          <w:rFonts w:hint="eastAsia" w:ascii="宋体" w:hAnsi="宋体" w:cs="宋体"/>
          <w:color w:val="auto"/>
          <w:sz w:val="28"/>
          <w:highlight w:val="none"/>
          <w:lang w:eastAsia="zh-CN"/>
        </w:rPr>
        <w:t>、</w:t>
      </w:r>
      <w:r>
        <w:rPr>
          <w:rFonts w:hint="eastAsia" w:ascii="宋体" w:hAnsi="宋体" w:eastAsia="宋体" w:cs="宋体"/>
          <w:color w:val="auto"/>
          <w:kern w:val="0"/>
          <w:sz w:val="28"/>
          <w:szCs w:val="28"/>
          <w:highlight w:val="none"/>
        </w:rPr>
        <w:t>《生产经营单位安全培训规定》、《安全生产培训管理办法》</w:t>
      </w:r>
      <w:r>
        <w:rPr>
          <w:rFonts w:hint="eastAsia" w:ascii="宋体" w:hAnsi="宋体" w:eastAsia="宋体" w:cs="宋体"/>
          <w:color w:val="auto"/>
          <w:kern w:val="0"/>
          <w:sz w:val="28"/>
          <w:szCs w:val="28"/>
          <w:highlight w:val="none"/>
          <w:lang w:eastAsia="zh-CN"/>
        </w:rPr>
        <w:t>、</w:t>
      </w:r>
      <w:r>
        <w:rPr>
          <w:rFonts w:hint="eastAsia" w:ascii="宋体" w:hAnsi="宋体" w:cs="宋体"/>
          <w:color w:val="auto"/>
          <w:sz w:val="28"/>
          <w:highlight w:val="none"/>
        </w:rPr>
        <w:t>《生产安全事故应急预案管理办法》</w:t>
      </w:r>
      <w:r>
        <w:rPr>
          <w:rFonts w:hint="eastAsia" w:ascii="宋体" w:hAnsi="宋体" w:eastAsia="宋体" w:cs="宋体"/>
          <w:color w:val="auto"/>
          <w:sz w:val="28"/>
          <w:szCs w:val="28"/>
          <w:highlight w:val="none"/>
          <w:lang w:eastAsia="zh-CN"/>
        </w:rPr>
        <w:t>和</w:t>
      </w:r>
      <w:r>
        <w:rPr>
          <w:rFonts w:hint="eastAsia" w:ascii="宋体" w:hAnsi="宋体" w:eastAsia="宋体" w:cs="宋体"/>
          <w:color w:val="auto"/>
          <w:kern w:val="0"/>
          <w:sz w:val="28"/>
          <w:szCs w:val="28"/>
          <w:highlight w:val="none"/>
        </w:rPr>
        <w:t>《浙江省安全生产条例》</w:t>
      </w:r>
      <w:r>
        <w:rPr>
          <w:rFonts w:hint="eastAsia" w:ascii="宋体" w:hAnsi="宋体" w:cs="宋体"/>
          <w:color w:val="auto"/>
          <w:kern w:val="0"/>
          <w:sz w:val="28"/>
          <w:szCs w:val="28"/>
          <w:highlight w:val="none"/>
          <w:lang w:eastAsia="zh-CN"/>
        </w:rPr>
        <w:t>的要求</w:t>
      </w:r>
      <w:r>
        <w:rPr>
          <w:rFonts w:hint="eastAsia" w:ascii="宋体" w:hAnsi="宋体" w:cs="宋体"/>
          <w:color w:val="auto"/>
          <w:kern w:val="0"/>
          <w:sz w:val="28"/>
          <w:szCs w:val="28"/>
          <w:highlight w:val="none"/>
        </w:rPr>
        <w:t>。</w:t>
      </w:r>
    </w:p>
    <w:p w14:paraId="69059052">
      <w:pPr>
        <w:adjustRightInd w:val="0"/>
        <w:snapToGrid w:val="0"/>
        <w:spacing w:beforeLines="0" w:afterLines="0" w:line="360" w:lineRule="auto"/>
        <w:jc w:val="left"/>
        <w:outlineLvl w:val="1"/>
        <w:rPr>
          <w:rFonts w:ascii="黑体" w:hAnsi="黑体" w:eastAsia="黑体" w:cs="Times New Roman"/>
          <w:b/>
          <w:color w:val="auto"/>
          <w:sz w:val="28"/>
          <w:szCs w:val="28"/>
          <w:highlight w:val="none"/>
        </w:rPr>
      </w:pPr>
      <w:bookmarkStart w:id="1871" w:name="_Toc498075632"/>
      <w:bookmarkStart w:id="1872" w:name="_Toc60846651"/>
      <w:bookmarkStart w:id="1873" w:name="_Toc1568"/>
      <w:bookmarkStart w:id="1874" w:name="_Toc957"/>
      <w:bookmarkStart w:id="1875" w:name="_Toc16773"/>
      <w:bookmarkStart w:id="1876" w:name="_Toc4096"/>
      <w:bookmarkStart w:id="1877" w:name="_Toc1565"/>
      <w:bookmarkStart w:id="1878" w:name="_Toc488"/>
      <w:bookmarkStart w:id="1879" w:name="_Toc26978"/>
      <w:bookmarkStart w:id="1880" w:name="_Toc6813"/>
      <w:bookmarkStart w:id="1881" w:name="_Toc9893"/>
      <w:bookmarkStart w:id="1882" w:name="_Toc14536"/>
      <w:bookmarkStart w:id="1883" w:name="_Toc25255"/>
      <w:bookmarkStart w:id="1884" w:name="_Toc15984"/>
      <w:bookmarkStart w:id="1885" w:name="_Toc8620"/>
      <w:bookmarkStart w:id="1886" w:name="_Toc14957"/>
      <w:bookmarkStart w:id="1887" w:name="_Toc18181"/>
      <w:bookmarkStart w:id="1888" w:name="_Toc15766"/>
      <w:bookmarkStart w:id="1889" w:name="_Toc10447"/>
      <w:r>
        <w:rPr>
          <w:rFonts w:ascii="黑体" w:hAnsi="黑体" w:eastAsia="黑体" w:cs="Times New Roman"/>
          <w:b/>
          <w:color w:val="auto"/>
          <w:sz w:val="28"/>
          <w:szCs w:val="28"/>
          <w:highlight w:val="none"/>
        </w:rPr>
        <w:t>5.</w:t>
      </w:r>
      <w:bookmarkEnd w:id="1871"/>
      <w:bookmarkEnd w:id="1872"/>
      <w:bookmarkStart w:id="1890" w:name="_Toc60846653"/>
      <w:bookmarkStart w:id="1891" w:name="_Toc493232709"/>
      <w:bookmarkStart w:id="1892" w:name="_Toc498075634"/>
      <w:bookmarkStart w:id="1893" w:name="_Toc223324287"/>
      <w:r>
        <w:rPr>
          <w:rFonts w:hint="eastAsia" w:ascii="黑体" w:hAnsi="黑体" w:eastAsia="黑体" w:cs="Times New Roman"/>
          <w:b/>
          <w:color w:val="auto"/>
          <w:sz w:val="28"/>
          <w:szCs w:val="28"/>
          <w:highlight w:val="none"/>
          <w:lang w:eastAsia="zh-CN"/>
        </w:rPr>
        <w:t>2</w:t>
      </w:r>
      <w:r>
        <w:rPr>
          <w:rFonts w:hint="eastAsia" w:ascii="黑体" w:hAnsi="黑体" w:eastAsia="黑体" w:cs="Times New Roman"/>
          <w:b/>
          <w:color w:val="auto"/>
          <w:sz w:val="28"/>
          <w:szCs w:val="28"/>
          <w:highlight w:val="none"/>
          <w:lang w:val="en-US" w:eastAsia="zh-CN"/>
        </w:rPr>
        <w:t xml:space="preserve"> </w:t>
      </w:r>
      <w:r>
        <w:rPr>
          <w:rFonts w:hint="default" w:ascii="黑体" w:hAnsi="黑体" w:eastAsia="黑体" w:cs="Times New Roman"/>
          <w:b/>
          <w:color w:val="auto"/>
          <w:sz w:val="28"/>
          <w:szCs w:val="28"/>
          <w:highlight w:val="none"/>
        </w:rPr>
        <w:t>作业条件危险性评价法</w:t>
      </w:r>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p>
    <w:p w14:paraId="291B599D">
      <w:pPr>
        <w:adjustRightInd w:val="0"/>
        <w:snapToGrid w:val="0"/>
        <w:spacing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根据</w:t>
      </w:r>
      <w:r>
        <w:rPr>
          <w:rFonts w:hint="eastAsia" w:ascii="宋体" w:hAnsi="宋体" w:eastAsia="宋体" w:cs="宋体"/>
          <w:color w:val="auto"/>
          <w:kern w:val="0"/>
          <w:sz w:val="28"/>
          <w:szCs w:val="28"/>
          <w:highlight w:val="none"/>
          <w:lang w:val="zh-CN"/>
        </w:rPr>
        <w:t>危化品仓库</w:t>
      </w:r>
      <w:r>
        <w:rPr>
          <w:rFonts w:hint="eastAsia" w:ascii="宋体" w:hAnsi="宋体" w:eastAsia="宋体" w:cs="宋体"/>
          <w:color w:val="auto"/>
          <w:sz w:val="28"/>
          <w:szCs w:val="28"/>
          <w:highlight w:val="none"/>
        </w:rPr>
        <w:t>实际情况，对事故发生的可能性及其严重程度用作业条件危险性进行评价。对危化品装卸、危化品储存</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kern w:val="0"/>
          <w:sz w:val="28"/>
          <w:szCs w:val="28"/>
          <w:highlight w:val="none"/>
        </w:rPr>
        <w:t>维修作业</w:t>
      </w:r>
      <w:r>
        <w:rPr>
          <w:rFonts w:hint="eastAsia" w:ascii="宋体" w:hAnsi="宋体" w:cs="宋体"/>
          <w:color w:val="auto"/>
          <w:kern w:val="0"/>
          <w:sz w:val="28"/>
          <w:szCs w:val="28"/>
          <w:highlight w:val="none"/>
          <w:lang w:eastAsia="zh-CN"/>
        </w:rPr>
        <w:t>进行</w:t>
      </w:r>
      <w:r>
        <w:rPr>
          <w:rFonts w:hint="eastAsia" w:ascii="宋体" w:hAnsi="宋体" w:eastAsia="宋体" w:cs="宋体"/>
          <w:color w:val="auto"/>
          <w:kern w:val="0"/>
          <w:sz w:val="28"/>
          <w:szCs w:val="28"/>
          <w:highlight w:val="none"/>
        </w:rPr>
        <w:t>作业条件危险性评价</w:t>
      </w:r>
      <w:r>
        <w:rPr>
          <w:rFonts w:hint="eastAsia" w:ascii="宋体" w:hAnsi="宋体" w:eastAsia="宋体" w:cs="宋体"/>
          <w:color w:val="auto"/>
          <w:sz w:val="28"/>
          <w:szCs w:val="28"/>
          <w:highlight w:val="none"/>
        </w:rPr>
        <w:t>。</w:t>
      </w:r>
      <w:r>
        <w:rPr>
          <w:rFonts w:hint="eastAsia" w:ascii="宋体" w:hAnsi="宋体" w:eastAsia="宋体" w:cs="宋体"/>
          <w:color w:val="auto"/>
          <w:kern w:val="0"/>
          <w:sz w:val="28"/>
          <w:szCs w:val="28"/>
          <w:highlight w:val="none"/>
        </w:rPr>
        <w:t>评价过程及结果如下：</w:t>
      </w:r>
    </w:p>
    <w:p w14:paraId="269BB4C9">
      <w:pPr>
        <w:numPr>
          <w:ilvl w:val="0"/>
          <w:numId w:val="68"/>
        </w:num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事故发生的可能性</w:t>
      </w:r>
    </w:p>
    <w:p w14:paraId="753A1C41">
      <w:pPr>
        <w:pStyle w:val="60"/>
        <w:numPr>
          <w:ilvl w:val="-1"/>
          <w:numId w:val="0"/>
        </w:numPr>
        <w:adjustRightInd w:val="0"/>
        <w:snapToGrid w:val="0"/>
        <w:spacing w:line="360" w:lineRule="auto"/>
        <w:ind w:left="840" w:leftChars="400" w:firstLine="0" w:firstLineChars="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事故发生的可能性取值标准见表5.2-1。</w:t>
      </w:r>
    </w:p>
    <w:p w14:paraId="1FD810E2">
      <w:pPr>
        <w:adjustRightInd w:val="0"/>
        <w:snapToGrid w:val="0"/>
        <w:spacing w:line="360" w:lineRule="auto"/>
        <w:ind w:firstLine="482" w:firstLineChars="200"/>
        <w:jc w:val="center"/>
        <w:rPr>
          <w:rFonts w:ascii="黑体" w:hAnsi="黑体" w:eastAsia="黑体"/>
          <w:b/>
          <w:bCs/>
          <w:color w:val="auto"/>
          <w:sz w:val="24"/>
          <w:szCs w:val="24"/>
          <w:highlight w:val="none"/>
        </w:rPr>
      </w:pPr>
      <w:r>
        <w:rPr>
          <w:rFonts w:hint="eastAsia" w:ascii="黑体" w:hAnsi="黑体" w:eastAsia="黑体"/>
          <w:b/>
          <w:bCs/>
          <w:color w:val="auto"/>
          <w:sz w:val="24"/>
          <w:szCs w:val="24"/>
          <w:highlight w:val="none"/>
        </w:rPr>
        <w:t>表</w:t>
      </w:r>
      <w:r>
        <w:rPr>
          <w:rFonts w:ascii="黑体" w:hAnsi="黑体" w:eastAsia="黑体"/>
          <w:b/>
          <w:bCs/>
          <w:color w:val="auto"/>
          <w:sz w:val="24"/>
          <w:szCs w:val="24"/>
          <w:highlight w:val="none"/>
        </w:rPr>
        <w:t>5.</w:t>
      </w:r>
      <w:r>
        <w:rPr>
          <w:rFonts w:hint="eastAsia" w:ascii="黑体" w:hAnsi="黑体" w:eastAsia="黑体"/>
          <w:b/>
          <w:bCs/>
          <w:color w:val="auto"/>
          <w:sz w:val="24"/>
          <w:szCs w:val="24"/>
          <w:highlight w:val="none"/>
          <w:lang w:val="en-US" w:eastAsia="zh-CN"/>
        </w:rPr>
        <w:t>2</w:t>
      </w:r>
      <w:r>
        <w:rPr>
          <w:rFonts w:ascii="黑体" w:hAnsi="黑体" w:eastAsia="黑体"/>
          <w:b/>
          <w:bCs/>
          <w:color w:val="auto"/>
          <w:sz w:val="24"/>
          <w:szCs w:val="24"/>
          <w:highlight w:val="none"/>
        </w:rPr>
        <w:t>-</w:t>
      </w:r>
      <w:r>
        <w:rPr>
          <w:rFonts w:hint="eastAsia" w:ascii="黑体" w:hAnsi="黑体" w:eastAsia="黑体"/>
          <w:b/>
          <w:bCs/>
          <w:color w:val="auto"/>
          <w:sz w:val="24"/>
          <w:szCs w:val="24"/>
          <w:highlight w:val="none"/>
          <w:lang w:val="en-US" w:eastAsia="zh-CN"/>
        </w:rPr>
        <w:t>1</w:t>
      </w:r>
      <w:r>
        <w:rPr>
          <w:rFonts w:ascii="黑体" w:hAnsi="黑体" w:eastAsia="黑体"/>
          <w:b/>
          <w:bCs/>
          <w:color w:val="auto"/>
          <w:sz w:val="24"/>
          <w:szCs w:val="24"/>
          <w:highlight w:val="none"/>
        </w:rPr>
        <w:t xml:space="preserve"> 事故发生的可能性（L）</w:t>
      </w:r>
    </w:p>
    <w:tbl>
      <w:tblPr>
        <w:tblStyle w:val="6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7"/>
        <w:gridCol w:w="3437"/>
        <w:gridCol w:w="1354"/>
        <w:gridCol w:w="3346"/>
      </w:tblGrid>
      <w:tr w14:paraId="1127D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14:paraId="4BB54CD3">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分数值</w:t>
            </w:r>
          </w:p>
        </w:tc>
        <w:tc>
          <w:tcPr>
            <w:tcW w:w="1828" w:type="pct"/>
            <w:vAlign w:val="center"/>
          </w:tcPr>
          <w:p w14:paraId="2FA5B33B">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事故发生的可能性</w:t>
            </w:r>
          </w:p>
        </w:tc>
        <w:tc>
          <w:tcPr>
            <w:tcW w:w="720" w:type="pct"/>
            <w:vAlign w:val="center"/>
          </w:tcPr>
          <w:p w14:paraId="1D335EA5">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分数值</w:t>
            </w:r>
          </w:p>
        </w:tc>
        <w:tc>
          <w:tcPr>
            <w:tcW w:w="1780" w:type="pct"/>
            <w:vAlign w:val="center"/>
          </w:tcPr>
          <w:p w14:paraId="58EDE327">
            <w:pP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事故发生的可能性</w:t>
            </w:r>
          </w:p>
        </w:tc>
      </w:tr>
      <w:tr w14:paraId="452B5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14:paraId="4A86898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828" w:type="pct"/>
            <w:vAlign w:val="center"/>
          </w:tcPr>
          <w:p w14:paraId="0EA44F8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完全可以预料到</w:t>
            </w:r>
          </w:p>
        </w:tc>
        <w:tc>
          <w:tcPr>
            <w:tcW w:w="720" w:type="pct"/>
            <w:vAlign w:val="center"/>
          </w:tcPr>
          <w:p w14:paraId="0F35E7B4">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0.5</w:t>
            </w:r>
          </w:p>
        </w:tc>
        <w:tc>
          <w:tcPr>
            <w:tcW w:w="1780" w:type="pct"/>
            <w:vAlign w:val="center"/>
          </w:tcPr>
          <w:p w14:paraId="00C45C4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很不可能，可以设想极不可能</w:t>
            </w:r>
          </w:p>
        </w:tc>
      </w:tr>
      <w:tr w14:paraId="511D9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14:paraId="0624F57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828" w:type="pct"/>
            <w:vAlign w:val="center"/>
          </w:tcPr>
          <w:p w14:paraId="478310C1">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相当可能</w:t>
            </w:r>
          </w:p>
        </w:tc>
        <w:tc>
          <w:tcPr>
            <w:tcW w:w="720" w:type="pct"/>
            <w:vAlign w:val="center"/>
          </w:tcPr>
          <w:p w14:paraId="54CAA1F7">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0.2</w:t>
            </w:r>
          </w:p>
        </w:tc>
        <w:tc>
          <w:tcPr>
            <w:tcW w:w="1780" w:type="pct"/>
            <w:vAlign w:val="center"/>
          </w:tcPr>
          <w:p w14:paraId="3F25625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极不可能</w:t>
            </w:r>
          </w:p>
        </w:tc>
      </w:tr>
      <w:tr w14:paraId="1156D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14:paraId="787F28EC">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828" w:type="pct"/>
            <w:vAlign w:val="center"/>
          </w:tcPr>
          <w:p w14:paraId="282D9733">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可能，但不经常</w:t>
            </w:r>
          </w:p>
        </w:tc>
        <w:tc>
          <w:tcPr>
            <w:tcW w:w="720" w:type="pct"/>
            <w:vAlign w:val="center"/>
          </w:tcPr>
          <w:p w14:paraId="14628905">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0.1</w:t>
            </w:r>
          </w:p>
        </w:tc>
        <w:tc>
          <w:tcPr>
            <w:tcW w:w="1780" w:type="pct"/>
            <w:vAlign w:val="center"/>
          </w:tcPr>
          <w:p w14:paraId="5C241299">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实际不可能</w:t>
            </w:r>
          </w:p>
        </w:tc>
      </w:tr>
      <w:tr w14:paraId="7A72D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14:paraId="1A31FFC6">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28" w:type="pct"/>
            <w:vAlign w:val="center"/>
          </w:tcPr>
          <w:p w14:paraId="2B28503D">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可能性小，完全意外</w:t>
            </w:r>
          </w:p>
        </w:tc>
        <w:tc>
          <w:tcPr>
            <w:tcW w:w="720" w:type="pct"/>
            <w:vAlign w:val="center"/>
          </w:tcPr>
          <w:p w14:paraId="25A0AB68">
            <w:pPr>
              <w:adjustRightInd w:val="0"/>
              <w:snapToGrid w:val="0"/>
              <w:jc w:val="center"/>
              <w:rPr>
                <w:rFonts w:hint="eastAsia" w:ascii="宋体" w:hAnsi="宋体" w:eastAsia="宋体" w:cs="宋体"/>
                <w:color w:val="auto"/>
                <w:sz w:val="21"/>
                <w:szCs w:val="21"/>
                <w:highlight w:val="none"/>
              </w:rPr>
            </w:pPr>
          </w:p>
        </w:tc>
        <w:tc>
          <w:tcPr>
            <w:tcW w:w="1780" w:type="pct"/>
            <w:vAlign w:val="center"/>
          </w:tcPr>
          <w:p w14:paraId="42C21C40">
            <w:pPr>
              <w:adjustRightInd w:val="0"/>
              <w:snapToGrid w:val="0"/>
              <w:jc w:val="center"/>
              <w:rPr>
                <w:rFonts w:hint="eastAsia" w:ascii="宋体" w:hAnsi="宋体" w:eastAsia="宋体" w:cs="宋体"/>
                <w:color w:val="auto"/>
                <w:sz w:val="21"/>
                <w:szCs w:val="21"/>
                <w:highlight w:val="none"/>
              </w:rPr>
            </w:pPr>
          </w:p>
        </w:tc>
      </w:tr>
    </w:tbl>
    <w:p w14:paraId="71F7C5B1">
      <w:pPr>
        <w:pStyle w:val="8"/>
        <w:widowControl w:val="0"/>
        <w:adjustRightInd w:val="0"/>
        <w:snapToGrid w:val="0"/>
        <w:spacing w:beforeLines="5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根据上表及</w:t>
      </w:r>
      <w:r>
        <w:rPr>
          <w:rFonts w:hint="eastAsia" w:ascii="宋体" w:hAnsi="宋体" w:eastAsia="宋体" w:cs="宋体"/>
          <w:color w:val="auto"/>
          <w:kern w:val="0"/>
          <w:sz w:val="28"/>
          <w:szCs w:val="28"/>
          <w:highlight w:val="none"/>
          <w:lang w:val="zh-CN"/>
        </w:rPr>
        <w:t>危化品仓库</w:t>
      </w:r>
      <w:r>
        <w:rPr>
          <w:rFonts w:hint="eastAsia" w:ascii="宋体" w:hAnsi="宋体" w:eastAsia="宋体" w:cs="宋体"/>
          <w:color w:val="auto"/>
          <w:kern w:val="0"/>
          <w:sz w:val="28"/>
          <w:szCs w:val="28"/>
          <w:highlight w:val="none"/>
        </w:rPr>
        <w:t>实际情况，选定</w:t>
      </w:r>
      <w:r>
        <w:rPr>
          <w:rFonts w:hint="eastAsia" w:ascii="宋体" w:hAnsi="宋体" w:eastAsia="宋体" w:cs="宋体"/>
          <w:color w:val="auto"/>
          <w:sz w:val="28"/>
          <w:szCs w:val="28"/>
          <w:highlight w:val="none"/>
        </w:rPr>
        <w:t>危化品装卸、危化品储存</w:t>
      </w:r>
      <w:r>
        <w:rPr>
          <w:rFonts w:hint="eastAsia" w:ascii="宋体" w:hAnsi="宋体" w:eastAsia="宋体" w:cs="宋体"/>
          <w:color w:val="auto"/>
          <w:kern w:val="0"/>
          <w:sz w:val="28"/>
          <w:szCs w:val="28"/>
          <w:highlight w:val="none"/>
        </w:rPr>
        <w:t>、维修作业的L取值为1。</w:t>
      </w:r>
    </w:p>
    <w:p w14:paraId="167BF01A">
      <w:pPr>
        <w:numPr>
          <w:ilvl w:val="0"/>
          <w:numId w:val="68"/>
        </w:num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人员暴露于危险环境的频繁程度</w:t>
      </w:r>
    </w:p>
    <w:p w14:paraId="05174D24">
      <w:pPr>
        <w:pStyle w:val="60"/>
        <w:numPr>
          <w:ilvl w:val="-1"/>
          <w:numId w:val="0"/>
        </w:numPr>
        <w:adjustRightInd w:val="0"/>
        <w:snapToGrid w:val="0"/>
        <w:spacing w:after="0" w:line="360" w:lineRule="auto"/>
        <w:ind w:left="0" w:lef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人员暴露于危险环境的频繁程度取值标准见表5.2-2。</w:t>
      </w:r>
    </w:p>
    <w:p w14:paraId="13645ABB">
      <w:pPr>
        <w:adjustRightInd w:val="0"/>
        <w:snapToGrid w:val="0"/>
        <w:spacing w:line="360" w:lineRule="auto"/>
        <w:ind w:firstLine="482" w:firstLineChars="200"/>
        <w:jc w:val="center"/>
        <w:rPr>
          <w:rFonts w:ascii="黑体" w:hAnsi="黑体" w:eastAsia="黑体"/>
          <w:b/>
          <w:bCs/>
          <w:color w:val="auto"/>
          <w:sz w:val="24"/>
          <w:szCs w:val="24"/>
          <w:highlight w:val="none"/>
        </w:rPr>
      </w:pPr>
      <w:r>
        <w:rPr>
          <w:rFonts w:hint="eastAsia" w:ascii="黑体" w:hAnsi="黑体" w:eastAsia="黑体"/>
          <w:b/>
          <w:bCs/>
          <w:color w:val="auto"/>
          <w:sz w:val="24"/>
          <w:szCs w:val="24"/>
          <w:highlight w:val="none"/>
        </w:rPr>
        <w:t>表</w:t>
      </w:r>
      <w:r>
        <w:rPr>
          <w:rFonts w:ascii="黑体" w:hAnsi="黑体" w:eastAsia="黑体"/>
          <w:b/>
          <w:bCs/>
          <w:color w:val="auto"/>
          <w:sz w:val="24"/>
          <w:szCs w:val="24"/>
          <w:highlight w:val="none"/>
        </w:rPr>
        <w:t>5.</w:t>
      </w:r>
      <w:r>
        <w:rPr>
          <w:rFonts w:hint="eastAsia" w:ascii="黑体" w:hAnsi="黑体" w:eastAsia="黑体"/>
          <w:b/>
          <w:bCs/>
          <w:color w:val="auto"/>
          <w:sz w:val="24"/>
          <w:szCs w:val="24"/>
          <w:highlight w:val="none"/>
          <w:lang w:val="en-US" w:eastAsia="zh-CN"/>
        </w:rPr>
        <w:t>2</w:t>
      </w:r>
      <w:r>
        <w:rPr>
          <w:rFonts w:ascii="黑体" w:hAnsi="黑体" w:eastAsia="黑体"/>
          <w:b/>
          <w:bCs/>
          <w:color w:val="auto"/>
          <w:sz w:val="24"/>
          <w:szCs w:val="24"/>
          <w:highlight w:val="none"/>
        </w:rPr>
        <w:t>-</w:t>
      </w:r>
      <w:r>
        <w:rPr>
          <w:rFonts w:hint="eastAsia" w:ascii="黑体" w:hAnsi="黑体" w:eastAsia="黑体"/>
          <w:b/>
          <w:bCs/>
          <w:color w:val="auto"/>
          <w:sz w:val="24"/>
          <w:szCs w:val="24"/>
          <w:highlight w:val="none"/>
          <w:lang w:val="en-US" w:eastAsia="zh-CN"/>
        </w:rPr>
        <w:t>2</w:t>
      </w:r>
      <w:r>
        <w:rPr>
          <w:rFonts w:ascii="黑体" w:hAnsi="黑体" w:eastAsia="黑体"/>
          <w:b/>
          <w:bCs/>
          <w:color w:val="auto"/>
          <w:sz w:val="24"/>
          <w:szCs w:val="24"/>
          <w:highlight w:val="none"/>
        </w:rPr>
        <w:t xml:space="preserve"> 人员暴露于危险环境的频繁程度（E）</w:t>
      </w:r>
    </w:p>
    <w:tbl>
      <w:tblPr>
        <w:tblStyle w:val="6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7"/>
        <w:gridCol w:w="3439"/>
        <w:gridCol w:w="1330"/>
        <w:gridCol w:w="3366"/>
      </w:tblGrid>
      <w:tr w14:paraId="1867B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669" w:type="pct"/>
            <w:vAlign w:val="center"/>
          </w:tcPr>
          <w:p w14:paraId="44AA1282">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分数值</w:t>
            </w:r>
          </w:p>
        </w:tc>
        <w:tc>
          <w:tcPr>
            <w:tcW w:w="1830" w:type="pct"/>
            <w:vAlign w:val="center"/>
          </w:tcPr>
          <w:p w14:paraId="55DD497C">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人员暴露于危险环境的频繁程度</w:t>
            </w:r>
          </w:p>
        </w:tc>
        <w:tc>
          <w:tcPr>
            <w:tcW w:w="708" w:type="pct"/>
            <w:vAlign w:val="center"/>
          </w:tcPr>
          <w:p w14:paraId="7EE98654">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分数值</w:t>
            </w:r>
          </w:p>
        </w:tc>
        <w:tc>
          <w:tcPr>
            <w:tcW w:w="1791" w:type="pct"/>
            <w:vAlign w:val="center"/>
          </w:tcPr>
          <w:p w14:paraId="7602444E">
            <w:pPr>
              <w:adjustRightInd w:val="0"/>
              <w:snapToGrid w:val="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人员暴露于危险环境的频繁程度</w:t>
            </w:r>
          </w:p>
        </w:tc>
      </w:tr>
      <w:tr w14:paraId="37886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14:paraId="7CCA07E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1830" w:type="pct"/>
            <w:vAlign w:val="center"/>
          </w:tcPr>
          <w:p w14:paraId="2E2378D0">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连续暴露</w:t>
            </w:r>
          </w:p>
        </w:tc>
        <w:tc>
          <w:tcPr>
            <w:tcW w:w="708" w:type="pct"/>
            <w:vAlign w:val="center"/>
          </w:tcPr>
          <w:p w14:paraId="74E2F92B">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791" w:type="pct"/>
            <w:vAlign w:val="center"/>
          </w:tcPr>
          <w:p w14:paraId="05D6B04D">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每月一次暴露</w:t>
            </w:r>
          </w:p>
        </w:tc>
      </w:tr>
      <w:tr w14:paraId="1C7A2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14:paraId="5F9C3F87">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1830" w:type="pct"/>
            <w:vAlign w:val="center"/>
          </w:tcPr>
          <w:p w14:paraId="7CFF19E9">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每天工作时间内暴露</w:t>
            </w:r>
          </w:p>
        </w:tc>
        <w:tc>
          <w:tcPr>
            <w:tcW w:w="708" w:type="pct"/>
            <w:vAlign w:val="center"/>
          </w:tcPr>
          <w:p w14:paraId="7C9A3A41">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791" w:type="pct"/>
            <w:vAlign w:val="center"/>
          </w:tcPr>
          <w:p w14:paraId="16990B2F">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每年几次暴露</w:t>
            </w:r>
          </w:p>
        </w:tc>
      </w:tr>
      <w:tr w14:paraId="4BC91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14:paraId="35A98E85">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1830" w:type="pct"/>
            <w:vAlign w:val="center"/>
          </w:tcPr>
          <w:p w14:paraId="26A9C787">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每周一次，或偶然暴露</w:t>
            </w:r>
          </w:p>
        </w:tc>
        <w:tc>
          <w:tcPr>
            <w:tcW w:w="708" w:type="pct"/>
            <w:vAlign w:val="center"/>
          </w:tcPr>
          <w:p w14:paraId="000E9E35">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0.5</w:t>
            </w:r>
          </w:p>
        </w:tc>
        <w:tc>
          <w:tcPr>
            <w:tcW w:w="1791" w:type="pct"/>
            <w:vAlign w:val="center"/>
          </w:tcPr>
          <w:p w14:paraId="3797753E">
            <w:pPr>
              <w:adjustRightInd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非常罕见的暴露</w:t>
            </w:r>
          </w:p>
        </w:tc>
      </w:tr>
    </w:tbl>
    <w:p w14:paraId="72314753">
      <w:pPr>
        <w:adjustRightInd w:val="0"/>
        <w:snapToGrid w:val="0"/>
        <w:spacing w:beforeLines="5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人员暴露于危险环境中的时间越多，受到伤害的可能性越大，相应的危险性也越大。</w:t>
      </w:r>
    </w:p>
    <w:p w14:paraId="4E20F0A1">
      <w:pPr>
        <w:adjustRightInd w:val="0"/>
        <w:snapToGrid w:val="0"/>
        <w:spacing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根据上表及</w:t>
      </w:r>
      <w:r>
        <w:rPr>
          <w:rFonts w:hint="eastAsia" w:ascii="宋体" w:hAnsi="宋体" w:eastAsia="宋体" w:cs="宋体"/>
          <w:color w:val="auto"/>
          <w:kern w:val="0"/>
          <w:sz w:val="28"/>
          <w:szCs w:val="28"/>
          <w:highlight w:val="none"/>
          <w:lang w:val="zh-CN"/>
        </w:rPr>
        <w:t>危化品仓库</w:t>
      </w:r>
      <w:r>
        <w:rPr>
          <w:rFonts w:hint="eastAsia" w:ascii="宋体" w:hAnsi="宋体" w:eastAsia="宋体" w:cs="宋体"/>
          <w:color w:val="auto"/>
          <w:kern w:val="0"/>
          <w:sz w:val="28"/>
          <w:szCs w:val="28"/>
          <w:highlight w:val="none"/>
        </w:rPr>
        <w:t>实际情况，选择</w:t>
      </w:r>
      <w:r>
        <w:rPr>
          <w:rFonts w:hint="eastAsia" w:ascii="宋体" w:hAnsi="宋体" w:eastAsia="宋体" w:cs="宋体"/>
          <w:color w:val="auto"/>
          <w:sz w:val="28"/>
          <w:szCs w:val="28"/>
          <w:highlight w:val="none"/>
        </w:rPr>
        <w:t>危化品装卸、危化品储存</w:t>
      </w:r>
      <w:r>
        <w:rPr>
          <w:rFonts w:hint="eastAsia" w:ascii="宋体" w:hAnsi="宋体" w:eastAsia="宋体" w:cs="宋体"/>
          <w:color w:val="auto"/>
          <w:kern w:val="0"/>
          <w:sz w:val="28"/>
          <w:szCs w:val="28"/>
          <w:highlight w:val="none"/>
        </w:rPr>
        <w:t>的E的取值6。维修作业的E的取值3。</w:t>
      </w:r>
    </w:p>
    <w:p w14:paraId="1B3F5FB9">
      <w:pPr>
        <w:numPr>
          <w:ilvl w:val="0"/>
          <w:numId w:val="68"/>
        </w:numPr>
        <w:adjustRightInd w:val="0"/>
        <w:snapToGrid w:val="0"/>
        <w:spacing w:line="360" w:lineRule="auto"/>
        <w:ind w:firstLine="560" w:firstLineChars="200"/>
        <w:rPr>
          <w:rFonts w:hint="eastAsia"/>
          <w:color w:val="auto"/>
          <w:sz w:val="28"/>
          <w:szCs w:val="28"/>
          <w:highlight w:val="none"/>
        </w:rPr>
      </w:pPr>
      <w:r>
        <w:rPr>
          <w:rFonts w:hint="eastAsia"/>
          <w:color w:val="auto"/>
          <w:sz w:val="28"/>
          <w:szCs w:val="28"/>
          <w:highlight w:val="none"/>
        </w:rPr>
        <w:t>发生事故可能造成的后果</w:t>
      </w:r>
    </w:p>
    <w:p w14:paraId="6A51D6AE">
      <w:pPr>
        <w:pStyle w:val="93"/>
        <w:widowControl w:val="0"/>
        <w:numPr>
          <w:ilvl w:val="255"/>
          <w:numId w:val="0"/>
        </w:numPr>
        <w:adjustRightInd w:val="0"/>
        <w:snapToGrid w:val="0"/>
        <w:spacing w:line="360" w:lineRule="auto"/>
        <w:ind w:left="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发生事故可能造成的后果的取值标准见表5.2-3。</w:t>
      </w:r>
    </w:p>
    <w:p w14:paraId="56CBC8F7">
      <w:pPr>
        <w:adjustRightInd w:val="0"/>
        <w:snapToGrid w:val="0"/>
        <w:spacing w:line="360" w:lineRule="auto"/>
        <w:ind w:firstLine="482" w:firstLineChars="200"/>
        <w:jc w:val="center"/>
        <w:rPr>
          <w:rFonts w:ascii="黑体" w:hAnsi="黑体" w:eastAsia="黑体"/>
          <w:b/>
          <w:bCs/>
          <w:color w:val="auto"/>
          <w:sz w:val="24"/>
          <w:szCs w:val="24"/>
          <w:highlight w:val="none"/>
        </w:rPr>
      </w:pPr>
      <w:r>
        <w:rPr>
          <w:rFonts w:hint="eastAsia" w:ascii="黑体" w:hAnsi="黑体" w:eastAsia="黑体"/>
          <w:b/>
          <w:bCs/>
          <w:color w:val="auto"/>
          <w:sz w:val="24"/>
          <w:szCs w:val="24"/>
          <w:highlight w:val="none"/>
        </w:rPr>
        <w:t>表</w:t>
      </w:r>
      <w:r>
        <w:rPr>
          <w:rFonts w:ascii="黑体" w:hAnsi="黑体" w:eastAsia="黑体"/>
          <w:b/>
          <w:bCs/>
          <w:color w:val="auto"/>
          <w:sz w:val="24"/>
          <w:szCs w:val="24"/>
          <w:highlight w:val="none"/>
        </w:rPr>
        <w:t>5.</w:t>
      </w:r>
      <w:r>
        <w:rPr>
          <w:rFonts w:hint="eastAsia" w:ascii="黑体" w:hAnsi="黑体" w:eastAsia="黑体"/>
          <w:b/>
          <w:bCs/>
          <w:color w:val="auto"/>
          <w:sz w:val="24"/>
          <w:szCs w:val="24"/>
          <w:highlight w:val="none"/>
          <w:lang w:val="en-US" w:eastAsia="zh-CN"/>
        </w:rPr>
        <w:t>2</w:t>
      </w:r>
      <w:r>
        <w:rPr>
          <w:rFonts w:ascii="黑体" w:hAnsi="黑体" w:eastAsia="黑体"/>
          <w:b/>
          <w:bCs/>
          <w:color w:val="auto"/>
          <w:sz w:val="24"/>
          <w:szCs w:val="24"/>
          <w:highlight w:val="none"/>
        </w:rPr>
        <w:t>-</w:t>
      </w:r>
      <w:r>
        <w:rPr>
          <w:rFonts w:hint="eastAsia" w:ascii="黑体" w:hAnsi="黑体" w:eastAsia="黑体"/>
          <w:b/>
          <w:bCs/>
          <w:color w:val="auto"/>
          <w:sz w:val="24"/>
          <w:szCs w:val="24"/>
          <w:highlight w:val="none"/>
          <w:lang w:val="en-US" w:eastAsia="zh-CN"/>
        </w:rPr>
        <w:t>3</w:t>
      </w:r>
      <w:r>
        <w:rPr>
          <w:rFonts w:ascii="黑体" w:hAnsi="黑体" w:eastAsia="黑体"/>
          <w:b/>
          <w:bCs/>
          <w:color w:val="auto"/>
          <w:sz w:val="24"/>
          <w:szCs w:val="24"/>
          <w:highlight w:val="none"/>
        </w:rPr>
        <w:t xml:space="preserve"> 发生事故可能造成的后果（</w:t>
      </w:r>
      <w:r>
        <w:rPr>
          <w:rFonts w:hint="eastAsia" w:ascii="黑体" w:hAnsi="黑体" w:eastAsia="黑体"/>
          <w:b/>
          <w:bCs/>
          <w:color w:val="auto"/>
          <w:sz w:val="24"/>
          <w:szCs w:val="24"/>
          <w:highlight w:val="none"/>
          <w:lang w:eastAsia="zh-CN"/>
        </w:rPr>
        <w:t>C</w:t>
      </w:r>
      <w:r>
        <w:rPr>
          <w:rFonts w:ascii="黑体" w:hAnsi="黑体" w:eastAsia="黑体"/>
          <w:b/>
          <w:bCs/>
          <w:color w:val="auto"/>
          <w:sz w:val="24"/>
          <w:szCs w:val="24"/>
          <w:highlight w:val="none"/>
        </w:rPr>
        <w:t>）</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3408"/>
        <w:gridCol w:w="1333"/>
        <w:gridCol w:w="3371"/>
      </w:tblGrid>
      <w:tr w14:paraId="2F2A6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5" w:type="pct"/>
            <w:vAlign w:val="center"/>
          </w:tcPr>
          <w:p w14:paraId="2BBEF31D">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分数值</w:t>
            </w:r>
          </w:p>
        </w:tc>
        <w:tc>
          <w:tcPr>
            <w:tcW w:w="1812" w:type="pct"/>
            <w:vAlign w:val="center"/>
          </w:tcPr>
          <w:p w14:paraId="5DBB6D79">
            <w:pPr>
              <w:pStyle w:val="136"/>
              <w:adjustRightInd w:val="0"/>
              <w:spacing w:line="24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发生事故可能造成的后果</w:t>
            </w:r>
          </w:p>
        </w:tc>
        <w:tc>
          <w:tcPr>
            <w:tcW w:w="709" w:type="pct"/>
            <w:vAlign w:val="center"/>
          </w:tcPr>
          <w:p w14:paraId="3BBD99FB">
            <w:pPr>
              <w:adjustRightInd w:val="0"/>
              <w:snapToGrid w:val="0"/>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分数值</w:t>
            </w:r>
          </w:p>
        </w:tc>
        <w:tc>
          <w:tcPr>
            <w:tcW w:w="1792" w:type="pct"/>
            <w:vAlign w:val="center"/>
          </w:tcPr>
          <w:p w14:paraId="04FF3AC6">
            <w:pPr>
              <w:adjustRightInd w:val="0"/>
              <w:snapToGrid w:val="0"/>
              <w:spacing w:line="240" w:lineRule="auto"/>
              <w:jc w:val="center"/>
              <w:rPr>
                <w:rFonts w:hint="eastAsia" w:ascii="宋体" w:hAnsi="宋体" w:eastAsia="宋体" w:cs="宋体"/>
                <w:b/>
                <w:bCs/>
                <w:color w:val="auto"/>
                <w:spacing w:val="-10"/>
                <w:sz w:val="21"/>
                <w:szCs w:val="21"/>
                <w:highlight w:val="none"/>
              </w:rPr>
            </w:pPr>
            <w:r>
              <w:rPr>
                <w:rFonts w:hint="eastAsia" w:ascii="宋体" w:hAnsi="宋体" w:eastAsia="宋体" w:cs="宋体"/>
                <w:b/>
                <w:bCs/>
                <w:color w:val="auto"/>
                <w:spacing w:val="-10"/>
                <w:sz w:val="21"/>
                <w:szCs w:val="21"/>
                <w:highlight w:val="none"/>
              </w:rPr>
              <w:t>发生事故可能造成的后果</w:t>
            </w:r>
          </w:p>
        </w:tc>
      </w:tr>
      <w:tr w14:paraId="0094E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5" w:type="pct"/>
            <w:vAlign w:val="center"/>
          </w:tcPr>
          <w:p w14:paraId="05ED43C0">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w:t>
            </w:r>
          </w:p>
        </w:tc>
        <w:tc>
          <w:tcPr>
            <w:tcW w:w="1812" w:type="pct"/>
            <w:vAlign w:val="center"/>
          </w:tcPr>
          <w:p w14:paraId="71EE9037">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大灾难，许多人死亡，或造成重大财产损失</w:t>
            </w:r>
          </w:p>
        </w:tc>
        <w:tc>
          <w:tcPr>
            <w:tcW w:w="709" w:type="pct"/>
            <w:vAlign w:val="center"/>
          </w:tcPr>
          <w:p w14:paraId="7FED0755">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792" w:type="pct"/>
            <w:vAlign w:val="center"/>
          </w:tcPr>
          <w:p w14:paraId="7FE5D582">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严重，重伤，或较小的财产损失</w:t>
            </w:r>
          </w:p>
        </w:tc>
      </w:tr>
      <w:tr w14:paraId="1F124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5" w:type="pct"/>
            <w:vAlign w:val="center"/>
          </w:tcPr>
          <w:p w14:paraId="64908D52">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40</w:t>
            </w:r>
          </w:p>
        </w:tc>
        <w:tc>
          <w:tcPr>
            <w:tcW w:w="1812" w:type="pct"/>
            <w:vAlign w:val="center"/>
          </w:tcPr>
          <w:p w14:paraId="1BE0E684">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灾难，数人死亡，或造成很大财产损失</w:t>
            </w:r>
          </w:p>
        </w:tc>
        <w:tc>
          <w:tcPr>
            <w:tcW w:w="709" w:type="pct"/>
            <w:vAlign w:val="center"/>
          </w:tcPr>
          <w:p w14:paraId="44FB583E">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792" w:type="pct"/>
            <w:vAlign w:val="center"/>
          </w:tcPr>
          <w:p w14:paraId="2948CA3C">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重大、致残或很小的财产损失</w:t>
            </w:r>
          </w:p>
        </w:tc>
      </w:tr>
      <w:tr w14:paraId="4A44C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5" w:type="pct"/>
            <w:vAlign w:val="center"/>
          </w:tcPr>
          <w:p w14:paraId="6CBC616B">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812" w:type="pct"/>
            <w:vAlign w:val="center"/>
          </w:tcPr>
          <w:p w14:paraId="63696297">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非常严重，一人死亡或造成一定的财产损失</w:t>
            </w:r>
          </w:p>
        </w:tc>
        <w:tc>
          <w:tcPr>
            <w:tcW w:w="709" w:type="pct"/>
            <w:vAlign w:val="center"/>
          </w:tcPr>
          <w:p w14:paraId="58971302">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92" w:type="pct"/>
            <w:vAlign w:val="center"/>
          </w:tcPr>
          <w:p w14:paraId="23EC769B">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引人注目，不利于基本的安全要求</w:t>
            </w:r>
          </w:p>
        </w:tc>
      </w:tr>
    </w:tbl>
    <w:p w14:paraId="1E7C4F06">
      <w:pPr>
        <w:adjustRightInd w:val="0"/>
        <w:snapToGrid w:val="0"/>
        <w:spacing w:beforeLines="50"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事故造成的人员伤害和财产损失的范围变化很大，所以规定分数值为1～100。把需要治疗的轻微伤害或较小财产损失的分数规定为1，把造成许多人死亡或重大财产损失的分数规定为100，其他情况的数值在1～100之间。</w:t>
      </w:r>
    </w:p>
    <w:p w14:paraId="74F1DA56">
      <w:pPr>
        <w:pStyle w:val="8"/>
        <w:widowControl w:val="0"/>
        <w:adjustRightInd w:val="0"/>
        <w:snapToGrid w:val="0"/>
        <w:spacing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根据上表及</w:t>
      </w:r>
      <w:r>
        <w:rPr>
          <w:rFonts w:hint="eastAsia" w:ascii="宋体" w:hAnsi="宋体" w:eastAsia="宋体" w:cs="宋体"/>
          <w:color w:val="auto"/>
          <w:kern w:val="0"/>
          <w:sz w:val="28"/>
          <w:szCs w:val="28"/>
          <w:highlight w:val="none"/>
          <w:lang w:val="zh-CN"/>
        </w:rPr>
        <w:t>危化品仓库</w:t>
      </w:r>
      <w:r>
        <w:rPr>
          <w:rFonts w:hint="eastAsia" w:ascii="宋体" w:hAnsi="宋体" w:eastAsia="宋体" w:cs="宋体"/>
          <w:color w:val="auto"/>
          <w:kern w:val="0"/>
          <w:sz w:val="28"/>
          <w:szCs w:val="28"/>
          <w:highlight w:val="none"/>
        </w:rPr>
        <w:t>实际情况，分析得出</w:t>
      </w:r>
      <w:r>
        <w:rPr>
          <w:rFonts w:hint="eastAsia" w:ascii="宋体" w:hAnsi="宋体" w:eastAsia="宋体" w:cs="宋体"/>
          <w:color w:val="auto"/>
          <w:sz w:val="28"/>
          <w:szCs w:val="28"/>
          <w:highlight w:val="none"/>
        </w:rPr>
        <w:t>危化品装卸、危化品储存</w:t>
      </w:r>
      <w:r>
        <w:rPr>
          <w:rFonts w:hint="eastAsia" w:ascii="宋体" w:hAnsi="宋体" w:eastAsia="宋体" w:cs="宋体"/>
          <w:color w:val="auto"/>
          <w:sz w:val="28"/>
          <w:szCs w:val="28"/>
          <w:highlight w:val="none"/>
          <w:lang w:eastAsia="zh-CN"/>
        </w:rPr>
        <w:t>的</w:t>
      </w:r>
      <w:r>
        <w:rPr>
          <w:rFonts w:hint="eastAsia" w:ascii="宋体" w:hAnsi="宋体" w:eastAsia="宋体" w:cs="宋体"/>
          <w:color w:val="auto"/>
          <w:kern w:val="0"/>
          <w:sz w:val="28"/>
          <w:szCs w:val="28"/>
          <w:highlight w:val="none"/>
        </w:rPr>
        <w:t>C的取值为7，维修作业的C取值为3。</w:t>
      </w:r>
    </w:p>
    <w:p w14:paraId="6248F59A">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（4）危险性等级划分</w:t>
      </w:r>
    </w:p>
    <w:p w14:paraId="3F5F3FD4">
      <w:pPr>
        <w:adjustRightInd w:val="0"/>
        <w:snapToGrid w:val="0"/>
        <w:spacing w:line="360" w:lineRule="auto"/>
        <w:ind w:firstLine="560" w:firstLineChars="200"/>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rPr>
        <w:t>按危险性分值划分危险性等级的标准见表5.2-4</w:t>
      </w:r>
      <w:r>
        <w:rPr>
          <w:rFonts w:hint="eastAsia" w:ascii="宋体" w:hAnsi="宋体" w:eastAsia="宋体" w:cs="宋体"/>
          <w:color w:val="auto"/>
          <w:kern w:val="0"/>
          <w:sz w:val="28"/>
          <w:szCs w:val="28"/>
          <w:highlight w:val="none"/>
          <w:lang w:eastAsia="zh-CN"/>
        </w:rPr>
        <w:t>。</w:t>
      </w:r>
    </w:p>
    <w:p w14:paraId="40AE2F46">
      <w:pPr>
        <w:adjustRightInd w:val="0"/>
        <w:snapToGrid w:val="0"/>
        <w:spacing w:line="360" w:lineRule="auto"/>
        <w:ind w:firstLine="0" w:firstLineChars="0"/>
        <w:jc w:val="center"/>
        <w:rPr>
          <w:rFonts w:hint="eastAsia" w:ascii="黑体" w:hAnsi="黑体" w:eastAsia="黑体"/>
          <w:b/>
          <w:bCs/>
          <w:color w:val="auto"/>
          <w:kern w:val="0"/>
          <w:sz w:val="24"/>
          <w:szCs w:val="24"/>
          <w:highlight w:val="none"/>
        </w:rPr>
      </w:pPr>
    </w:p>
    <w:p w14:paraId="031972B0">
      <w:pPr>
        <w:adjustRightInd w:val="0"/>
        <w:snapToGrid w:val="0"/>
        <w:spacing w:line="360" w:lineRule="auto"/>
        <w:ind w:firstLine="0" w:firstLineChars="0"/>
        <w:jc w:val="center"/>
        <w:rPr>
          <w:rFonts w:ascii="黑体" w:hAnsi="黑体" w:eastAsia="黑体"/>
          <w:b/>
          <w:bCs/>
          <w:color w:val="auto"/>
          <w:kern w:val="0"/>
          <w:sz w:val="24"/>
          <w:szCs w:val="24"/>
          <w:highlight w:val="none"/>
        </w:rPr>
      </w:pPr>
      <w:r>
        <w:rPr>
          <w:rFonts w:hint="eastAsia" w:ascii="黑体" w:hAnsi="黑体" w:eastAsia="黑体"/>
          <w:b/>
          <w:bCs/>
          <w:color w:val="auto"/>
          <w:kern w:val="0"/>
          <w:sz w:val="24"/>
          <w:szCs w:val="24"/>
          <w:highlight w:val="none"/>
        </w:rPr>
        <w:t>表5.</w:t>
      </w:r>
      <w:r>
        <w:rPr>
          <w:rFonts w:ascii="黑体" w:hAnsi="黑体" w:eastAsia="黑体"/>
          <w:b/>
          <w:bCs/>
          <w:color w:val="auto"/>
          <w:kern w:val="0"/>
          <w:sz w:val="24"/>
          <w:szCs w:val="24"/>
          <w:highlight w:val="none"/>
        </w:rPr>
        <w:t>2</w:t>
      </w:r>
      <w:r>
        <w:rPr>
          <w:rFonts w:hint="eastAsia" w:ascii="黑体" w:hAnsi="黑体" w:eastAsia="黑体"/>
          <w:b/>
          <w:bCs/>
          <w:color w:val="auto"/>
          <w:kern w:val="0"/>
          <w:sz w:val="24"/>
          <w:szCs w:val="24"/>
          <w:highlight w:val="none"/>
        </w:rPr>
        <w:t>-4危险性等级划分标准</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3276"/>
        <w:gridCol w:w="1386"/>
        <w:gridCol w:w="3370"/>
      </w:tblGrid>
      <w:tr w14:paraId="35FD5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pct"/>
            <w:vAlign w:val="center"/>
          </w:tcPr>
          <w:p w14:paraId="28FAB590">
            <w:pPr>
              <w:adjustRightInd w:val="0"/>
              <w:snapToGrid w:val="0"/>
              <w:jc w:val="center"/>
              <w:rPr>
                <w:rFonts w:ascii="宋体" w:hAnsi="宋体"/>
                <w:b/>
                <w:bCs/>
                <w:color w:val="auto"/>
                <w:kern w:val="0"/>
                <w:sz w:val="21"/>
                <w:szCs w:val="21"/>
                <w:highlight w:val="none"/>
              </w:rPr>
            </w:pPr>
            <w:r>
              <w:rPr>
                <w:rFonts w:hint="eastAsia" w:ascii="宋体" w:hAnsi="宋体"/>
                <w:b/>
                <w:bCs/>
                <w:color w:val="auto"/>
                <w:kern w:val="0"/>
                <w:sz w:val="21"/>
                <w:szCs w:val="21"/>
                <w:highlight w:val="none"/>
              </w:rPr>
              <w:t>D值</w:t>
            </w:r>
          </w:p>
        </w:tc>
        <w:tc>
          <w:tcPr>
            <w:tcW w:w="1742" w:type="pct"/>
            <w:vAlign w:val="center"/>
          </w:tcPr>
          <w:p w14:paraId="734D929F">
            <w:pPr>
              <w:adjustRightInd w:val="0"/>
              <w:snapToGrid w:val="0"/>
              <w:jc w:val="center"/>
              <w:rPr>
                <w:rFonts w:ascii="宋体" w:hAnsi="宋体"/>
                <w:b/>
                <w:bCs/>
                <w:color w:val="auto"/>
                <w:kern w:val="0"/>
                <w:sz w:val="21"/>
                <w:szCs w:val="21"/>
                <w:highlight w:val="none"/>
              </w:rPr>
            </w:pPr>
            <w:r>
              <w:rPr>
                <w:rFonts w:hint="eastAsia" w:ascii="宋体" w:hAnsi="宋体"/>
                <w:b/>
                <w:bCs/>
                <w:color w:val="auto"/>
                <w:kern w:val="0"/>
                <w:sz w:val="21"/>
                <w:szCs w:val="21"/>
                <w:highlight w:val="none"/>
              </w:rPr>
              <w:t>危险程度</w:t>
            </w:r>
          </w:p>
        </w:tc>
        <w:tc>
          <w:tcPr>
            <w:tcW w:w="737" w:type="pct"/>
            <w:vAlign w:val="center"/>
          </w:tcPr>
          <w:p w14:paraId="16D46342">
            <w:pPr>
              <w:adjustRightInd w:val="0"/>
              <w:snapToGrid w:val="0"/>
              <w:jc w:val="center"/>
              <w:rPr>
                <w:rFonts w:ascii="宋体" w:hAnsi="宋体"/>
                <w:b/>
                <w:bCs/>
                <w:color w:val="auto"/>
                <w:kern w:val="0"/>
                <w:sz w:val="21"/>
                <w:szCs w:val="21"/>
                <w:highlight w:val="none"/>
              </w:rPr>
            </w:pPr>
            <w:r>
              <w:rPr>
                <w:rFonts w:hint="eastAsia" w:ascii="宋体" w:hAnsi="宋体"/>
                <w:b/>
                <w:bCs/>
                <w:color w:val="auto"/>
                <w:kern w:val="0"/>
                <w:sz w:val="21"/>
                <w:szCs w:val="21"/>
                <w:highlight w:val="none"/>
              </w:rPr>
              <w:t>D值</w:t>
            </w:r>
          </w:p>
        </w:tc>
        <w:tc>
          <w:tcPr>
            <w:tcW w:w="1792" w:type="pct"/>
            <w:vAlign w:val="center"/>
          </w:tcPr>
          <w:p w14:paraId="20E1090F">
            <w:pPr>
              <w:adjustRightInd w:val="0"/>
              <w:snapToGrid w:val="0"/>
              <w:jc w:val="center"/>
              <w:rPr>
                <w:rFonts w:ascii="宋体" w:hAnsi="宋体"/>
                <w:b/>
                <w:bCs/>
                <w:color w:val="auto"/>
                <w:kern w:val="0"/>
                <w:sz w:val="21"/>
                <w:szCs w:val="21"/>
                <w:highlight w:val="none"/>
              </w:rPr>
            </w:pPr>
            <w:r>
              <w:rPr>
                <w:rFonts w:hint="eastAsia" w:ascii="宋体" w:hAnsi="宋体"/>
                <w:b/>
                <w:bCs/>
                <w:color w:val="auto"/>
                <w:kern w:val="0"/>
                <w:sz w:val="21"/>
                <w:szCs w:val="21"/>
                <w:highlight w:val="none"/>
              </w:rPr>
              <w:t>危险程度</w:t>
            </w:r>
          </w:p>
        </w:tc>
      </w:tr>
      <w:tr w14:paraId="787C3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pct"/>
            <w:vAlign w:val="center"/>
          </w:tcPr>
          <w:p w14:paraId="6FA4A7D5">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&gt;320</w:t>
            </w:r>
          </w:p>
        </w:tc>
        <w:tc>
          <w:tcPr>
            <w:tcW w:w="1742" w:type="pct"/>
            <w:vAlign w:val="center"/>
          </w:tcPr>
          <w:p w14:paraId="033F2A0A">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极度危险，不能继续作业</w:t>
            </w:r>
          </w:p>
        </w:tc>
        <w:tc>
          <w:tcPr>
            <w:tcW w:w="737" w:type="pct"/>
            <w:vAlign w:val="center"/>
          </w:tcPr>
          <w:p w14:paraId="1170320D">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20～70</w:t>
            </w:r>
          </w:p>
        </w:tc>
        <w:tc>
          <w:tcPr>
            <w:tcW w:w="1792" w:type="pct"/>
            <w:vAlign w:val="center"/>
          </w:tcPr>
          <w:p w14:paraId="2CAA8F96">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比较危险，需要注意</w:t>
            </w:r>
          </w:p>
        </w:tc>
      </w:tr>
      <w:tr w14:paraId="4EC0A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pct"/>
            <w:vAlign w:val="center"/>
          </w:tcPr>
          <w:p w14:paraId="5730A015">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160～320</w:t>
            </w:r>
          </w:p>
        </w:tc>
        <w:tc>
          <w:tcPr>
            <w:tcW w:w="1742" w:type="pct"/>
            <w:vAlign w:val="center"/>
          </w:tcPr>
          <w:p w14:paraId="1E4714B6">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高度危险，需立即整改</w:t>
            </w:r>
          </w:p>
        </w:tc>
        <w:tc>
          <w:tcPr>
            <w:tcW w:w="737" w:type="pct"/>
            <w:vAlign w:val="center"/>
          </w:tcPr>
          <w:p w14:paraId="4E8D57E2">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&lt;20</w:t>
            </w:r>
          </w:p>
        </w:tc>
        <w:tc>
          <w:tcPr>
            <w:tcW w:w="1792" w:type="pct"/>
            <w:vAlign w:val="center"/>
          </w:tcPr>
          <w:p w14:paraId="0B1E9970">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稍有危险，可以接受</w:t>
            </w:r>
          </w:p>
        </w:tc>
      </w:tr>
      <w:tr w14:paraId="3BE43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pct"/>
            <w:vAlign w:val="center"/>
          </w:tcPr>
          <w:p w14:paraId="2E9F8F7A">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70～160</w:t>
            </w:r>
          </w:p>
        </w:tc>
        <w:tc>
          <w:tcPr>
            <w:tcW w:w="1742" w:type="pct"/>
            <w:vAlign w:val="center"/>
          </w:tcPr>
          <w:p w14:paraId="1E9160EC">
            <w:pPr>
              <w:adjustRightInd w:val="0"/>
              <w:snapToGrid w:val="0"/>
              <w:jc w:val="center"/>
              <w:rPr>
                <w:rFonts w:ascii="宋体" w:hAnsi="宋体"/>
                <w:color w:val="auto"/>
                <w:kern w:val="0"/>
                <w:sz w:val="21"/>
                <w:szCs w:val="21"/>
                <w:highlight w:val="none"/>
              </w:rPr>
            </w:pPr>
            <w:r>
              <w:rPr>
                <w:rFonts w:hint="eastAsia" w:ascii="宋体" w:hAnsi="宋体"/>
                <w:color w:val="auto"/>
                <w:kern w:val="0"/>
                <w:sz w:val="21"/>
                <w:szCs w:val="21"/>
                <w:highlight w:val="none"/>
              </w:rPr>
              <w:t>显著危险，需要整改</w:t>
            </w:r>
          </w:p>
        </w:tc>
        <w:tc>
          <w:tcPr>
            <w:tcW w:w="737" w:type="pct"/>
            <w:vAlign w:val="center"/>
          </w:tcPr>
          <w:p w14:paraId="5DF649D7">
            <w:pPr>
              <w:adjustRightInd w:val="0"/>
              <w:snapToGrid w:val="0"/>
              <w:jc w:val="center"/>
              <w:rPr>
                <w:rFonts w:ascii="宋体" w:hAnsi="宋体"/>
                <w:color w:val="auto"/>
                <w:kern w:val="0"/>
                <w:sz w:val="21"/>
                <w:szCs w:val="21"/>
                <w:highlight w:val="none"/>
              </w:rPr>
            </w:pPr>
          </w:p>
        </w:tc>
        <w:tc>
          <w:tcPr>
            <w:tcW w:w="1792" w:type="pct"/>
            <w:vAlign w:val="center"/>
          </w:tcPr>
          <w:p w14:paraId="6A3B2237">
            <w:pPr>
              <w:adjustRightInd w:val="0"/>
              <w:snapToGrid w:val="0"/>
              <w:jc w:val="center"/>
              <w:rPr>
                <w:rFonts w:ascii="宋体" w:hAnsi="宋体"/>
                <w:color w:val="auto"/>
                <w:kern w:val="0"/>
                <w:sz w:val="21"/>
                <w:szCs w:val="21"/>
                <w:highlight w:val="none"/>
              </w:rPr>
            </w:pPr>
          </w:p>
        </w:tc>
      </w:tr>
    </w:tbl>
    <w:p w14:paraId="13D13834">
      <w:pPr>
        <w:adjustRightInd w:val="0"/>
        <w:snapToGrid w:val="0"/>
        <w:spacing w:beforeLines="50" w:line="360" w:lineRule="auto"/>
        <w:ind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根据经验，危险性分值在20分以下为低危险性，一般可以被人们接受；危险性分值在20～70时，需要加以注意；如果危险性分值在70～160之间，有显著的危险性，需要采取措施整改：如果危险性分值在160～320之间，有高度危险性，必须立即整改；如果危险性分值大于320，极度危险，应立即停止作业，彻底整改。</w:t>
      </w:r>
    </w:p>
    <w:p w14:paraId="2DFBEAE1">
      <w:pPr>
        <w:adjustRightInd w:val="0"/>
        <w:snapToGrid w:val="0"/>
        <w:spacing w:line="360" w:lineRule="auto"/>
        <w:ind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根据上述L、E、C取值，计算得出危险性分值并按照危险性等级划分标准得出双氧水储存作业、危险化学品配料、染色作业、天然气设备作业、机械维修作业和电气维修作业的作业条件危险性评价结果，具体结果如下。</w:t>
      </w:r>
    </w:p>
    <w:p w14:paraId="7DCA519F">
      <w:pPr>
        <w:adjustRightInd w:val="0"/>
        <w:snapToGrid w:val="0"/>
        <w:spacing w:line="360" w:lineRule="auto"/>
        <w:ind w:firstLine="482" w:firstLineChars="200"/>
        <w:jc w:val="center"/>
        <w:rPr>
          <w:rFonts w:ascii="黑体" w:hAnsi="黑体" w:eastAsia="黑体"/>
          <w:b/>
          <w:bCs/>
          <w:color w:val="auto"/>
          <w:kern w:val="0"/>
          <w:sz w:val="24"/>
          <w:szCs w:val="24"/>
          <w:highlight w:val="none"/>
        </w:rPr>
      </w:pPr>
      <w:r>
        <w:rPr>
          <w:rFonts w:hint="eastAsia" w:ascii="黑体" w:hAnsi="黑体" w:eastAsia="黑体"/>
          <w:b/>
          <w:bCs/>
          <w:color w:val="auto"/>
          <w:kern w:val="0"/>
          <w:sz w:val="24"/>
          <w:szCs w:val="24"/>
          <w:highlight w:val="none"/>
        </w:rPr>
        <w:t>表5.2-5作业条件危险性评价分析表</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1"/>
        <w:gridCol w:w="2517"/>
        <w:gridCol w:w="638"/>
        <w:gridCol w:w="638"/>
        <w:gridCol w:w="638"/>
        <w:gridCol w:w="655"/>
        <w:gridCol w:w="2003"/>
      </w:tblGrid>
      <w:tr w14:paraId="168F0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229" w:type="pct"/>
            <w:vMerge w:val="restart"/>
            <w:vAlign w:val="center"/>
          </w:tcPr>
          <w:p w14:paraId="1FF7FAB4">
            <w:pPr>
              <w:pStyle w:val="24"/>
              <w:adjustRightInd w:val="0"/>
              <w:snapToGrid w:val="0"/>
              <w:spacing w:after="0"/>
              <w:ind w:firstLine="0" w:firstLineChars="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评价对象</w:t>
            </w:r>
          </w:p>
        </w:tc>
        <w:tc>
          <w:tcPr>
            <w:tcW w:w="1339" w:type="pct"/>
            <w:vMerge w:val="restart"/>
            <w:vAlign w:val="center"/>
          </w:tcPr>
          <w:p w14:paraId="769BA823">
            <w:pPr>
              <w:pStyle w:val="24"/>
              <w:adjustRightInd w:val="0"/>
              <w:snapToGrid w:val="0"/>
              <w:spacing w:after="0"/>
              <w:ind w:firstLine="0" w:firstLineChars="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危险源及潜在风险</w:t>
            </w:r>
          </w:p>
        </w:tc>
        <w:tc>
          <w:tcPr>
            <w:tcW w:w="1365" w:type="pct"/>
            <w:gridSpan w:val="4"/>
            <w:vAlign w:val="center"/>
          </w:tcPr>
          <w:p w14:paraId="1F57386A">
            <w:pPr>
              <w:pStyle w:val="24"/>
              <w:adjustRightInd w:val="0"/>
              <w:snapToGrid w:val="0"/>
              <w:spacing w:after="0"/>
              <w:ind w:firstLine="0" w:firstLineChars="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风险值D=L×E×C</w:t>
            </w:r>
          </w:p>
        </w:tc>
        <w:tc>
          <w:tcPr>
            <w:tcW w:w="1065" w:type="pct"/>
            <w:vMerge w:val="restart"/>
            <w:vAlign w:val="center"/>
          </w:tcPr>
          <w:p w14:paraId="25CC8CBE">
            <w:pPr>
              <w:pStyle w:val="24"/>
              <w:adjustRightInd w:val="0"/>
              <w:snapToGrid w:val="0"/>
              <w:spacing w:after="0"/>
              <w:ind w:firstLine="0" w:firstLineChars="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结论</w:t>
            </w:r>
          </w:p>
        </w:tc>
      </w:tr>
      <w:tr w14:paraId="2EAC1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229" w:type="pct"/>
            <w:vMerge w:val="continue"/>
            <w:vAlign w:val="center"/>
          </w:tcPr>
          <w:p w14:paraId="393541B8">
            <w:pPr>
              <w:pStyle w:val="24"/>
              <w:adjustRightInd w:val="0"/>
              <w:snapToGrid w:val="0"/>
              <w:spacing w:after="0"/>
              <w:ind w:firstLine="0" w:firstLineChars="0"/>
              <w:jc w:val="center"/>
              <w:rPr>
                <w:rFonts w:hint="eastAsia" w:ascii="宋体" w:hAnsi="宋体" w:eastAsia="宋体" w:cs="宋体"/>
                <w:b/>
                <w:bCs/>
                <w:color w:val="auto"/>
                <w:kern w:val="0"/>
                <w:sz w:val="21"/>
                <w:szCs w:val="21"/>
                <w:highlight w:val="none"/>
              </w:rPr>
            </w:pPr>
          </w:p>
        </w:tc>
        <w:tc>
          <w:tcPr>
            <w:tcW w:w="1339" w:type="pct"/>
            <w:vMerge w:val="continue"/>
            <w:vAlign w:val="center"/>
          </w:tcPr>
          <w:p w14:paraId="361D4855">
            <w:pPr>
              <w:pStyle w:val="24"/>
              <w:adjustRightInd w:val="0"/>
              <w:snapToGrid w:val="0"/>
              <w:spacing w:after="0"/>
              <w:ind w:firstLine="0" w:firstLineChars="0"/>
              <w:jc w:val="center"/>
              <w:rPr>
                <w:rFonts w:hint="eastAsia" w:ascii="宋体" w:hAnsi="宋体" w:eastAsia="宋体" w:cs="宋体"/>
                <w:b/>
                <w:bCs/>
                <w:color w:val="auto"/>
                <w:kern w:val="0"/>
                <w:sz w:val="21"/>
                <w:szCs w:val="21"/>
                <w:highlight w:val="none"/>
              </w:rPr>
            </w:pPr>
          </w:p>
        </w:tc>
        <w:tc>
          <w:tcPr>
            <w:tcW w:w="339" w:type="pct"/>
            <w:vAlign w:val="center"/>
          </w:tcPr>
          <w:p w14:paraId="0B5FCC14">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L</w:t>
            </w:r>
          </w:p>
        </w:tc>
        <w:tc>
          <w:tcPr>
            <w:tcW w:w="339" w:type="pct"/>
            <w:vAlign w:val="center"/>
          </w:tcPr>
          <w:p w14:paraId="77C8FC71">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E</w:t>
            </w:r>
          </w:p>
        </w:tc>
        <w:tc>
          <w:tcPr>
            <w:tcW w:w="339" w:type="pct"/>
            <w:vAlign w:val="center"/>
          </w:tcPr>
          <w:p w14:paraId="40770BB8">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C</w:t>
            </w:r>
          </w:p>
        </w:tc>
        <w:tc>
          <w:tcPr>
            <w:tcW w:w="347" w:type="pct"/>
            <w:vAlign w:val="center"/>
          </w:tcPr>
          <w:p w14:paraId="09D50437">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D</w:t>
            </w:r>
          </w:p>
        </w:tc>
        <w:tc>
          <w:tcPr>
            <w:tcW w:w="1065" w:type="pct"/>
            <w:vMerge w:val="continue"/>
            <w:vAlign w:val="center"/>
          </w:tcPr>
          <w:p w14:paraId="3CACE25B">
            <w:pPr>
              <w:pStyle w:val="24"/>
              <w:adjustRightInd w:val="0"/>
              <w:snapToGrid w:val="0"/>
              <w:spacing w:after="0"/>
              <w:ind w:firstLine="0" w:firstLineChars="0"/>
              <w:jc w:val="center"/>
              <w:rPr>
                <w:rFonts w:hint="eastAsia" w:ascii="宋体" w:hAnsi="宋体" w:eastAsia="宋体" w:cs="宋体"/>
                <w:b/>
                <w:bCs/>
                <w:color w:val="auto"/>
                <w:kern w:val="0"/>
                <w:sz w:val="21"/>
                <w:szCs w:val="21"/>
                <w:highlight w:val="none"/>
              </w:rPr>
            </w:pPr>
          </w:p>
        </w:tc>
      </w:tr>
      <w:tr w14:paraId="2E849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9" w:type="pct"/>
            <w:vAlign w:val="center"/>
          </w:tcPr>
          <w:p w14:paraId="432EEE24">
            <w:pPr>
              <w:autoSpaceDE w:val="0"/>
              <w:autoSpaceDN w:val="0"/>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lang w:val="zh-CN"/>
              </w:rPr>
              <w:t>危化品装卸</w:t>
            </w:r>
          </w:p>
        </w:tc>
        <w:tc>
          <w:tcPr>
            <w:tcW w:w="1339" w:type="pct"/>
            <w:vAlign w:val="center"/>
          </w:tcPr>
          <w:p w14:paraId="2B80726E">
            <w:pPr>
              <w:autoSpaceDE w:val="0"/>
              <w:autoSpaceDN w:val="0"/>
              <w:adjustRightInd w:val="0"/>
              <w:snapToGrid w:val="0"/>
              <w:jc w:val="center"/>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火灾、爆炸、腐蚀灼伤</w:t>
            </w:r>
          </w:p>
          <w:p w14:paraId="1193F980">
            <w:pPr>
              <w:autoSpaceDE w:val="0"/>
              <w:autoSpaceDN w:val="0"/>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lang w:val="zh-CN"/>
              </w:rPr>
              <w:t>物体打击</w:t>
            </w:r>
          </w:p>
        </w:tc>
        <w:tc>
          <w:tcPr>
            <w:tcW w:w="339" w:type="pct"/>
            <w:vAlign w:val="center"/>
          </w:tcPr>
          <w:p w14:paraId="2C2A35E2">
            <w:pPr>
              <w:autoSpaceDE w:val="0"/>
              <w:autoSpaceDN w:val="0"/>
              <w:adjustRightInd w:val="0"/>
              <w:snapToGrid w:val="0"/>
              <w:jc w:val="center"/>
              <w:rPr>
                <w:rFonts w:hint="eastAsia" w:ascii="宋体" w:hAnsi="宋体" w:eastAsia="宋体" w:cs="宋体"/>
                <w:b/>
                <w:bCs/>
                <w:color w:val="auto"/>
                <w:kern w:val="0"/>
                <w:sz w:val="21"/>
                <w:szCs w:val="21"/>
                <w:highlight w:val="none"/>
                <w:lang w:eastAsia="zh-CN"/>
              </w:rPr>
            </w:pPr>
            <w:r>
              <w:rPr>
                <w:rFonts w:hint="eastAsia" w:ascii="宋体" w:hAnsi="宋体" w:eastAsia="宋体" w:cs="宋体"/>
                <w:color w:val="auto"/>
                <w:sz w:val="21"/>
                <w:szCs w:val="21"/>
                <w:highlight w:val="none"/>
                <w:lang w:val="en-US" w:eastAsia="zh-CN"/>
              </w:rPr>
              <w:t>1</w:t>
            </w:r>
          </w:p>
        </w:tc>
        <w:tc>
          <w:tcPr>
            <w:tcW w:w="339" w:type="pct"/>
            <w:vAlign w:val="center"/>
          </w:tcPr>
          <w:p w14:paraId="43245418">
            <w:pPr>
              <w:autoSpaceDE w:val="0"/>
              <w:autoSpaceDN w:val="0"/>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lang w:val="zh-CN"/>
              </w:rPr>
              <w:t>6</w:t>
            </w:r>
          </w:p>
        </w:tc>
        <w:tc>
          <w:tcPr>
            <w:tcW w:w="339" w:type="pct"/>
            <w:vAlign w:val="center"/>
          </w:tcPr>
          <w:p w14:paraId="6435AF23">
            <w:pPr>
              <w:autoSpaceDE w:val="0"/>
              <w:autoSpaceDN w:val="0"/>
              <w:adjustRightInd w:val="0"/>
              <w:snapToGrid w:val="0"/>
              <w:jc w:val="center"/>
              <w:rPr>
                <w:rFonts w:hint="eastAsia" w:ascii="宋体" w:hAnsi="宋体" w:eastAsia="宋体" w:cs="宋体"/>
                <w:b/>
                <w:bCs/>
                <w:color w:val="auto"/>
                <w:kern w:val="0"/>
                <w:sz w:val="21"/>
                <w:szCs w:val="21"/>
                <w:highlight w:val="none"/>
                <w:lang w:eastAsia="zh-CN"/>
              </w:rPr>
            </w:pPr>
            <w:r>
              <w:rPr>
                <w:rFonts w:hint="eastAsia" w:ascii="宋体" w:hAnsi="宋体" w:eastAsia="宋体" w:cs="宋体"/>
                <w:color w:val="auto"/>
                <w:sz w:val="21"/>
                <w:szCs w:val="21"/>
                <w:highlight w:val="none"/>
                <w:lang w:val="en-US" w:eastAsia="zh-CN"/>
              </w:rPr>
              <w:t>7</w:t>
            </w:r>
          </w:p>
        </w:tc>
        <w:tc>
          <w:tcPr>
            <w:tcW w:w="347" w:type="pct"/>
            <w:vAlign w:val="center"/>
          </w:tcPr>
          <w:p w14:paraId="768F6CB6">
            <w:pPr>
              <w:autoSpaceDE w:val="0"/>
              <w:autoSpaceDN w:val="0"/>
              <w:adjustRightInd w:val="0"/>
              <w:snapToGrid w:val="0"/>
              <w:jc w:val="center"/>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color w:val="auto"/>
                <w:sz w:val="21"/>
                <w:szCs w:val="21"/>
                <w:highlight w:val="none"/>
                <w:lang w:val="en-US" w:eastAsia="zh-CN"/>
              </w:rPr>
              <w:t>42</w:t>
            </w:r>
          </w:p>
        </w:tc>
        <w:tc>
          <w:tcPr>
            <w:tcW w:w="1065" w:type="pct"/>
            <w:vAlign w:val="center"/>
          </w:tcPr>
          <w:p w14:paraId="68D28468">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比较危险，需要注意</w:t>
            </w:r>
          </w:p>
        </w:tc>
      </w:tr>
      <w:tr w14:paraId="211DE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9" w:type="pct"/>
            <w:vAlign w:val="center"/>
          </w:tcPr>
          <w:p w14:paraId="4F05B240">
            <w:pPr>
              <w:autoSpaceDE w:val="0"/>
              <w:autoSpaceDN w:val="0"/>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lang w:val="zh-CN"/>
              </w:rPr>
              <w:t>危化品储存</w:t>
            </w:r>
          </w:p>
        </w:tc>
        <w:tc>
          <w:tcPr>
            <w:tcW w:w="1339" w:type="pct"/>
            <w:vAlign w:val="center"/>
          </w:tcPr>
          <w:p w14:paraId="5A8C570C">
            <w:pPr>
              <w:autoSpaceDE w:val="0"/>
              <w:autoSpaceDN w:val="0"/>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lang w:val="zh-CN"/>
              </w:rPr>
              <w:t>火灾、爆炸、腐蚀灼伤</w:t>
            </w:r>
          </w:p>
        </w:tc>
        <w:tc>
          <w:tcPr>
            <w:tcW w:w="339" w:type="pct"/>
            <w:vAlign w:val="center"/>
          </w:tcPr>
          <w:p w14:paraId="382D24DE">
            <w:pPr>
              <w:autoSpaceDE w:val="0"/>
              <w:autoSpaceDN w:val="0"/>
              <w:adjustRightInd w:val="0"/>
              <w:snapToGrid w:val="0"/>
              <w:jc w:val="center"/>
              <w:rPr>
                <w:rFonts w:hint="eastAsia" w:ascii="宋体" w:hAnsi="宋体" w:eastAsia="宋体" w:cs="宋体"/>
                <w:b/>
                <w:bCs/>
                <w:color w:val="auto"/>
                <w:kern w:val="0"/>
                <w:sz w:val="21"/>
                <w:szCs w:val="21"/>
                <w:highlight w:val="none"/>
                <w:lang w:eastAsia="zh-CN"/>
              </w:rPr>
            </w:pPr>
            <w:r>
              <w:rPr>
                <w:rFonts w:hint="eastAsia" w:ascii="宋体" w:hAnsi="宋体" w:eastAsia="宋体" w:cs="宋体"/>
                <w:color w:val="auto"/>
                <w:sz w:val="21"/>
                <w:szCs w:val="21"/>
                <w:highlight w:val="none"/>
                <w:lang w:val="en-US" w:eastAsia="zh-CN"/>
              </w:rPr>
              <w:t>1</w:t>
            </w:r>
          </w:p>
        </w:tc>
        <w:tc>
          <w:tcPr>
            <w:tcW w:w="339" w:type="pct"/>
            <w:vAlign w:val="center"/>
          </w:tcPr>
          <w:p w14:paraId="66DE408B">
            <w:pPr>
              <w:autoSpaceDE w:val="0"/>
              <w:autoSpaceDN w:val="0"/>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lang w:val="zh-CN"/>
              </w:rPr>
              <w:t>6</w:t>
            </w:r>
          </w:p>
        </w:tc>
        <w:tc>
          <w:tcPr>
            <w:tcW w:w="339" w:type="pct"/>
            <w:vAlign w:val="center"/>
          </w:tcPr>
          <w:p w14:paraId="035AEAAB">
            <w:pPr>
              <w:autoSpaceDE w:val="0"/>
              <w:autoSpaceDN w:val="0"/>
              <w:adjustRightInd w:val="0"/>
              <w:snapToGrid w:val="0"/>
              <w:jc w:val="center"/>
              <w:rPr>
                <w:rFonts w:hint="eastAsia" w:ascii="宋体" w:hAnsi="宋体" w:eastAsia="宋体" w:cs="宋体"/>
                <w:b/>
                <w:bCs/>
                <w:color w:val="auto"/>
                <w:kern w:val="0"/>
                <w:sz w:val="21"/>
                <w:szCs w:val="21"/>
                <w:highlight w:val="none"/>
                <w:lang w:eastAsia="zh-CN"/>
              </w:rPr>
            </w:pPr>
            <w:r>
              <w:rPr>
                <w:rFonts w:hint="eastAsia" w:ascii="宋体" w:hAnsi="宋体" w:eastAsia="宋体" w:cs="宋体"/>
                <w:color w:val="auto"/>
                <w:sz w:val="21"/>
                <w:szCs w:val="21"/>
                <w:highlight w:val="none"/>
                <w:lang w:val="en-US" w:eastAsia="zh-CN"/>
              </w:rPr>
              <w:t>7</w:t>
            </w:r>
          </w:p>
        </w:tc>
        <w:tc>
          <w:tcPr>
            <w:tcW w:w="347" w:type="pct"/>
            <w:vAlign w:val="center"/>
          </w:tcPr>
          <w:p w14:paraId="06212CBD">
            <w:pPr>
              <w:autoSpaceDE w:val="0"/>
              <w:autoSpaceDN w:val="0"/>
              <w:adjustRightInd w:val="0"/>
              <w:snapToGrid w:val="0"/>
              <w:jc w:val="center"/>
              <w:rPr>
                <w:rFonts w:hint="eastAsia" w:ascii="宋体" w:hAnsi="宋体" w:eastAsia="宋体" w:cs="宋体"/>
                <w:b/>
                <w:bCs/>
                <w:color w:val="auto"/>
                <w:kern w:val="0"/>
                <w:sz w:val="21"/>
                <w:szCs w:val="21"/>
                <w:highlight w:val="none"/>
                <w:lang w:val="en-US"/>
              </w:rPr>
            </w:pPr>
            <w:r>
              <w:rPr>
                <w:rFonts w:hint="eastAsia" w:ascii="宋体" w:hAnsi="宋体" w:eastAsia="宋体" w:cs="宋体"/>
                <w:color w:val="auto"/>
                <w:sz w:val="21"/>
                <w:szCs w:val="21"/>
                <w:highlight w:val="none"/>
                <w:lang w:val="en-US" w:eastAsia="zh-CN"/>
              </w:rPr>
              <w:t>42</w:t>
            </w:r>
          </w:p>
        </w:tc>
        <w:tc>
          <w:tcPr>
            <w:tcW w:w="1065" w:type="pct"/>
            <w:vAlign w:val="center"/>
          </w:tcPr>
          <w:p w14:paraId="12E558CE">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比较危险，需要注意</w:t>
            </w:r>
          </w:p>
        </w:tc>
      </w:tr>
      <w:tr w14:paraId="5292E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9" w:type="pct"/>
            <w:vAlign w:val="center"/>
          </w:tcPr>
          <w:p w14:paraId="4919BE32">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维修作业</w:t>
            </w:r>
          </w:p>
        </w:tc>
        <w:tc>
          <w:tcPr>
            <w:tcW w:w="1339" w:type="pct"/>
            <w:vAlign w:val="center"/>
          </w:tcPr>
          <w:p w14:paraId="1880A083">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lang w:val="zh-CN"/>
              </w:rPr>
              <w:t>火灾、爆炸、腐蚀灼伤、</w:t>
            </w:r>
            <w:r>
              <w:rPr>
                <w:rFonts w:hint="eastAsia" w:ascii="宋体" w:hAnsi="宋体" w:eastAsia="宋体" w:cs="宋体"/>
                <w:color w:val="auto"/>
                <w:kern w:val="0"/>
                <w:sz w:val="21"/>
                <w:szCs w:val="21"/>
                <w:highlight w:val="none"/>
              </w:rPr>
              <w:t>触电</w:t>
            </w:r>
          </w:p>
        </w:tc>
        <w:tc>
          <w:tcPr>
            <w:tcW w:w="339" w:type="pct"/>
            <w:vAlign w:val="center"/>
          </w:tcPr>
          <w:p w14:paraId="73B0402F">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1</w:t>
            </w:r>
          </w:p>
        </w:tc>
        <w:tc>
          <w:tcPr>
            <w:tcW w:w="339" w:type="pct"/>
            <w:vAlign w:val="center"/>
          </w:tcPr>
          <w:p w14:paraId="70533B37">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3</w:t>
            </w:r>
          </w:p>
        </w:tc>
        <w:tc>
          <w:tcPr>
            <w:tcW w:w="339" w:type="pct"/>
            <w:vAlign w:val="center"/>
          </w:tcPr>
          <w:p w14:paraId="7F5C7CA5">
            <w:pPr>
              <w:adjustRightInd w:val="0"/>
              <w:snapToGrid w:val="0"/>
              <w:jc w:val="center"/>
              <w:rPr>
                <w:rFonts w:hint="eastAsia" w:ascii="宋体" w:hAnsi="宋体" w:eastAsia="宋体" w:cs="宋体"/>
                <w:b/>
                <w:bCs/>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3</w:t>
            </w:r>
          </w:p>
        </w:tc>
        <w:tc>
          <w:tcPr>
            <w:tcW w:w="347" w:type="pct"/>
            <w:vAlign w:val="center"/>
          </w:tcPr>
          <w:p w14:paraId="5B680839">
            <w:pPr>
              <w:adjustRightInd w:val="0"/>
              <w:snapToGrid w:val="0"/>
              <w:jc w:val="center"/>
              <w:rPr>
                <w:rFonts w:hint="eastAsia" w:ascii="宋体" w:hAnsi="宋体" w:eastAsia="宋体" w:cs="宋体"/>
                <w:b/>
                <w:bCs/>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9</w:t>
            </w:r>
          </w:p>
        </w:tc>
        <w:tc>
          <w:tcPr>
            <w:tcW w:w="1065" w:type="pct"/>
            <w:vAlign w:val="center"/>
          </w:tcPr>
          <w:p w14:paraId="0B305FF8">
            <w:pPr>
              <w:adjustRightInd w:val="0"/>
              <w:snapToGrid w:val="0"/>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稍有危险，可以接受</w:t>
            </w:r>
          </w:p>
        </w:tc>
      </w:tr>
    </w:tbl>
    <w:p w14:paraId="6CCC1384">
      <w:pPr>
        <w:pStyle w:val="690"/>
        <w:spacing w:before="157" w:beforeLines="50"/>
        <w:ind w:firstLine="560" w:firstLineChars="200"/>
        <w:rPr>
          <w:rFonts w:hint="eastAsia" w:ascii="宋体" w:hAnsi="宋体" w:eastAsia="宋体" w:cs="宋体"/>
          <w:color w:val="auto"/>
          <w:highlight w:val="none"/>
        </w:rPr>
      </w:pPr>
      <w:r>
        <w:rPr>
          <w:rFonts w:hint="eastAsia" w:ascii="宋体" w:hAnsi="宋体" w:eastAsia="宋体" w:cs="宋体"/>
          <w:color w:val="auto"/>
          <w:highlight w:val="none"/>
        </w:rPr>
        <w:t>评价小结：根据作业条件危险性评价法分析，危化品仓库危化品储存作业、危化品装卸作业比较危险</w:t>
      </w:r>
      <w:r>
        <w:rPr>
          <w:rFonts w:hint="eastAsia" w:ascii="宋体" w:hAnsi="宋体" w:eastAsia="宋体" w:cs="宋体"/>
          <w:color w:val="auto"/>
          <w:kern w:val="0"/>
          <w:sz w:val="28"/>
          <w:szCs w:val="28"/>
          <w:highlight w:val="none"/>
        </w:rPr>
        <w:t>，需要注意</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sz w:val="28"/>
          <w:szCs w:val="28"/>
          <w:highlight w:val="none"/>
        </w:rPr>
        <w:t>伟星临海钮扣分公司</w:t>
      </w:r>
      <w:r>
        <w:rPr>
          <w:rFonts w:hint="eastAsia" w:ascii="宋体" w:hAnsi="宋体" w:eastAsia="宋体" w:cs="宋体"/>
          <w:color w:val="auto"/>
          <w:highlight w:val="none"/>
        </w:rPr>
        <w:t>应引起足够重视，必须确保其操作、运行的安全技术要求，并采取相应的安全防范措施。维修作业稍有危险，可以接受。</w:t>
      </w:r>
    </w:p>
    <w:p w14:paraId="7F877249">
      <w:pPr>
        <w:pageBreakBefore/>
        <w:adjustRightInd w:val="0"/>
        <w:snapToGrid w:val="0"/>
        <w:spacing w:beforeLines="100" w:afterLines="100" w:line="360" w:lineRule="auto"/>
        <w:jc w:val="center"/>
        <w:outlineLvl w:val="0"/>
        <w:rPr>
          <w:rFonts w:hint="eastAsia" w:ascii="黑体" w:hAnsi="黑体" w:eastAsia="黑体" w:cs="黑体"/>
          <w:b/>
          <w:color w:val="auto"/>
          <w:sz w:val="32"/>
          <w:szCs w:val="32"/>
          <w:highlight w:val="none"/>
        </w:rPr>
        <w:sectPr>
          <w:footerReference r:id="rId14" w:type="default"/>
          <w:pgSz w:w="11906" w:h="16838"/>
          <w:pgMar w:top="1418" w:right="1134" w:bottom="1134" w:left="1588" w:header="794" w:footer="794" w:gutter="0"/>
          <w:pgBorders>
            <w:top w:val="none" w:sz="0" w:space="0"/>
            <w:left w:val="none" w:sz="0" w:space="0"/>
            <w:bottom w:val="none" w:sz="0" w:space="0"/>
            <w:right w:val="none" w:sz="0" w:space="0"/>
          </w:pgBorders>
          <w:cols w:space="425" w:num="1"/>
          <w:docGrid w:type="lines" w:linePitch="312" w:charSpace="0"/>
        </w:sectPr>
      </w:pPr>
      <w:bookmarkStart w:id="1894" w:name="_Toc30175"/>
      <w:bookmarkStart w:id="1895" w:name="_Toc4533"/>
      <w:bookmarkStart w:id="1896" w:name="_Toc16830"/>
      <w:bookmarkStart w:id="1897" w:name="_Toc13538"/>
      <w:bookmarkStart w:id="1898" w:name="_Toc29716"/>
      <w:bookmarkStart w:id="1899" w:name="_Toc60846654"/>
      <w:bookmarkStart w:id="1900" w:name="_Toc498075635"/>
      <w:bookmarkStart w:id="1901" w:name="_Toc8813"/>
      <w:bookmarkStart w:id="1902" w:name="_Toc31714"/>
      <w:bookmarkStart w:id="1903" w:name="_Toc14826"/>
      <w:bookmarkStart w:id="1904" w:name="_Toc20062"/>
      <w:bookmarkStart w:id="1905" w:name="_Toc10757"/>
      <w:bookmarkStart w:id="1906" w:name="_Toc15599"/>
    </w:p>
    <w:p w14:paraId="08C4E1D4">
      <w:pPr>
        <w:pageBreakBefore/>
        <w:adjustRightInd w:val="0"/>
        <w:snapToGrid w:val="0"/>
        <w:spacing w:beforeLines="100" w:afterLines="100" w:line="360" w:lineRule="auto"/>
        <w:jc w:val="center"/>
        <w:outlineLvl w:val="0"/>
        <w:rPr>
          <w:rFonts w:hint="eastAsia" w:ascii="黑体" w:hAnsi="黑体" w:eastAsia="黑体" w:cs="黑体"/>
          <w:b/>
          <w:color w:val="auto"/>
          <w:sz w:val="32"/>
          <w:szCs w:val="32"/>
          <w:highlight w:val="none"/>
        </w:rPr>
      </w:pPr>
      <w:bookmarkStart w:id="1907" w:name="_Toc29234"/>
      <w:bookmarkStart w:id="1908" w:name="_Toc7494"/>
      <w:bookmarkStart w:id="1909" w:name="_Toc6124"/>
      <w:bookmarkStart w:id="1910" w:name="_Toc11160"/>
      <w:bookmarkStart w:id="1911" w:name="_Toc32223"/>
      <w:bookmarkStart w:id="1912" w:name="_Toc1754"/>
      <w:r>
        <w:rPr>
          <w:rFonts w:hint="eastAsia" w:ascii="黑体" w:hAnsi="黑体" w:eastAsia="黑体" w:cs="黑体"/>
          <w:b/>
          <w:color w:val="auto"/>
          <w:sz w:val="32"/>
          <w:szCs w:val="32"/>
          <w:highlight w:val="none"/>
        </w:rPr>
        <w:t>6 整改情况及建议</w:t>
      </w:r>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p>
    <w:p w14:paraId="643ABE13">
      <w:pPr>
        <w:adjustRightInd w:val="0"/>
        <w:snapToGrid w:val="0"/>
        <w:spacing w:beforeLines="0" w:afterLines="0" w:line="360" w:lineRule="auto"/>
        <w:jc w:val="left"/>
        <w:outlineLvl w:val="1"/>
        <w:rPr>
          <w:rFonts w:hint="eastAsia" w:ascii="黑体" w:hAnsi="黑体" w:eastAsia="黑体" w:cs="Times New Roman"/>
          <w:b/>
          <w:color w:val="auto"/>
          <w:sz w:val="28"/>
          <w:szCs w:val="28"/>
          <w:highlight w:val="none"/>
          <w:lang w:eastAsia="zh-CN"/>
        </w:rPr>
      </w:pPr>
      <w:bookmarkStart w:id="1913" w:name="_Toc24425"/>
      <w:bookmarkStart w:id="1914" w:name="_Toc18780"/>
      <w:bookmarkStart w:id="1915" w:name="_Toc498075636"/>
      <w:bookmarkStart w:id="1916" w:name="_Toc29149"/>
      <w:bookmarkStart w:id="1917" w:name="_Toc14785"/>
      <w:bookmarkStart w:id="1918" w:name="_Toc1213"/>
      <w:bookmarkStart w:id="1919" w:name="_Toc60846655"/>
      <w:bookmarkStart w:id="1920" w:name="_Toc32679"/>
      <w:bookmarkStart w:id="1921" w:name="_Toc8656"/>
      <w:bookmarkStart w:id="1922" w:name="_Toc32292"/>
      <w:bookmarkStart w:id="1923" w:name="_Toc15470"/>
      <w:bookmarkStart w:id="1924" w:name="_Toc841"/>
      <w:bookmarkStart w:id="1925" w:name="_Toc21445"/>
      <w:bookmarkStart w:id="1926" w:name="_Toc11292"/>
      <w:bookmarkStart w:id="1927" w:name="_Toc7311"/>
      <w:bookmarkStart w:id="1928" w:name="_Toc7917"/>
      <w:bookmarkStart w:id="1929" w:name="_Toc14519"/>
      <w:bookmarkStart w:id="1930" w:name="_Toc11673"/>
      <w:bookmarkStart w:id="1931" w:name="_Toc13111"/>
      <w:r>
        <w:rPr>
          <w:rFonts w:ascii="黑体" w:hAnsi="黑体" w:eastAsia="黑体" w:cs="Times New Roman"/>
          <w:b/>
          <w:color w:val="auto"/>
          <w:sz w:val="28"/>
          <w:szCs w:val="28"/>
          <w:highlight w:val="none"/>
        </w:rPr>
        <w:t>6.1</w:t>
      </w:r>
      <w:r>
        <w:rPr>
          <w:rFonts w:hint="eastAsia" w:ascii="黑体" w:hAnsi="黑体" w:eastAsia="黑体" w:cs="Times New Roman"/>
          <w:b/>
          <w:color w:val="auto"/>
          <w:sz w:val="28"/>
          <w:szCs w:val="28"/>
          <w:highlight w:val="none"/>
          <w:lang w:val="en-US" w:eastAsia="zh-CN"/>
        </w:rPr>
        <w:t xml:space="preserve"> </w:t>
      </w:r>
      <w:r>
        <w:rPr>
          <w:rFonts w:ascii="黑体" w:hAnsi="黑体" w:eastAsia="黑体" w:cs="Times New Roman"/>
          <w:b/>
          <w:color w:val="auto"/>
          <w:sz w:val="28"/>
          <w:szCs w:val="28"/>
          <w:highlight w:val="none"/>
        </w:rPr>
        <w:t>存在的问题及</w:t>
      </w:r>
      <w:r>
        <w:rPr>
          <w:rFonts w:hint="eastAsia" w:ascii="黑体" w:hAnsi="黑体" w:eastAsia="黑体" w:cs="Times New Roman"/>
          <w:b/>
          <w:color w:val="auto"/>
          <w:sz w:val="28"/>
          <w:szCs w:val="28"/>
          <w:highlight w:val="none"/>
          <w:lang w:val="en-US" w:eastAsia="zh-CN"/>
        </w:rPr>
        <w:t>整改</w:t>
      </w:r>
      <w:bookmarkEnd w:id="1913"/>
      <w:bookmarkEnd w:id="1914"/>
      <w:bookmarkEnd w:id="1915"/>
      <w:bookmarkEnd w:id="1916"/>
      <w:bookmarkEnd w:id="1917"/>
      <w:bookmarkEnd w:id="1918"/>
      <w:bookmarkEnd w:id="1919"/>
      <w:bookmarkEnd w:id="1920"/>
      <w:bookmarkEnd w:id="1921"/>
      <w:r>
        <w:rPr>
          <w:rFonts w:hint="eastAsia" w:ascii="黑体" w:hAnsi="黑体" w:eastAsia="黑体" w:cs="Times New Roman"/>
          <w:b/>
          <w:color w:val="auto"/>
          <w:sz w:val="28"/>
          <w:szCs w:val="28"/>
          <w:highlight w:val="none"/>
          <w:lang w:val="en-US" w:eastAsia="zh-CN"/>
        </w:rPr>
        <w:t>情况</w:t>
      </w:r>
      <w:bookmarkEnd w:id="1922"/>
      <w:bookmarkEnd w:id="1923"/>
      <w:bookmarkEnd w:id="1924"/>
      <w:bookmarkEnd w:id="1925"/>
      <w:bookmarkEnd w:id="1926"/>
      <w:bookmarkEnd w:id="1927"/>
      <w:bookmarkEnd w:id="1928"/>
      <w:bookmarkEnd w:id="1929"/>
      <w:bookmarkEnd w:id="1930"/>
      <w:bookmarkEnd w:id="1931"/>
    </w:p>
    <w:p w14:paraId="51D8638B">
      <w:pPr>
        <w:adjustRightInd w:val="0"/>
        <w:snapToGrid w:val="0"/>
        <w:spacing w:line="360" w:lineRule="auto"/>
        <w:ind w:firstLine="560" w:firstLineChars="20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rPr>
        <w:t>通过对</w:t>
      </w:r>
      <w:r>
        <w:rPr>
          <w:rFonts w:hint="eastAsia" w:ascii="Times New Roman" w:hAnsi="Times New Roman" w:cs="Times New Roman"/>
          <w:color w:val="auto"/>
          <w:sz w:val="28"/>
          <w:szCs w:val="28"/>
          <w:highlight w:val="none"/>
          <w:lang w:eastAsia="zh-CN"/>
        </w:rPr>
        <w:t>危化品仓库</w:t>
      </w:r>
      <w:r>
        <w:rPr>
          <w:rFonts w:hint="eastAsia" w:ascii="Times New Roman" w:hAnsi="Times New Roman" w:cs="Times New Roman"/>
          <w:color w:val="auto"/>
          <w:sz w:val="28"/>
          <w:szCs w:val="28"/>
          <w:highlight w:val="none"/>
        </w:rPr>
        <w:t>现场检查及分析，评价组汇总了</w:t>
      </w:r>
      <w:r>
        <w:rPr>
          <w:rFonts w:hint="eastAsia" w:ascii="Times New Roman" w:hAnsi="Times New Roman" w:cs="Times New Roman"/>
          <w:color w:val="auto"/>
          <w:sz w:val="28"/>
          <w:szCs w:val="28"/>
          <w:highlight w:val="none"/>
          <w:lang w:eastAsia="zh-CN"/>
        </w:rPr>
        <w:t>危化品仓库</w:t>
      </w:r>
      <w:r>
        <w:rPr>
          <w:rFonts w:hint="eastAsia" w:ascii="Times New Roman" w:hAnsi="Times New Roman" w:cs="Times New Roman"/>
          <w:color w:val="auto"/>
          <w:sz w:val="28"/>
          <w:szCs w:val="28"/>
          <w:highlight w:val="none"/>
        </w:rPr>
        <w:t>存在的问题，对存在的问题提出了整改</w:t>
      </w:r>
      <w:r>
        <w:rPr>
          <w:rFonts w:hint="eastAsia" w:ascii="Times New Roman" w:hAnsi="Times New Roman" w:cs="Times New Roman"/>
          <w:color w:val="auto"/>
          <w:sz w:val="28"/>
          <w:szCs w:val="28"/>
          <w:highlight w:val="none"/>
          <w:lang w:eastAsia="zh-CN"/>
        </w:rPr>
        <w:t>建议</w:t>
      </w:r>
      <w:r>
        <w:rPr>
          <w:rFonts w:hint="eastAsia" w:ascii="Times New Roman" w:hAnsi="Times New Roman" w:cs="Times New Roman"/>
          <w:color w:val="auto"/>
          <w:sz w:val="28"/>
          <w:szCs w:val="28"/>
          <w:highlight w:val="none"/>
        </w:rPr>
        <w:t>，</w:t>
      </w:r>
      <w:r>
        <w:rPr>
          <w:rFonts w:hint="eastAsia" w:ascii="宋体" w:hAnsi="宋体" w:eastAsia="宋体" w:cs="宋体"/>
          <w:color w:val="auto"/>
          <w:sz w:val="28"/>
          <w:szCs w:val="28"/>
          <w:highlight w:val="none"/>
        </w:rPr>
        <w:t>伟星临海钮扣分公司</w:t>
      </w:r>
      <w:r>
        <w:rPr>
          <w:rFonts w:hint="eastAsia" w:ascii="宋体" w:hAnsi="宋体" w:cs="宋体"/>
          <w:color w:val="auto"/>
          <w:sz w:val="28"/>
          <w:szCs w:val="28"/>
          <w:highlight w:val="none"/>
          <w:lang w:val="en-US" w:eastAsia="zh-CN"/>
        </w:rPr>
        <w:t>已</w:t>
      </w:r>
      <w:r>
        <w:rPr>
          <w:rFonts w:hint="eastAsia" w:ascii="宋体" w:hAnsi="宋体" w:cs="宋体"/>
          <w:color w:val="auto"/>
          <w:sz w:val="28"/>
          <w:szCs w:val="28"/>
          <w:highlight w:val="none"/>
          <w:lang w:eastAsia="zh-CN"/>
        </w:rPr>
        <w:t>完成整改，</w:t>
      </w:r>
      <w:r>
        <w:rPr>
          <w:rFonts w:hint="eastAsia" w:ascii="Times New Roman" w:hAnsi="Times New Roman" w:cs="Times New Roman"/>
          <w:color w:val="auto"/>
          <w:sz w:val="28"/>
          <w:szCs w:val="28"/>
          <w:highlight w:val="none"/>
        </w:rPr>
        <w:t>具体见</w:t>
      </w:r>
      <w:r>
        <w:rPr>
          <w:rFonts w:hint="eastAsia" w:ascii="Times New Roman" w:hAnsi="Times New Roman" w:cs="Times New Roman"/>
          <w:color w:val="auto"/>
          <w:sz w:val="28"/>
          <w:szCs w:val="28"/>
          <w:highlight w:val="none"/>
          <w:lang w:eastAsia="zh-CN"/>
        </w:rPr>
        <w:t>下表</w:t>
      </w:r>
      <w:r>
        <w:rPr>
          <w:rFonts w:hint="eastAsia" w:ascii="Times New Roman" w:hAnsi="Times New Roman" w:cs="Times New Roman"/>
          <w:color w:val="auto"/>
          <w:sz w:val="28"/>
          <w:szCs w:val="28"/>
          <w:highlight w:val="none"/>
        </w:rPr>
        <w:t>。</w:t>
      </w:r>
    </w:p>
    <w:p w14:paraId="4C35F0DD">
      <w:pPr>
        <w:adjustRightInd w:val="0"/>
        <w:snapToGrid w:val="0"/>
        <w:spacing w:line="360" w:lineRule="auto"/>
        <w:jc w:val="center"/>
        <w:rPr>
          <w:rFonts w:hint="eastAsia" w:ascii="黑体" w:hAnsi="黑体" w:eastAsia="黑体"/>
          <w:b/>
          <w:color w:val="auto"/>
          <w:sz w:val="24"/>
          <w:szCs w:val="24"/>
          <w:highlight w:val="none"/>
        </w:rPr>
      </w:pPr>
      <w:r>
        <w:rPr>
          <w:rFonts w:hint="eastAsia" w:ascii="黑体" w:hAnsi="黑体" w:eastAsia="黑体"/>
          <w:b/>
          <w:color w:val="auto"/>
          <w:sz w:val="24"/>
          <w:szCs w:val="24"/>
          <w:highlight w:val="none"/>
        </w:rPr>
        <w:t>表</w:t>
      </w:r>
      <w:r>
        <w:rPr>
          <w:rFonts w:ascii="黑体" w:hAnsi="黑体" w:eastAsia="黑体"/>
          <w:b/>
          <w:color w:val="auto"/>
          <w:sz w:val="24"/>
          <w:szCs w:val="24"/>
          <w:highlight w:val="none"/>
        </w:rPr>
        <w:t>6.1</w:t>
      </w:r>
      <w:r>
        <w:rPr>
          <w:rFonts w:hint="eastAsia" w:ascii="黑体" w:hAnsi="黑体" w:eastAsia="黑体"/>
          <w:b/>
          <w:color w:val="auto"/>
          <w:sz w:val="24"/>
          <w:szCs w:val="24"/>
          <w:highlight w:val="none"/>
          <w:lang w:val="en-US" w:eastAsia="zh-CN"/>
        </w:rPr>
        <w:t>-1</w:t>
      </w:r>
      <w:r>
        <w:rPr>
          <w:rFonts w:ascii="黑体" w:hAnsi="黑体" w:eastAsia="黑体"/>
          <w:b/>
          <w:color w:val="auto"/>
          <w:sz w:val="24"/>
          <w:szCs w:val="24"/>
          <w:highlight w:val="none"/>
        </w:rPr>
        <w:t xml:space="preserve"> </w:t>
      </w:r>
      <w:r>
        <w:rPr>
          <w:rFonts w:hint="eastAsia" w:ascii="黑体" w:hAnsi="黑体" w:eastAsia="黑体"/>
          <w:b/>
          <w:color w:val="auto"/>
          <w:sz w:val="24"/>
          <w:szCs w:val="24"/>
          <w:highlight w:val="none"/>
        </w:rPr>
        <w:t>存在的问题和整改</w:t>
      </w:r>
      <w:r>
        <w:rPr>
          <w:rFonts w:hint="eastAsia" w:ascii="黑体" w:hAnsi="黑体" w:eastAsia="黑体"/>
          <w:b/>
          <w:color w:val="auto"/>
          <w:sz w:val="24"/>
          <w:szCs w:val="24"/>
          <w:highlight w:val="none"/>
          <w:lang w:val="en-US" w:eastAsia="zh-CN"/>
        </w:rPr>
        <w:t>情况</w:t>
      </w:r>
      <w:r>
        <w:rPr>
          <w:rFonts w:hint="eastAsia" w:ascii="黑体" w:hAnsi="黑体" w:eastAsia="黑体"/>
          <w:b/>
          <w:color w:val="auto"/>
          <w:sz w:val="24"/>
          <w:szCs w:val="24"/>
          <w:highlight w:val="none"/>
        </w:rPr>
        <w:t>一览表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746"/>
        <w:gridCol w:w="2039"/>
        <w:gridCol w:w="2924"/>
        <w:gridCol w:w="2743"/>
        <w:gridCol w:w="3399"/>
      </w:tblGrid>
      <w:tr w14:paraId="110D5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19" w:type="pct"/>
            <w:tcBorders>
              <w:tl2br w:val="nil"/>
              <w:tr2bl w:val="nil"/>
            </w:tcBorders>
            <w:shd w:val="clear" w:color="000000" w:fill="FFFFFF"/>
            <w:noWrap/>
            <w:vAlign w:val="center"/>
          </w:tcPr>
          <w:p w14:paraId="3D3BABD6">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947" w:type="pct"/>
            <w:tcBorders>
              <w:tl2br w:val="nil"/>
              <w:tr2bl w:val="nil"/>
            </w:tcBorders>
            <w:shd w:val="clear" w:color="000000" w:fill="FFFFFF"/>
            <w:noWrap/>
            <w:vAlign w:val="center"/>
          </w:tcPr>
          <w:p w14:paraId="30BA7980">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存在问题</w:t>
            </w:r>
          </w:p>
        </w:tc>
        <w:tc>
          <w:tcPr>
            <w:tcW w:w="703" w:type="pct"/>
            <w:tcBorders>
              <w:tl2br w:val="nil"/>
              <w:tr2bl w:val="nil"/>
            </w:tcBorders>
            <w:shd w:val="clear" w:color="000000" w:fill="FFFFFF"/>
            <w:noWrap/>
            <w:vAlign w:val="center"/>
          </w:tcPr>
          <w:p w14:paraId="66F1355B">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依据</w:t>
            </w:r>
          </w:p>
        </w:tc>
        <w:tc>
          <w:tcPr>
            <w:tcW w:w="1009" w:type="pct"/>
            <w:tcBorders>
              <w:tl2br w:val="nil"/>
              <w:tr2bl w:val="nil"/>
            </w:tcBorders>
            <w:shd w:val="clear" w:color="000000" w:fill="FFFFFF"/>
            <w:noWrap/>
            <w:vAlign w:val="center"/>
          </w:tcPr>
          <w:p w14:paraId="2AD2F6AE">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rPr>
              <w:t>整改</w:t>
            </w:r>
            <w:r>
              <w:rPr>
                <w:rFonts w:hint="eastAsia" w:ascii="宋体" w:hAnsi="宋体" w:cs="宋体"/>
                <w:b/>
                <w:bCs/>
                <w:color w:val="auto"/>
                <w:kern w:val="0"/>
                <w:sz w:val="21"/>
                <w:szCs w:val="21"/>
                <w:highlight w:val="none"/>
                <w:lang w:eastAsia="zh-CN"/>
              </w:rPr>
              <w:t>建议</w:t>
            </w:r>
          </w:p>
        </w:tc>
        <w:tc>
          <w:tcPr>
            <w:tcW w:w="946" w:type="pct"/>
            <w:tcBorders>
              <w:tl2br w:val="nil"/>
              <w:tr2bl w:val="nil"/>
            </w:tcBorders>
            <w:shd w:val="clear" w:color="000000" w:fill="FFFFFF"/>
            <w:noWrap/>
            <w:vAlign w:val="center"/>
          </w:tcPr>
          <w:p w14:paraId="60C67A9F">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default" w:ascii="宋体" w:hAnsi="宋体" w:eastAsia="宋体" w:cs="宋体"/>
                <w:b/>
                <w:bCs/>
                <w:color w:val="auto"/>
                <w:kern w:val="0"/>
                <w:sz w:val="21"/>
                <w:szCs w:val="21"/>
                <w:highlight w:val="none"/>
                <w:lang w:val="en-US" w:eastAsia="zh-CN"/>
              </w:rPr>
            </w:pPr>
            <w:r>
              <w:rPr>
                <w:rFonts w:hint="eastAsia" w:ascii="宋体" w:hAnsi="宋体" w:cs="宋体"/>
                <w:b/>
                <w:bCs/>
                <w:color w:val="auto"/>
                <w:kern w:val="0"/>
                <w:sz w:val="21"/>
                <w:szCs w:val="21"/>
                <w:highlight w:val="none"/>
                <w:lang w:val="en-US" w:eastAsia="zh-CN"/>
              </w:rPr>
              <w:t>整改情况</w:t>
            </w:r>
          </w:p>
        </w:tc>
        <w:tc>
          <w:tcPr>
            <w:tcW w:w="1173" w:type="pct"/>
            <w:tcBorders>
              <w:tl2br w:val="nil"/>
              <w:tr2bl w:val="nil"/>
            </w:tcBorders>
            <w:shd w:val="clear" w:color="000000" w:fill="FFFFFF"/>
            <w:noWrap/>
            <w:vAlign w:val="center"/>
          </w:tcPr>
          <w:p w14:paraId="3F607EF8">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cs="宋体"/>
                <w:b/>
                <w:bCs/>
                <w:color w:val="auto"/>
                <w:kern w:val="0"/>
                <w:sz w:val="21"/>
                <w:szCs w:val="21"/>
                <w:highlight w:val="none"/>
                <w:lang w:val="en-US" w:eastAsia="zh-CN"/>
              </w:rPr>
            </w:pPr>
            <w:r>
              <w:rPr>
                <w:rFonts w:hint="eastAsia" w:ascii="宋体" w:hAnsi="宋体" w:cs="宋体"/>
                <w:b/>
                <w:bCs/>
                <w:color w:val="auto"/>
                <w:kern w:val="0"/>
                <w:sz w:val="21"/>
                <w:szCs w:val="21"/>
                <w:highlight w:val="none"/>
                <w:lang w:val="en-US" w:eastAsia="zh-CN"/>
              </w:rPr>
              <w:t>整改后照片</w:t>
            </w:r>
          </w:p>
        </w:tc>
      </w:tr>
      <w:tr w14:paraId="69DE9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noWrap/>
            <w:vAlign w:val="center"/>
          </w:tcPr>
          <w:p w14:paraId="28769332">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451696EC">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双氧水未分离储存。</w:t>
            </w:r>
          </w:p>
        </w:tc>
        <w:tc>
          <w:tcPr>
            <w:tcW w:w="703" w:type="pct"/>
            <w:tcBorders>
              <w:tl2br w:val="nil"/>
              <w:tr2bl w:val="nil"/>
            </w:tcBorders>
            <w:shd w:val="clear" w:color="auto" w:fill="auto"/>
            <w:vAlign w:val="center"/>
          </w:tcPr>
          <w:p w14:paraId="1A9B9491">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5.9</w:t>
            </w:r>
            <w:r>
              <w:rPr>
                <w:rFonts w:hint="eastAsia" w:ascii="宋体" w:hAnsi="宋体" w:eastAsia="宋体" w:cs="宋体"/>
                <w:color w:val="auto"/>
                <w:sz w:val="21"/>
                <w:szCs w:val="21"/>
                <w:highlight w:val="none"/>
                <w:lang w:val="en-US" w:eastAsia="zh-Hans"/>
              </w:rPr>
              <w:t>条</w:t>
            </w:r>
          </w:p>
        </w:tc>
        <w:tc>
          <w:tcPr>
            <w:tcW w:w="1009" w:type="pct"/>
            <w:tcBorders>
              <w:tl2br w:val="nil"/>
              <w:tr2bl w:val="nil"/>
            </w:tcBorders>
            <w:shd w:val="clear" w:color="auto" w:fill="auto"/>
            <w:vAlign w:val="center"/>
          </w:tcPr>
          <w:p w14:paraId="6741F5FD">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双氧水</w:t>
            </w:r>
            <w:r>
              <w:rPr>
                <w:rFonts w:hint="eastAsia" w:ascii="宋体" w:hAnsi="宋体" w:cs="宋体"/>
                <w:color w:val="auto"/>
                <w:kern w:val="0"/>
                <w:sz w:val="21"/>
                <w:szCs w:val="21"/>
                <w:highlight w:val="none"/>
                <w:lang w:eastAsia="zh-CN"/>
              </w:rPr>
              <w:t>应</w:t>
            </w:r>
            <w:r>
              <w:rPr>
                <w:rFonts w:hint="eastAsia" w:ascii="宋体" w:hAnsi="宋体" w:eastAsia="宋体" w:cs="宋体"/>
                <w:color w:val="auto"/>
                <w:kern w:val="0"/>
                <w:sz w:val="21"/>
                <w:szCs w:val="21"/>
                <w:highlight w:val="none"/>
              </w:rPr>
              <w:t>分离储存。</w:t>
            </w:r>
          </w:p>
        </w:tc>
        <w:tc>
          <w:tcPr>
            <w:tcW w:w="946" w:type="pct"/>
            <w:tcBorders>
              <w:tl2br w:val="nil"/>
              <w:tr2bl w:val="nil"/>
            </w:tcBorders>
            <w:shd w:val="clear" w:color="auto" w:fill="auto"/>
            <w:vAlign w:val="center"/>
          </w:tcPr>
          <w:p w14:paraId="5BB695EA">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双氧水</w:t>
            </w:r>
            <w:r>
              <w:rPr>
                <w:rFonts w:hint="eastAsia" w:ascii="宋体" w:hAnsi="宋体" w:eastAsia="宋体" w:cs="宋体"/>
                <w:color w:val="auto"/>
                <w:kern w:val="0"/>
                <w:sz w:val="21"/>
                <w:szCs w:val="21"/>
                <w:highlight w:val="none"/>
                <w:lang w:val="en-US" w:eastAsia="zh-CN"/>
              </w:rPr>
              <w:t>已</w:t>
            </w:r>
            <w:r>
              <w:rPr>
                <w:rFonts w:hint="eastAsia" w:ascii="宋体" w:hAnsi="宋体" w:eastAsia="宋体" w:cs="宋体"/>
                <w:color w:val="auto"/>
                <w:kern w:val="0"/>
                <w:sz w:val="21"/>
                <w:szCs w:val="21"/>
                <w:highlight w:val="none"/>
              </w:rPr>
              <w:t>分离储存。</w:t>
            </w:r>
          </w:p>
        </w:tc>
        <w:tc>
          <w:tcPr>
            <w:tcW w:w="1173" w:type="pct"/>
            <w:tcBorders>
              <w:tl2br w:val="nil"/>
              <w:tr2bl w:val="nil"/>
            </w:tcBorders>
            <w:shd w:val="clear" w:color="auto" w:fill="auto"/>
            <w:vAlign w:val="center"/>
          </w:tcPr>
          <w:p w14:paraId="5B430FE8">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drawing>
                <wp:inline distT="0" distB="0" distL="114300" distR="114300">
                  <wp:extent cx="1976755" cy="1482725"/>
                  <wp:effectExtent l="0" t="0" r="4445" b="3175"/>
                  <wp:docPr id="14" name="图片 14" descr="3388a7e9c36edc25c9ee30e8ab133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388a7e9c36edc25c9ee30e8ab133ad"/>
                          <pic:cNvPicPr>
                            <a:picLocks noChangeAspect="1"/>
                          </pic:cNvPicPr>
                        </pic:nvPicPr>
                        <pic:blipFill>
                          <a:blip r:embed="rId24"/>
                          <a:stretch>
                            <a:fillRect/>
                          </a:stretch>
                        </pic:blipFill>
                        <pic:spPr>
                          <a:xfrm>
                            <a:off x="0" y="0"/>
                            <a:ext cx="1976755" cy="1482725"/>
                          </a:xfrm>
                          <a:prstGeom prst="rect">
                            <a:avLst/>
                          </a:prstGeom>
                        </pic:spPr>
                      </pic:pic>
                    </a:graphicData>
                  </a:graphic>
                </wp:inline>
              </w:drawing>
            </w:r>
          </w:p>
        </w:tc>
      </w:tr>
      <w:tr w14:paraId="79AE3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noWrap/>
            <w:vAlign w:val="center"/>
          </w:tcPr>
          <w:p w14:paraId="0B856494">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68A40C1D">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危化品堆垛墙距小于50cm；柱距小于30cm。</w:t>
            </w:r>
          </w:p>
        </w:tc>
        <w:tc>
          <w:tcPr>
            <w:tcW w:w="703" w:type="pct"/>
            <w:tcBorders>
              <w:tl2br w:val="nil"/>
              <w:tr2bl w:val="nil"/>
            </w:tcBorders>
            <w:shd w:val="clear" w:color="auto" w:fill="auto"/>
            <w:vAlign w:val="center"/>
          </w:tcPr>
          <w:p w14:paraId="3F084E6B">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6.2.5</w:t>
            </w:r>
            <w:r>
              <w:rPr>
                <w:rFonts w:hint="eastAsia" w:ascii="宋体" w:hAnsi="宋体" w:eastAsia="宋体" w:cs="宋体"/>
                <w:color w:val="auto"/>
                <w:sz w:val="21"/>
                <w:szCs w:val="21"/>
                <w:highlight w:val="none"/>
                <w:lang w:val="en-US" w:eastAsia="zh-Hans"/>
              </w:rPr>
              <w:t>条</w:t>
            </w:r>
          </w:p>
        </w:tc>
        <w:tc>
          <w:tcPr>
            <w:tcW w:w="1009" w:type="pct"/>
            <w:tcBorders>
              <w:tl2br w:val="nil"/>
              <w:tr2bl w:val="nil"/>
            </w:tcBorders>
            <w:shd w:val="clear" w:color="auto" w:fill="auto"/>
            <w:vAlign w:val="center"/>
          </w:tcPr>
          <w:p w14:paraId="1C9B86EA">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危化品堆垛墙距</w:t>
            </w:r>
            <w:r>
              <w:rPr>
                <w:rFonts w:hint="eastAsia" w:ascii="宋体" w:hAnsi="宋体" w:cs="宋体"/>
                <w:color w:val="auto"/>
                <w:kern w:val="0"/>
                <w:sz w:val="21"/>
                <w:szCs w:val="21"/>
                <w:highlight w:val="none"/>
                <w:lang w:eastAsia="zh-CN"/>
              </w:rPr>
              <w:t>应</w:t>
            </w:r>
            <w:r>
              <w:rPr>
                <w:rFonts w:hint="eastAsia" w:ascii="宋体" w:hAnsi="宋体" w:eastAsia="宋体" w:cs="宋体"/>
                <w:color w:val="auto"/>
                <w:sz w:val="21"/>
                <w:szCs w:val="21"/>
                <w:highlight w:val="none"/>
              </w:rPr>
              <w:t>大于或等于</w:t>
            </w:r>
            <w:r>
              <w:rPr>
                <w:rFonts w:hint="eastAsia" w:ascii="宋体" w:hAnsi="宋体" w:eastAsia="宋体" w:cs="宋体"/>
                <w:color w:val="auto"/>
                <w:kern w:val="0"/>
                <w:sz w:val="21"/>
                <w:szCs w:val="21"/>
                <w:highlight w:val="none"/>
              </w:rPr>
              <w:t>50cm；柱距</w:t>
            </w:r>
            <w:r>
              <w:rPr>
                <w:rFonts w:hint="eastAsia" w:ascii="宋体" w:hAnsi="宋体" w:cs="宋体"/>
                <w:color w:val="auto"/>
                <w:kern w:val="0"/>
                <w:sz w:val="21"/>
                <w:szCs w:val="21"/>
                <w:highlight w:val="none"/>
                <w:lang w:eastAsia="zh-CN"/>
              </w:rPr>
              <w:t>应</w:t>
            </w:r>
            <w:r>
              <w:rPr>
                <w:rFonts w:hint="eastAsia" w:ascii="宋体" w:hAnsi="宋体" w:eastAsia="宋体" w:cs="宋体"/>
                <w:color w:val="auto"/>
                <w:sz w:val="21"/>
                <w:szCs w:val="21"/>
                <w:highlight w:val="none"/>
              </w:rPr>
              <w:t>大于或等于</w:t>
            </w:r>
            <w:r>
              <w:rPr>
                <w:rFonts w:hint="eastAsia" w:ascii="宋体" w:hAnsi="宋体" w:eastAsia="宋体" w:cs="宋体"/>
                <w:color w:val="auto"/>
                <w:kern w:val="0"/>
                <w:sz w:val="21"/>
                <w:szCs w:val="21"/>
                <w:highlight w:val="none"/>
              </w:rPr>
              <w:t>30cm。</w:t>
            </w:r>
          </w:p>
        </w:tc>
        <w:tc>
          <w:tcPr>
            <w:tcW w:w="946" w:type="pct"/>
            <w:tcBorders>
              <w:tl2br w:val="nil"/>
              <w:tr2bl w:val="nil"/>
            </w:tcBorders>
            <w:shd w:val="clear" w:color="auto" w:fill="auto"/>
            <w:vAlign w:val="center"/>
          </w:tcPr>
          <w:p w14:paraId="682AD9E7">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危化品堆垛墙距</w:t>
            </w:r>
            <w:r>
              <w:rPr>
                <w:rFonts w:hint="eastAsia" w:ascii="宋体" w:hAnsi="宋体" w:cs="宋体"/>
                <w:color w:val="auto"/>
                <w:kern w:val="0"/>
                <w:sz w:val="21"/>
                <w:szCs w:val="21"/>
                <w:highlight w:val="none"/>
                <w:lang w:eastAsia="zh-CN"/>
              </w:rPr>
              <w:t>保持</w:t>
            </w:r>
            <w:r>
              <w:rPr>
                <w:rFonts w:hint="eastAsia" w:ascii="宋体" w:hAnsi="宋体" w:eastAsia="宋体" w:cs="宋体"/>
                <w:color w:val="auto"/>
                <w:kern w:val="0"/>
                <w:sz w:val="21"/>
                <w:szCs w:val="21"/>
                <w:highlight w:val="none"/>
              </w:rPr>
              <w:t>50cm；柱距</w:t>
            </w:r>
            <w:r>
              <w:rPr>
                <w:rFonts w:hint="eastAsia" w:ascii="宋体" w:hAnsi="宋体" w:cs="宋体"/>
                <w:color w:val="auto"/>
                <w:kern w:val="0"/>
                <w:sz w:val="21"/>
                <w:szCs w:val="21"/>
                <w:highlight w:val="none"/>
                <w:lang w:eastAsia="zh-CN"/>
              </w:rPr>
              <w:t>保持</w:t>
            </w:r>
            <w:r>
              <w:rPr>
                <w:rFonts w:hint="eastAsia" w:ascii="宋体" w:hAnsi="宋体" w:eastAsia="宋体" w:cs="宋体"/>
                <w:color w:val="auto"/>
                <w:kern w:val="0"/>
                <w:sz w:val="21"/>
                <w:szCs w:val="21"/>
                <w:highlight w:val="none"/>
              </w:rPr>
              <w:t>30cm。</w:t>
            </w:r>
          </w:p>
        </w:tc>
        <w:tc>
          <w:tcPr>
            <w:tcW w:w="1173" w:type="pct"/>
            <w:tcBorders>
              <w:tl2br w:val="nil"/>
              <w:tr2bl w:val="nil"/>
            </w:tcBorders>
            <w:shd w:val="clear" w:color="auto" w:fill="auto"/>
            <w:vAlign w:val="center"/>
          </w:tcPr>
          <w:p w14:paraId="6DE00884">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Cs w:val="21"/>
                <w:highlight w:val="none"/>
                <w:lang w:eastAsia="zh-CN"/>
              </w:rPr>
              <w:drawing>
                <wp:inline distT="0" distB="0" distL="114300" distR="114300">
                  <wp:extent cx="2069465" cy="1552575"/>
                  <wp:effectExtent l="0" t="0" r="6985" b="9525"/>
                  <wp:docPr id="26" name="图片 26" descr="3柱距大于或等于30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3柱距大于或等于30cm"/>
                          <pic:cNvPicPr>
                            <a:picLocks noChangeAspect="1"/>
                          </pic:cNvPicPr>
                        </pic:nvPicPr>
                        <pic:blipFill>
                          <a:blip r:embed="rId25"/>
                          <a:stretch>
                            <a:fillRect/>
                          </a:stretch>
                        </pic:blipFill>
                        <pic:spPr>
                          <a:xfrm>
                            <a:off x="0" y="0"/>
                            <a:ext cx="2069465" cy="1552575"/>
                          </a:xfrm>
                          <a:prstGeom prst="rect">
                            <a:avLst/>
                          </a:prstGeom>
                        </pic:spPr>
                      </pic:pic>
                    </a:graphicData>
                  </a:graphic>
                </wp:inline>
              </w:drawing>
            </w:r>
          </w:p>
        </w:tc>
      </w:tr>
      <w:tr w14:paraId="3737F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noWrap/>
            <w:vAlign w:val="center"/>
          </w:tcPr>
          <w:p w14:paraId="63DF0F42">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3176D5A0">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盐酸、过氧化二苯甲酰、过氧化甲乙酮、双氧水、钴盐、油漆、稀释剂、固化剂直接与地面接触。</w:t>
            </w:r>
          </w:p>
        </w:tc>
        <w:tc>
          <w:tcPr>
            <w:tcW w:w="703" w:type="pct"/>
            <w:tcBorders>
              <w:tl2br w:val="nil"/>
              <w:tr2bl w:val="nil"/>
            </w:tcBorders>
            <w:shd w:val="clear" w:color="auto" w:fill="auto"/>
            <w:vAlign w:val="center"/>
          </w:tcPr>
          <w:p w14:paraId="250F3401">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6.2.2</w:t>
            </w:r>
            <w:r>
              <w:rPr>
                <w:rFonts w:hint="eastAsia" w:ascii="宋体" w:hAnsi="宋体" w:eastAsia="宋体" w:cs="宋体"/>
                <w:color w:val="auto"/>
                <w:sz w:val="21"/>
                <w:szCs w:val="21"/>
                <w:highlight w:val="none"/>
                <w:lang w:val="en-US" w:eastAsia="zh-Hans"/>
              </w:rPr>
              <w:t>条</w:t>
            </w:r>
          </w:p>
        </w:tc>
        <w:tc>
          <w:tcPr>
            <w:tcW w:w="1009" w:type="pct"/>
            <w:tcBorders>
              <w:tl2br w:val="nil"/>
              <w:tr2bl w:val="nil"/>
            </w:tcBorders>
            <w:shd w:val="clear" w:color="auto" w:fill="auto"/>
            <w:vAlign w:val="center"/>
          </w:tcPr>
          <w:p w14:paraId="45A0A689">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盐酸、过氧化二苯甲酰、过氧化甲乙酮、双氧水、钴盐、油漆、稀释剂、固化剂</w:t>
            </w:r>
            <w:r>
              <w:rPr>
                <w:rFonts w:hint="eastAsia" w:ascii="宋体" w:hAnsi="宋体" w:cs="宋体"/>
                <w:color w:val="auto"/>
                <w:spacing w:val="0"/>
                <w:kern w:val="0"/>
                <w:sz w:val="21"/>
                <w:szCs w:val="21"/>
                <w:highlight w:val="none"/>
                <w:lang w:eastAsia="zh-CN"/>
              </w:rPr>
              <w:t>应设置垫底设施，</w:t>
            </w:r>
            <w:r>
              <w:rPr>
                <w:rFonts w:hint="eastAsia" w:ascii="宋体" w:hAnsi="宋体" w:cs="宋体"/>
                <w:color w:val="auto"/>
                <w:spacing w:val="0"/>
                <w:kern w:val="0"/>
                <w:position w:val="0"/>
                <w:sz w:val="21"/>
                <w:szCs w:val="21"/>
                <w:highlight w:val="none"/>
                <w:lang w:eastAsia="zh-CN"/>
              </w:rPr>
              <w:t>材质不应为</w:t>
            </w:r>
            <w:r>
              <w:rPr>
                <w:rFonts w:hint="eastAsia" w:ascii="宋体" w:hAnsi="宋体" w:cs="宋体"/>
                <w:color w:val="auto"/>
                <w:kern w:val="0"/>
                <w:sz w:val="21"/>
                <w:szCs w:val="21"/>
                <w:highlight w:val="none"/>
              </w:rPr>
              <w:t>木质品或</w:t>
            </w:r>
            <w:r>
              <w:rPr>
                <w:rFonts w:hint="eastAsia" w:ascii="宋体" w:hAnsi="宋体" w:cs="宋体"/>
                <w:color w:val="auto"/>
                <w:kern w:val="0"/>
                <w:sz w:val="21"/>
                <w:szCs w:val="21"/>
                <w:highlight w:val="none"/>
                <w:lang w:eastAsia="zh-CN"/>
              </w:rPr>
              <w:t>易燃</w:t>
            </w:r>
            <w:r>
              <w:rPr>
                <w:rFonts w:hint="eastAsia" w:ascii="宋体" w:hAnsi="宋体" w:cs="宋体"/>
                <w:color w:val="auto"/>
                <w:kern w:val="0"/>
                <w:sz w:val="21"/>
                <w:szCs w:val="21"/>
                <w:highlight w:val="none"/>
              </w:rPr>
              <w:t>材质</w:t>
            </w:r>
            <w:r>
              <w:rPr>
                <w:rFonts w:hint="eastAsia" w:ascii="宋体" w:hAnsi="宋体" w:cs="宋体"/>
                <w:color w:val="auto"/>
                <w:kern w:val="0"/>
                <w:sz w:val="21"/>
                <w:szCs w:val="21"/>
                <w:highlight w:val="none"/>
                <w:lang w:eastAsia="zh-CN"/>
              </w:rPr>
              <w:t>，</w:t>
            </w:r>
            <w:r>
              <w:rPr>
                <w:rFonts w:hint="eastAsia" w:ascii="宋体" w:hAnsi="宋体" w:eastAsia="宋体" w:cs="宋体"/>
                <w:color w:val="auto"/>
                <w:spacing w:val="0"/>
                <w:kern w:val="0"/>
                <w:sz w:val="21"/>
                <w:szCs w:val="21"/>
                <w:highlight w:val="none"/>
              </w:rPr>
              <w:t>垫底高度不</w:t>
            </w:r>
            <w:r>
              <w:rPr>
                <w:rFonts w:hint="eastAsia" w:ascii="宋体" w:hAnsi="宋体" w:eastAsia="宋体" w:cs="宋体"/>
                <w:color w:val="auto"/>
                <w:spacing w:val="0"/>
                <w:kern w:val="0"/>
                <w:position w:val="0"/>
                <w:sz w:val="21"/>
                <w:szCs w:val="21"/>
                <w:highlight w:val="none"/>
              </w:rPr>
              <w:t>小于</w:t>
            </w:r>
            <w:r>
              <w:rPr>
                <w:rFonts w:hint="eastAsia" w:ascii="宋体" w:hAnsi="宋体" w:eastAsia="宋体" w:cs="宋体"/>
                <w:color w:val="auto"/>
                <w:spacing w:val="0"/>
                <w:kern w:val="0"/>
                <w:sz w:val="21"/>
                <w:szCs w:val="21"/>
                <w:highlight w:val="none"/>
              </w:rPr>
              <w:t>10</w:t>
            </w:r>
            <w:r>
              <w:rPr>
                <w:rFonts w:hint="eastAsia" w:ascii="宋体" w:hAnsi="宋体" w:eastAsia="宋体" w:cs="宋体"/>
                <w:color w:val="auto"/>
                <w:kern w:val="0"/>
                <w:sz w:val="21"/>
                <w:szCs w:val="21"/>
                <w:highlight w:val="none"/>
              </w:rPr>
              <w:t>cm</w:t>
            </w:r>
            <w:r>
              <w:rPr>
                <w:rFonts w:hint="eastAsia" w:ascii="宋体" w:hAnsi="宋体" w:cs="宋体"/>
                <w:color w:val="auto"/>
                <w:kern w:val="0"/>
                <w:sz w:val="21"/>
                <w:szCs w:val="21"/>
                <w:highlight w:val="none"/>
                <w:lang w:eastAsia="zh-CN"/>
              </w:rPr>
              <w:t>。</w:t>
            </w:r>
          </w:p>
        </w:tc>
        <w:tc>
          <w:tcPr>
            <w:tcW w:w="946" w:type="pct"/>
            <w:tcBorders>
              <w:tl2br w:val="nil"/>
              <w:tr2bl w:val="nil"/>
            </w:tcBorders>
            <w:shd w:val="clear" w:color="auto" w:fill="auto"/>
            <w:vAlign w:val="center"/>
          </w:tcPr>
          <w:p w14:paraId="45F421CD">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cs="宋体"/>
                <w:color w:val="auto"/>
                <w:spacing w:val="0"/>
                <w:kern w:val="0"/>
                <w:sz w:val="21"/>
                <w:szCs w:val="21"/>
                <w:highlight w:val="none"/>
                <w:lang w:eastAsia="zh-CN"/>
              </w:rPr>
              <w:t>已设置垫底设施，</w:t>
            </w:r>
            <w:r>
              <w:rPr>
                <w:rFonts w:hint="eastAsia" w:ascii="宋体" w:hAnsi="宋体" w:cs="宋体"/>
                <w:color w:val="auto"/>
                <w:spacing w:val="0"/>
                <w:kern w:val="0"/>
                <w:position w:val="0"/>
                <w:sz w:val="21"/>
                <w:szCs w:val="21"/>
                <w:highlight w:val="none"/>
                <w:lang w:eastAsia="zh-CN"/>
              </w:rPr>
              <w:t>材质为不燃</w:t>
            </w:r>
            <w:r>
              <w:rPr>
                <w:rFonts w:hint="eastAsia" w:ascii="宋体" w:hAnsi="宋体" w:cs="宋体"/>
                <w:color w:val="auto"/>
                <w:kern w:val="0"/>
                <w:sz w:val="21"/>
                <w:szCs w:val="21"/>
                <w:highlight w:val="none"/>
              </w:rPr>
              <w:t>材质</w:t>
            </w:r>
            <w:r>
              <w:rPr>
                <w:rFonts w:hint="eastAsia" w:ascii="宋体" w:hAnsi="宋体" w:cs="宋体"/>
                <w:color w:val="auto"/>
                <w:kern w:val="0"/>
                <w:sz w:val="21"/>
                <w:szCs w:val="21"/>
                <w:highlight w:val="none"/>
                <w:lang w:eastAsia="zh-CN"/>
              </w:rPr>
              <w:t>，</w:t>
            </w:r>
            <w:r>
              <w:rPr>
                <w:rFonts w:hint="eastAsia" w:ascii="宋体" w:hAnsi="宋体" w:eastAsia="宋体" w:cs="宋体"/>
                <w:color w:val="auto"/>
                <w:spacing w:val="0"/>
                <w:kern w:val="0"/>
                <w:sz w:val="21"/>
                <w:szCs w:val="21"/>
                <w:highlight w:val="none"/>
              </w:rPr>
              <w:t>垫底高度</w:t>
            </w:r>
            <w:r>
              <w:rPr>
                <w:rFonts w:hint="eastAsia" w:ascii="宋体" w:hAnsi="宋体" w:cs="宋体"/>
                <w:color w:val="auto"/>
                <w:spacing w:val="0"/>
                <w:kern w:val="0"/>
                <w:sz w:val="21"/>
                <w:szCs w:val="21"/>
                <w:highlight w:val="none"/>
                <w:lang w:val="en-US" w:eastAsia="zh-CN"/>
              </w:rPr>
              <w:t>15</w:t>
            </w:r>
            <w:r>
              <w:rPr>
                <w:rFonts w:hint="eastAsia" w:ascii="宋体" w:hAnsi="宋体" w:eastAsia="宋体" w:cs="宋体"/>
                <w:color w:val="auto"/>
                <w:kern w:val="0"/>
                <w:sz w:val="21"/>
                <w:szCs w:val="21"/>
                <w:highlight w:val="none"/>
              </w:rPr>
              <w:t>cm</w:t>
            </w:r>
            <w:r>
              <w:rPr>
                <w:rFonts w:hint="eastAsia" w:ascii="宋体" w:hAnsi="宋体" w:cs="宋体"/>
                <w:color w:val="auto"/>
                <w:kern w:val="0"/>
                <w:sz w:val="21"/>
                <w:szCs w:val="21"/>
                <w:highlight w:val="none"/>
                <w:lang w:eastAsia="zh-CN"/>
              </w:rPr>
              <w:t>。</w:t>
            </w:r>
          </w:p>
        </w:tc>
        <w:tc>
          <w:tcPr>
            <w:tcW w:w="1173" w:type="pct"/>
            <w:tcBorders>
              <w:tl2br w:val="nil"/>
              <w:tr2bl w:val="nil"/>
            </w:tcBorders>
            <w:shd w:val="clear" w:color="auto" w:fill="auto"/>
            <w:vAlign w:val="center"/>
          </w:tcPr>
          <w:p w14:paraId="3DB4FB89">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cs="宋体"/>
                <w:color w:val="auto"/>
                <w:spacing w:val="0"/>
                <w:kern w:val="0"/>
                <w:sz w:val="21"/>
                <w:szCs w:val="21"/>
                <w:highlight w:val="none"/>
                <w:lang w:eastAsia="zh-CN"/>
              </w:rPr>
            </w:pPr>
            <w:r>
              <w:rPr>
                <w:rFonts w:hint="eastAsia" w:ascii="宋体" w:hAnsi="宋体" w:eastAsia="宋体" w:cs="宋体"/>
                <w:color w:val="auto"/>
                <w:kern w:val="0"/>
                <w:szCs w:val="21"/>
                <w:highlight w:val="none"/>
                <w:lang w:eastAsia="zh-CN"/>
              </w:rPr>
              <w:drawing>
                <wp:inline distT="0" distB="0" distL="114300" distR="114300">
                  <wp:extent cx="2059940" cy="1544955"/>
                  <wp:effectExtent l="0" t="0" r="16510" b="17145"/>
                  <wp:docPr id="15" name="图片 15" descr="3墙距大于或等于50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3墙距大于或等于50cm"/>
                          <pic:cNvPicPr>
                            <a:picLocks noChangeAspect="1"/>
                          </pic:cNvPicPr>
                        </pic:nvPicPr>
                        <pic:blipFill>
                          <a:blip r:embed="rId26"/>
                          <a:stretch>
                            <a:fillRect/>
                          </a:stretch>
                        </pic:blipFill>
                        <pic:spPr>
                          <a:xfrm>
                            <a:off x="0" y="0"/>
                            <a:ext cx="2059940" cy="1544955"/>
                          </a:xfrm>
                          <a:prstGeom prst="rect">
                            <a:avLst/>
                          </a:prstGeom>
                        </pic:spPr>
                      </pic:pic>
                    </a:graphicData>
                  </a:graphic>
                </wp:inline>
              </w:drawing>
            </w:r>
          </w:p>
        </w:tc>
      </w:tr>
      <w:tr w14:paraId="21D3B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noWrap/>
            <w:vAlign w:val="center"/>
          </w:tcPr>
          <w:p w14:paraId="703FE715">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24C92089">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1号仓储和5号仓储未设置温湿度计。</w:t>
            </w:r>
          </w:p>
        </w:tc>
        <w:tc>
          <w:tcPr>
            <w:tcW w:w="703" w:type="pct"/>
            <w:tcBorders>
              <w:tl2br w:val="nil"/>
              <w:tr2bl w:val="nil"/>
            </w:tcBorders>
            <w:shd w:val="clear" w:color="auto" w:fill="auto"/>
            <w:vAlign w:val="center"/>
          </w:tcPr>
          <w:p w14:paraId="393191C6">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第8.1.15条</w:t>
            </w: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8.3</w:t>
            </w:r>
            <w:r>
              <w:rPr>
                <w:rFonts w:hint="eastAsia" w:ascii="宋体" w:hAnsi="宋体" w:eastAsia="宋体" w:cs="宋体"/>
                <w:color w:val="auto"/>
                <w:sz w:val="21"/>
                <w:szCs w:val="21"/>
                <w:highlight w:val="none"/>
                <w:lang w:val="en-US" w:eastAsia="zh-Hans"/>
              </w:rPr>
              <w:t>条</w:t>
            </w:r>
          </w:p>
        </w:tc>
        <w:tc>
          <w:tcPr>
            <w:tcW w:w="1009" w:type="pct"/>
            <w:tcBorders>
              <w:tl2br w:val="nil"/>
              <w:tr2bl w:val="nil"/>
            </w:tcBorders>
            <w:shd w:val="clear" w:color="auto" w:fill="auto"/>
            <w:vAlign w:val="center"/>
          </w:tcPr>
          <w:p w14:paraId="7F09098B">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1号仓储和5号仓储</w:t>
            </w:r>
            <w:r>
              <w:rPr>
                <w:rFonts w:hint="eastAsia" w:ascii="宋体" w:hAnsi="宋体" w:cs="宋体"/>
                <w:color w:val="auto"/>
                <w:kern w:val="0"/>
                <w:sz w:val="21"/>
                <w:szCs w:val="21"/>
                <w:highlight w:val="none"/>
                <w:lang w:eastAsia="zh-CN"/>
              </w:rPr>
              <w:t>应</w:t>
            </w:r>
            <w:r>
              <w:rPr>
                <w:rFonts w:hint="eastAsia" w:ascii="宋体" w:hAnsi="宋体" w:eastAsia="宋体" w:cs="宋体"/>
                <w:color w:val="auto"/>
                <w:kern w:val="0"/>
                <w:sz w:val="21"/>
                <w:szCs w:val="21"/>
                <w:highlight w:val="none"/>
              </w:rPr>
              <w:t>设置温湿度计。</w:t>
            </w:r>
          </w:p>
        </w:tc>
        <w:tc>
          <w:tcPr>
            <w:tcW w:w="946" w:type="pct"/>
            <w:tcBorders>
              <w:tl2br w:val="nil"/>
              <w:tr2bl w:val="nil"/>
            </w:tcBorders>
            <w:shd w:val="clear" w:color="auto" w:fill="auto"/>
            <w:vAlign w:val="center"/>
          </w:tcPr>
          <w:p w14:paraId="67F020EB">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1号仓储和5号仓储</w:t>
            </w:r>
            <w:r>
              <w:rPr>
                <w:rFonts w:hint="eastAsia" w:ascii="宋体" w:hAnsi="宋体" w:cs="宋体"/>
                <w:color w:val="auto"/>
                <w:kern w:val="0"/>
                <w:sz w:val="21"/>
                <w:szCs w:val="21"/>
                <w:highlight w:val="none"/>
                <w:lang w:eastAsia="zh-CN"/>
              </w:rPr>
              <w:t>已</w:t>
            </w:r>
            <w:r>
              <w:rPr>
                <w:rFonts w:hint="eastAsia" w:ascii="宋体" w:hAnsi="宋体" w:eastAsia="宋体" w:cs="宋体"/>
                <w:color w:val="auto"/>
                <w:kern w:val="0"/>
                <w:sz w:val="21"/>
                <w:szCs w:val="21"/>
                <w:highlight w:val="none"/>
              </w:rPr>
              <w:t>设置温湿度计。</w:t>
            </w:r>
          </w:p>
        </w:tc>
        <w:tc>
          <w:tcPr>
            <w:tcW w:w="1173" w:type="pct"/>
            <w:tcBorders>
              <w:tl2br w:val="nil"/>
              <w:tr2bl w:val="nil"/>
            </w:tcBorders>
            <w:shd w:val="clear" w:color="auto" w:fill="auto"/>
            <w:vAlign w:val="center"/>
          </w:tcPr>
          <w:p w14:paraId="6F6614C3">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Cs w:val="21"/>
                <w:highlight w:val="none"/>
                <w:lang w:eastAsia="zh-CN"/>
              </w:rPr>
              <w:drawing>
                <wp:inline distT="0" distB="0" distL="114300" distR="114300">
                  <wp:extent cx="2084070" cy="2778760"/>
                  <wp:effectExtent l="0" t="0" r="11430" b="2540"/>
                  <wp:docPr id="16" name="图片 16" descr="盐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盐酸"/>
                          <pic:cNvPicPr>
                            <a:picLocks noChangeAspect="1"/>
                          </pic:cNvPicPr>
                        </pic:nvPicPr>
                        <pic:blipFill>
                          <a:blip r:embed="rId27"/>
                          <a:stretch>
                            <a:fillRect/>
                          </a:stretch>
                        </pic:blipFill>
                        <pic:spPr>
                          <a:xfrm>
                            <a:off x="0" y="0"/>
                            <a:ext cx="2084070" cy="2778760"/>
                          </a:xfrm>
                          <a:prstGeom prst="rect">
                            <a:avLst/>
                          </a:prstGeom>
                        </pic:spPr>
                      </pic:pic>
                    </a:graphicData>
                  </a:graphic>
                </wp:inline>
              </w:drawing>
            </w:r>
          </w:p>
        </w:tc>
      </w:tr>
      <w:tr w14:paraId="3498C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noWrap/>
            <w:vAlign w:val="center"/>
          </w:tcPr>
          <w:p w14:paraId="35A2D9A8">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5E2C29C3">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丙酮、苯乙烯包装桶上未粘贴或者拴挂化学品安全标签。</w:t>
            </w:r>
          </w:p>
        </w:tc>
        <w:tc>
          <w:tcPr>
            <w:tcW w:w="703" w:type="pct"/>
            <w:tcBorders>
              <w:tl2br w:val="nil"/>
              <w:tr2bl w:val="nil"/>
            </w:tcBorders>
            <w:shd w:val="clear" w:color="auto" w:fill="auto"/>
            <w:vAlign w:val="center"/>
          </w:tcPr>
          <w:p w14:paraId="6424AC90">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第8.1.11条</w:t>
            </w: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7.4</w:t>
            </w:r>
            <w:r>
              <w:rPr>
                <w:rFonts w:hint="eastAsia" w:ascii="宋体" w:hAnsi="宋体" w:eastAsia="宋体" w:cs="宋体"/>
                <w:color w:val="auto"/>
                <w:sz w:val="21"/>
                <w:szCs w:val="21"/>
                <w:highlight w:val="none"/>
                <w:lang w:val="en-US" w:eastAsia="zh-Hans"/>
              </w:rPr>
              <w:t>条</w:t>
            </w:r>
          </w:p>
          <w:p w14:paraId="7D7E214A">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7.5</w:t>
            </w:r>
            <w:r>
              <w:rPr>
                <w:rFonts w:hint="eastAsia" w:ascii="宋体" w:hAnsi="宋体" w:eastAsia="宋体" w:cs="宋体"/>
                <w:color w:val="auto"/>
                <w:sz w:val="21"/>
                <w:szCs w:val="21"/>
                <w:highlight w:val="none"/>
                <w:lang w:val="en-US" w:eastAsia="zh-Hans"/>
              </w:rPr>
              <w:t>条</w:t>
            </w:r>
          </w:p>
        </w:tc>
        <w:tc>
          <w:tcPr>
            <w:tcW w:w="1009" w:type="pct"/>
            <w:tcBorders>
              <w:tl2br w:val="nil"/>
              <w:tr2bl w:val="nil"/>
            </w:tcBorders>
            <w:shd w:val="clear" w:color="auto" w:fill="auto"/>
            <w:vAlign w:val="center"/>
          </w:tcPr>
          <w:p w14:paraId="033272AE">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丙酮、苯乙烯包装桶上</w:t>
            </w:r>
            <w:r>
              <w:rPr>
                <w:rFonts w:hint="eastAsia" w:ascii="宋体" w:hAnsi="宋体" w:cs="宋体"/>
                <w:color w:val="auto"/>
                <w:kern w:val="0"/>
                <w:sz w:val="21"/>
                <w:szCs w:val="21"/>
                <w:highlight w:val="none"/>
                <w:lang w:eastAsia="zh-CN"/>
              </w:rPr>
              <w:t>应</w:t>
            </w:r>
            <w:r>
              <w:rPr>
                <w:rFonts w:hint="eastAsia" w:ascii="宋体" w:hAnsi="宋体" w:eastAsia="宋体" w:cs="宋体"/>
                <w:color w:val="auto"/>
                <w:kern w:val="0"/>
                <w:sz w:val="21"/>
                <w:szCs w:val="21"/>
                <w:highlight w:val="none"/>
              </w:rPr>
              <w:t>粘贴或者拴挂化学品安全标签。</w:t>
            </w:r>
          </w:p>
        </w:tc>
        <w:tc>
          <w:tcPr>
            <w:tcW w:w="946" w:type="pct"/>
            <w:tcBorders>
              <w:tl2br w:val="nil"/>
              <w:tr2bl w:val="nil"/>
            </w:tcBorders>
            <w:shd w:val="clear" w:color="auto" w:fill="auto"/>
            <w:vAlign w:val="center"/>
          </w:tcPr>
          <w:p w14:paraId="34C0CE9E">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丙酮、苯乙烯包装桶上</w:t>
            </w:r>
            <w:r>
              <w:rPr>
                <w:rFonts w:hint="eastAsia" w:ascii="宋体" w:hAnsi="宋体" w:cs="宋体"/>
                <w:color w:val="auto"/>
                <w:kern w:val="0"/>
                <w:sz w:val="21"/>
                <w:szCs w:val="21"/>
                <w:highlight w:val="none"/>
                <w:lang w:eastAsia="zh-CN"/>
              </w:rPr>
              <w:t>已</w:t>
            </w:r>
            <w:r>
              <w:rPr>
                <w:rFonts w:hint="eastAsia" w:ascii="宋体" w:hAnsi="宋体" w:eastAsia="宋体" w:cs="宋体"/>
                <w:color w:val="auto"/>
                <w:kern w:val="0"/>
                <w:sz w:val="21"/>
                <w:szCs w:val="21"/>
                <w:highlight w:val="none"/>
              </w:rPr>
              <w:t>粘贴化学品安全标签。</w:t>
            </w:r>
          </w:p>
        </w:tc>
        <w:tc>
          <w:tcPr>
            <w:tcW w:w="1173" w:type="pct"/>
            <w:tcBorders>
              <w:tl2br w:val="nil"/>
              <w:tr2bl w:val="nil"/>
            </w:tcBorders>
            <w:shd w:val="clear" w:color="auto" w:fill="auto"/>
            <w:vAlign w:val="center"/>
          </w:tcPr>
          <w:p w14:paraId="61AD55C0">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color w:val="auto"/>
                <w:highlight w:val="none"/>
              </w:rPr>
              <w:drawing>
                <wp:inline distT="0" distB="0" distL="114300" distR="114300">
                  <wp:extent cx="2087880" cy="2266950"/>
                  <wp:effectExtent l="0" t="0" r="7620" b="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28"/>
                          <a:stretch>
                            <a:fillRect/>
                          </a:stretch>
                        </pic:blipFill>
                        <pic:spPr>
                          <a:xfrm>
                            <a:off x="0" y="0"/>
                            <a:ext cx="2087880" cy="2266950"/>
                          </a:xfrm>
                          <a:prstGeom prst="rect">
                            <a:avLst/>
                          </a:prstGeom>
                          <a:noFill/>
                          <a:ln>
                            <a:noFill/>
                          </a:ln>
                        </pic:spPr>
                      </pic:pic>
                    </a:graphicData>
                  </a:graphic>
                </wp:inline>
              </w:drawing>
            </w:r>
          </w:p>
        </w:tc>
      </w:tr>
      <w:tr w14:paraId="420E4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noWrap/>
            <w:vAlign w:val="center"/>
          </w:tcPr>
          <w:p w14:paraId="47017EB6">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7341FCE8">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未制定危化品装卸操作规程。</w:t>
            </w:r>
          </w:p>
          <w:p w14:paraId="575F5E3C">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危化品仓库</w:t>
            </w:r>
            <w:r>
              <w:rPr>
                <w:rFonts w:hint="eastAsia" w:ascii="宋体" w:hAnsi="宋体" w:eastAsia="宋体" w:cs="宋体"/>
                <w:color w:val="auto"/>
                <w:kern w:val="0"/>
                <w:sz w:val="21"/>
                <w:szCs w:val="21"/>
                <w:highlight w:val="none"/>
                <w:lang w:eastAsia="zh-CN"/>
              </w:rPr>
              <w:t>未</w:t>
            </w:r>
            <w:r>
              <w:rPr>
                <w:rFonts w:hint="eastAsia" w:ascii="宋体" w:hAnsi="宋体" w:eastAsia="宋体" w:cs="宋体"/>
                <w:color w:val="auto"/>
                <w:kern w:val="0"/>
                <w:sz w:val="21"/>
                <w:szCs w:val="21"/>
                <w:highlight w:val="none"/>
              </w:rPr>
              <w:t>设置安全操作规程</w:t>
            </w:r>
            <w:r>
              <w:rPr>
                <w:rFonts w:hint="eastAsia" w:ascii="宋体" w:hAnsi="宋体" w:eastAsia="宋体" w:cs="宋体"/>
                <w:color w:val="auto"/>
                <w:kern w:val="0"/>
                <w:sz w:val="21"/>
                <w:szCs w:val="21"/>
                <w:highlight w:val="none"/>
                <w:lang w:eastAsia="zh-CN"/>
              </w:rPr>
              <w:t>。</w:t>
            </w:r>
          </w:p>
        </w:tc>
        <w:tc>
          <w:tcPr>
            <w:tcW w:w="703" w:type="pct"/>
            <w:tcBorders>
              <w:tl2br w:val="nil"/>
              <w:tr2bl w:val="nil"/>
            </w:tcBorders>
            <w:shd w:val="clear" w:color="auto" w:fill="auto"/>
            <w:vAlign w:val="center"/>
          </w:tcPr>
          <w:p w14:paraId="5A5D791D">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Cs w:val="21"/>
                <w:highlight w:val="none"/>
              </w:rPr>
              <w:t>7.2</w:t>
            </w:r>
            <w:r>
              <w:rPr>
                <w:rFonts w:hint="eastAsia" w:ascii="宋体" w:hAnsi="宋体" w:eastAsia="宋体" w:cs="宋体"/>
                <w:color w:val="auto"/>
                <w:kern w:val="0"/>
                <w:sz w:val="21"/>
                <w:szCs w:val="21"/>
                <w:highlight w:val="none"/>
              </w:rPr>
              <w:t>条</w:t>
            </w:r>
          </w:p>
          <w:p w14:paraId="7EC94D30">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cs="宋体"/>
                <w:color w:val="auto"/>
                <w:kern w:val="0"/>
                <w:sz w:val="21"/>
                <w:szCs w:val="21"/>
                <w:highlight w:val="none"/>
                <w:lang w:eastAsia="zh-CN"/>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第8.1.16条</w:t>
            </w:r>
          </w:p>
          <w:p w14:paraId="0EEB10B4">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eastAsia="zh-Hans"/>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第12.</w:t>
            </w:r>
            <w:r>
              <w:rPr>
                <w:rFonts w:hint="eastAsia" w:ascii="宋体" w:hAnsi="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.5条</w:t>
            </w:r>
          </w:p>
        </w:tc>
        <w:tc>
          <w:tcPr>
            <w:tcW w:w="1009" w:type="pct"/>
            <w:tcBorders>
              <w:tl2br w:val="nil"/>
              <w:tr2bl w:val="nil"/>
            </w:tcBorders>
            <w:shd w:val="clear" w:color="auto" w:fill="auto"/>
            <w:vAlign w:val="center"/>
          </w:tcPr>
          <w:p w14:paraId="23011C9A">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应</w:t>
            </w:r>
            <w:r>
              <w:rPr>
                <w:rFonts w:hint="eastAsia" w:ascii="宋体" w:hAnsi="宋体" w:eastAsia="宋体" w:cs="宋体"/>
                <w:color w:val="auto"/>
                <w:kern w:val="0"/>
                <w:sz w:val="21"/>
                <w:szCs w:val="21"/>
                <w:highlight w:val="none"/>
              </w:rPr>
              <w:t>制定危化品装卸操作规程。</w:t>
            </w:r>
          </w:p>
          <w:p w14:paraId="021E3CA1">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危化品仓库</w:t>
            </w:r>
            <w:r>
              <w:rPr>
                <w:rFonts w:hint="eastAsia" w:ascii="宋体" w:hAnsi="宋体" w:cs="宋体"/>
                <w:color w:val="auto"/>
                <w:kern w:val="0"/>
                <w:sz w:val="21"/>
                <w:szCs w:val="21"/>
                <w:highlight w:val="none"/>
                <w:lang w:eastAsia="zh-CN"/>
              </w:rPr>
              <w:t>应</w:t>
            </w:r>
            <w:r>
              <w:rPr>
                <w:rFonts w:hint="eastAsia" w:ascii="宋体" w:hAnsi="宋体" w:eastAsia="宋体" w:cs="宋体"/>
                <w:color w:val="auto"/>
                <w:kern w:val="0"/>
                <w:sz w:val="21"/>
                <w:szCs w:val="21"/>
                <w:highlight w:val="none"/>
              </w:rPr>
              <w:t>设置安全操作规程</w:t>
            </w:r>
            <w:r>
              <w:rPr>
                <w:rFonts w:hint="eastAsia" w:ascii="宋体" w:hAnsi="宋体" w:eastAsia="宋体" w:cs="宋体"/>
                <w:color w:val="auto"/>
                <w:kern w:val="0"/>
                <w:sz w:val="21"/>
                <w:szCs w:val="21"/>
                <w:highlight w:val="none"/>
                <w:lang w:eastAsia="zh-CN"/>
              </w:rPr>
              <w:t>。</w:t>
            </w:r>
          </w:p>
        </w:tc>
        <w:tc>
          <w:tcPr>
            <w:tcW w:w="946" w:type="pct"/>
            <w:tcBorders>
              <w:tl2br w:val="nil"/>
              <w:tr2bl w:val="nil"/>
            </w:tcBorders>
            <w:shd w:val="clear" w:color="auto" w:fill="auto"/>
            <w:vAlign w:val="center"/>
          </w:tcPr>
          <w:p w14:paraId="744EF83C">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已</w:t>
            </w:r>
            <w:r>
              <w:rPr>
                <w:rFonts w:hint="eastAsia" w:ascii="宋体" w:hAnsi="宋体" w:eastAsia="宋体" w:cs="宋体"/>
                <w:color w:val="auto"/>
                <w:kern w:val="0"/>
                <w:sz w:val="21"/>
                <w:szCs w:val="21"/>
                <w:highlight w:val="none"/>
              </w:rPr>
              <w:t>制定危化品装卸操作规程。</w:t>
            </w:r>
          </w:p>
          <w:p w14:paraId="72814D7A">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危化品仓库</w:t>
            </w:r>
            <w:r>
              <w:rPr>
                <w:rFonts w:hint="eastAsia" w:ascii="宋体" w:hAnsi="宋体" w:cs="宋体"/>
                <w:color w:val="auto"/>
                <w:kern w:val="0"/>
                <w:sz w:val="21"/>
                <w:szCs w:val="21"/>
                <w:highlight w:val="none"/>
                <w:lang w:eastAsia="zh-CN"/>
              </w:rPr>
              <w:t>已</w:t>
            </w:r>
            <w:r>
              <w:rPr>
                <w:rFonts w:hint="eastAsia" w:ascii="宋体" w:hAnsi="宋体" w:eastAsia="宋体" w:cs="宋体"/>
                <w:color w:val="auto"/>
                <w:kern w:val="0"/>
                <w:sz w:val="21"/>
                <w:szCs w:val="21"/>
                <w:highlight w:val="none"/>
              </w:rPr>
              <w:t>设置安全操作规程</w:t>
            </w:r>
            <w:r>
              <w:rPr>
                <w:rFonts w:hint="eastAsia" w:ascii="宋体" w:hAnsi="宋体" w:eastAsia="宋体" w:cs="宋体"/>
                <w:color w:val="auto"/>
                <w:kern w:val="0"/>
                <w:sz w:val="21"/>
                <w:szCs w:val="21"/>
                <w:highlight w:val="none"/>
                <w:lang w:eastAsia="zh-CN"/>
              </w:rPr>
              <w:t>。</w:t>
            </w:r>
          </w:p>
        </w:tc>
        <w:tc>
          <w:tcPr>
            <w:tcW w:w="1173" w:type="pct"/>
            <w:tcBorders>
              <w:tl2br w:val="nil"/>
              <w:tr2bl w:val="nil"/>
            </w:tcBorders>
            <w:shd w:val="clear" w:color="auto" w:fill="auto"/>
            <w:vAlign w:val="center"/>
          </w:tcPr>
          <w:p w14:paraId="5F8A47F8">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drawing>
                <wp:inline distT="0" distB="0" distL="114300" distR="114300">
                  <wp:extent cx="1976755" cy="1482725"/>
                  <wp:effectExtent l="0" t="0" r="4445" b="3175"/>
                  <wp:docPr id="18" name="图片 18" descr="521b0d5431db8ad9a5daded611ace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521b0d5431db8ad9a5daded611acebd"/>
                          <pic:cNvPicPr>
                            <a:picLocks noChangeAspect="1"/>
                          </pic:cNvPicPr>
                        </pic:nvPicPr>
                        <pic:blipFill>
                          <a:blip r:embed="rId29"/>
                          <a:stretch>
                            <a:fillRect/>
                          </a:stretch>
                        </pic:blipFill>
                        <pic:spPr>
                          <a:xfrm>
                            <a:off x="0" y="0"/>
                            <a:ext cx="1976755" cy="1482725"/>
                          </a:xfrm>
                          <a:prstGeom prst="rect">
                            <a:avLst/>
                          </a:prstGeom>
                        </pic:spPr>
                      </pic:pic>
                    </a:graphicData>
                  </a:graphic>
                </wp:inline>
              </w:drawing>
            </w:r>
          </w:p>
        </w:tc>
      </w:tr>
      <w:tr w14:paraId="6D2C2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noWrap/>
            <w:vAlign w:val="center"/>
          </w:tcPr>
          <w:p w14:paraId="72C9677E">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7DDB9ED8">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未</w:t>
            </w:r>
            <w:r>
              <w:rPr>
                <w:rFonts w:hint="eastAsia" w:ascii="宋体" w:hAnsi="宋体" w:cs="宋体"/>
                <w:color w:val="auto"/>
                <w:kern w:val="0"/>
                <w:sz w:val="21"/>
                <w:szCs w:val="21"/>
                <w:highlight w:val="none"/>
                <w:lang w:eastAsia="zh-CN"/>
              </w:rPr>
              <w:t>建立</w:t>
            </w:r>
            <w:r>
              <w:rPr>
                <w:rFonts w:hint="eastAsia" w:ascii="宋体" w:hAnsi="宋体" w:eastAsia="宋体" w:cs="宋体"/>
                <w:color w:val="auto"/>
                <w:kern w:val="0"/>
                <w:sz w:val="21"/>
                <w:szCs w:val="21"/>
                <w:highlight w:val="none"/>
              </w:rPr>
              <w:t>进入库区的人员登记</w:t>
            </w:r>
            <w:r>
              <w:rPr>
                <w:rFonts w:hint="eastAsia" w:ascii="宋体" w:hAnsi="宋体" w:cs="宋体"/>
                <w:color w:val="auto"/>
                <w:kern w:val="0"/>
                <w:sz w:val="21"/>
                <w:szCs w:val="21"/>
                <w:highlight w:val="none"/>
                <w:lang w:eastAsia="zh-CN"/>
              </w:rPr>
              <w:t>记录</w:t>
            </w:r>
            <w:r>
              <w:rPr>
                <w:rFonts w:hint="eastAsia" w:ascii="宋体" w:hAnsi="宋体" w:eastAsia="宋体" w:cs="宋体"/>
                <w:color w:val="auto"/>
                <w:kern w:val="0"/>
                <w:sz w:val="21"/>
                <w:szCs w:val="21"/>
                <w:highlight w:val="none"/>
              </w:rPr>
              <w:t>。</w:t>
            </w:r>
          </w:p>
        </w:tc>
        <w:tc>
          <w:tcPr>
            <w:tcW w:w="703" w:type="pct"/>
            <w:tcBorders>
              <w:tl2br w:val="nil"/>
              <w:tr2bl w:val="nil"/>
            </w:tcBorders>
            <w:shd w:val="clear" w:color="auto" w:fill="auto"/>
            <w:vAlign w:val="center"/>
          </w:tcPr>
          <w:p w14:paraId="05497E73">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11.2.3</w:t>
            </w:r>
            <w:r>
              <w:rPr>
                <w:rFonts w:hint="eastAsia" w:ascii="宋体" w:hAnsi="宋体" w:eastAsia="宋体" w:cs="宋体"/>
                <w:color w:val="auto"/>
                <w:sz w:val="21"/>
                <w:szCs w:val="21"/>
                <w:highlight w:val="none"/>
                <w:lang w:val="en-US" w:eastAsia="zh-Hans"/>
              </w:rPr>
              <w:t>条</w:t>
            </w:r>
          </w:p>
        </w:tc>
        <w:tc>
          <w:tcPr>
            <w:tcW w:w="1009" w:type="pct"/>
            <w:tcBorders>
              <w:tl2br w:val="nil"/>
              <w:tr2bl w:val="nil"/>
            </w:tcBorders>
            <w:shd w:val="clear" w:color="auto" w:fill="auto"/>
            <w:vAlign w:val="center"/>
          </w:tcPr>
          <w:p w14:paraId="3897022D">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应建立</w:t>
            </w:r>
            <w:r>
              <w:rPr>
                <w:rFonts w:hint="eastAsia" w:ascii="宋体" w:hAnsi="宋体" w:eastAsia="宋体" w:cs="宋体"/>
                <w:color w:val="auto"/>
                <w:kern w:val="0"/>
                <w:sz w:val="21"/>
                <w:szCs w:val="21"/>
                <w:highlight w:val="none"/>
              </w:rPr>
              <w:t>进入库区的人员登记</w:t>
            </w:r>
            <w:r>
              <w:rPr>
                <w:rFonts w:hint="eastAsia" w:ascii="宋体" w:hAnsi="宋体" w:cs="宋体"/>
                <w:color w:val="auto"/>
                <w:kern w:val="0"/>
                <w:sz w:val="21"/>
                <w:szCs w:val="21"/>
                <w:highlight w:val="none"/>
                <w:lang w:eastAsia="zh-CN"/>
              </w:rPr>
              <w:t>记录</w:t>
            </w:r>
            <w:r>
              <w:rPr>
                <w:rFonts w:hint="eastAsia" w:ascii="宋体" w:hAnsi="宋体" w:eastAsia="宋体" w:cs="宋体"/>
                <w:color w:val="auto"/>
                <w:kern w:val="0"/>
                <w:sz w:val="21"/>
                <w:szCs w:val="21"/>
                <w:highlight w:val="none"/>
              </w:rPr>
              <w:t>。</w:t>
            </w:r>
          </w:p>
        </w:tc>
        <w:tc>
          <w:tcPr>
            <w:tcW w:w="946" w:type="pct"/>
            <w:tcBorders>
              <w:tl2br w:val="nil"/>
              <w:tr2bl w:val="nil"/>
            </w:tcBorders>
            <w:shd w:val="clear" w:color="auto" w:fill="auto"/>
            <w:vAlign w:val="center"/>
          </w:tcPr>
          <w:p w14:paraId="51A5CF84">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已建立</w:t>
            </w:r>
            <w:r>
              <w:rPr>
                <w:rFonts w:hint="eastAsia" w:ascii="宋体" w:hAnsi="宋体" w:eastAsia="宋体" w:cs="宋体"/>
                <w:color w:val="auto"/>
                <w:kern w:val="0"/>
                <w:sz w:val="21"/>
                <w:szCs w:val="21"/>
                <w:highlight w:val="none"/>
              </w:rPr>
              <w:t>进入库区的人员登记</w:t>
            </w:r>
            <w:r>
              <w:rPr>
                <w:rFonts w:hint="eastAsia" w:ascii="宋体" w:hAnsi="宋体" w:cs="宋体"/>
                <w:color w:val="auto"/>
                <w:kern w:val="0"/>
                <w:sz w:val="21"/>
                <w:szCs w:val="21"/>
                <w:highlight w:val="none"/>
                <w:lang w:eastAsia="zh-CN"/>
              </w:rPr>
              <w:t>记录。</w:t>
            </w:r>
          </w:p>
        </w:tc>
        <w:tc>
          <w:tcPr>
            <w:tcW w:w="1173" w:type="pct"/>
            <w:tcBorders>
              <w:tl2br w:val="nil"/>
              <w:tr2bl w:val="nil"/>
            </w:tcBorders>
            <w:shd w:val="clear" w:color="auto" w:fill="auto"/>
            <w:vAlign w:val="center"/>
          </w:tcPr>
          <w:p w14:paraId="02E20478">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cs="宋体"/>
                <w:color w:val="auto"/>
                <w:kern w:val="0"/>
                <w:sz w:val="21"/>
                <w:szCs w:val="21"/>
                <w:highlight w:val="none"/>
                <w:lang w:eastAsia="zh-CN"/>
              </w:rPr>
            </w:pPr>
            <w:r>
              <w:rPr>
                <w:color w:val="auto"/>
                <w:highlight w:val="none"/>
              </w:rPr>
              <w:drawing>
                <wp:inline distT="0" distB="0" distL="114300" distR="114300">
                  <wp:extent cx="2018030" cy="2767965"/>
                  <wp:effectExtent l="0" t="0" r="1270" b="13335"/>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r:embed="rId30"/>
                          <a:stretch>
                            <a:fillRect/>
                          </a:stretch>
                        </pic:blipFill>
                        <pic:spPr>
                          <a:xfrm>
                            <a:off x="0" y="0"/>
                            <a:ext cx="2018030" cy="2767965"/>
                          </a:xfrm>
                          <a:prstGeom prst="rect">
                            <a:avLst/>
                          </a:prstGeom>
                          <a:noFill/>
                          <a:ln>
                            <a:noFill/>
                          </a:ln>
                        </pic:spPr>
                      </pic:pic>
                    </a:graphicData>
                  </a:graphic>
                </wp:inline>
              </w:drawing>
            </w:r>
          </w:p>
        </w:tc>
      </w:tr>
      <w:tr w14:paraId="5B367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noWrap/>
            <w:vAlign w:val="center"/>
          </w:tcPr>
          <w:p w14:paraId="78A3397D">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011173DF">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保卫值班室出入口</w:t>
            </w:r>
            <w:r>
              <w:rPr>
                <w:rFonts w:hint="eastAsia" w:ascii="宋体" w:hAnsi="宋体" w:eastAsia="宋体" w:cs="宋体"/>
                <w:color w:val="auto"/>
                <w:kern w:val="0"/>
                <w:sz w:val="21"/>
                <w:szCs w:val="21"/>
                <w:highlight w:val="none"/>
                <w:lang w:eastAsia="zh-CN"/>
              </w:rPr>
              <w:t>未</w:t>
            </w:r>
            <w:r>
              <w:rPr>
                <w:rFonts w:hint="eastAsia" w:ascii="宋体" w:hAnsi="宋体" w:eastAsia="宋体" w:cs="宋体"/>
                <w:color w:val="auto"/>
                <w:kern w:val="0"/>
                <w:sz w:val="21"/>
                <w:szCs w:val="21"/>
                <w:highlight w:val="none"/>
              </w:rPr>
              <w:t>设置防盗安全门。</w:t>
            </w:r>
          </w:p>
          <w:p w14:paraId="5AB7B7E1">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保卫值班室的窗口</w:t>
            </w:r>
            <w:r>
              <w:rPr>
                <w:rFonts w:hint="eastAsia" w:ascii="宋体" w:hAnsi="宋体" w:eastAsia="宋体" w:cs="宋体"/>
                <w:color w:val="auto"/>
                <w:kern w:val="0"/>
                <w:sz w:val="21"/>
                <w:szCs w:val="21"/>
                <w:highlight w:val="none"/>
                <w:lang w:eastAsia="zh-CN"/>
              </w:rPr>
              <w:t>未设置</w:t>
            </w:r>
            <w:r>
              <w:rPr>
                <w:rFonts w:hint="eastAsia" w:ascii="宋体" w:hAnsi="宋体" w:eastAsia="宋体" w:cs="宋体"/>
                <w:color w:val="auto"/>
                <w:kern w:val="0"/>
                <w:sz w:val="21"/>
                <w:szCs w:val="21"/>
                <w:highlight w:val="none"/>
              </w:rPr>
              <w:t>实体或电子防护措施。</w:t>
            </w:r>
          </w:p>
        </w:tc>
        <w:tc>
          <w:tcPr>
            <w:tcW w:w="703" w:type="pct"/>
            <w:tcBorders>
              <w:tl2br w:val="nil"/>
              <w:tr2bl w:val="nil"/>
            </w:tcBorders>
            <w:shd w:val="clear" w:color="auto" w:fill="auto"/>
            <w:vAlign w:val="center"/>
          </w:tcPr>
          <w:p w14:paraId="5C812CA4">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GA1511-2018</w:t>
            </w:r>
            <w:r>
              <w:rPr>
                <w:rFonts w:hint="eastAsia" w:ascii="宋体" w:hAnsi="宋体" w:eastAsia="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lang w:val="en-US" w:eastAsia="zh-CN"/>
              </w:rPr>
              <w:t>7.6</w:t>
            </w:r>
            <w:r>
              <w:rPr>
                <w:rFonts w:hint="eastAsia" w:ascii="宋体" w:hAnsi="宋体" w:eastAsia="宋体" w:cs="宋体"/>
                <w:color w:val="auto"/>
                <w:kern w:val="0"/>
                <w:sz w:val="21"/>
                <w:szCs w:val="21"/>
                <w:highlight w:val="none"/>
                <w:lang w:eastAsia="zh-CN"/>
              </w:rPr>
              <w:t>条</w:t>
            </w:r>
          </w:p>
          <w:p w14:paraId="50990F02">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rPr>
              <w:t>GA1511-2018</w:t>
            </w:r>
            <w:r>
              <w:rPr>
                <w:rFonts w:hint="eastAsia" w:ascii="宋体" w:hAnsi="宋体" w:eastAsia="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lang w:val="en-US" w:eastAsia="zh-CN"/>
              </w:rPr>
              <w:t>7.8</w:t>
            </w:r>
            <w:r>
              <w:rPr>
                <w:rFonts w:hint="eastAsia" w:ascii="宋体" w:hAnsi="宋体" w:eastAsia="宋体" w:cs="宋体"/>
                <w:color w:val="auto"/>
                <w:kern w:val="0"/>
                <w:sz w:val="21"/>
                <w:szCs w:val="21"/>
                <w:highlight w:val="none"/>
                <w:lang w:eastAsia="zh-CN"/>
              </w:rPr>
              <w:t>条</w:t>
            </w:r>
          </w:p>
        </w:tc>
        <w:tc>
          <w:tcPr>
            <w:tcW w:w="1009" w:type="pct"/>
            <w:tcBorders>
              <w:tl2br w:val="nil"/>
              <w:tr2bl w:val="nil"/>
            </w:tcBorders>
            <w:shd w:val="clear" w:color="auto" w:fill="auto"/>
            <w:vAlign w:val="center"/>
          </w:tcPr>
          <w:p w14:paraId="77B55D3A">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保卫值班室出入口</w:t>
            </w:r>
            <w:r>
              <w:rPr>
                <w:rFonts w:hint="eastAsia" w:ascii="宋体" w:hAnsi="宋体" w:cs="宋体"/>
                <w:color w:val="auto"/>
                <w:kern w:val="0"/>
                <w:sz w:val="21"/>
                <w:szCs w:val="21"/>
                <w:highlight w:val="none"/>
                <w:lang w:eastAsia="zh-CN"/>
              </w:rPr>
              <w:t>应</w:t>
            </w:r>
            <w:r>
              <w:rPr>
                <w:rFonts w:hint="eastAsia" w:ascii="宋体" w:hAnsi="宋体" w:eastAsia="宋体" w:cs="宋体"/>
                <w:color w:val="auto"/>
                <w:kern w:val="0"/>
                <w:sz w:val="21"/>
                <w:szCs w:val="21"/>
                <w:highlight w:val="none"/>
              </w:rPr>
              <w:t>设置防盗安全门。</w:t>
            </w:r>
          </w:p>
          <w:p w14:paraId="263D10F6">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保卫值班室的窗口</w:t>
            </w:r>
            <w:r>
              <w:rPr>
                <w:rFonts w:hint="eastAsia" w:ascii="宋体" w:hAnsi="宋体" w:cs="宋体"/>
                <w:color w:val="auto"/>
                <w:kern w:val="0"/>
                <w:sz w:val="21"/>
                <w:szCs w:val="21"/>
                <w:highlight w:val="none"/>
                <w:lang w:eastAsia="zh-CN"/>
              </w:rPr>
              <w:t>应</w:t>
            </w:r>
            <w:r>
              <w:rPr>
                <w:rFonts w:hint="eastAsia" w:ascii="宋体" w:hAnsi="宋体" w:eastAsia="宋体" w:cs="宋体"/>
                <w:color w:val="auto"/>
                <w:kern w:val="0"/>
                <w:sz w:val="21"/>
                <w:szCs w:val="21"/>
                <w:highlight w:val="none"/>
                <w:lang w:eastAsia="zh-CN"/>
              </w:rPr>
              <w:t>设置</w:t>
            </w:r>
            <w:r>
              <w:rPr>
                <w:rFonts w:hint="eastAsia" w:ascii="宋体" w:hAnsi="宋体" w:eastAsia="宋体" w:cs="宋体"/>
                <w:color w:val="auto"/>
                <w:kern w:val="0"/>
                <w:sz w:val="21"/>
                <w:szCs w:val="21"/>
                <w:highlight w:val="none"/>
              </w:rPr>
              <w:t>实体或电子防护措施。</w:t>
            </w:r>
          </w:p>
        </w:tc>
        <w:tc>
          <w:tcPr>
            <w:tcW w:w="946" w:type="pct"/>
            <w:tcBorders>
              <w:tl2br w:val="nil"/>
              <w:tr2bl w:val="nil"/>
            </w:tcBorders>
            <w:shd w:val="clear" w:color="auto" w:fill="auto"/>
            <w:vAlign w:val="center"/>
          </w:tcPr>
          <w:p w14:paraId="0F9DAA62">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保卫值班室出入口</w:t>
            </w:r>
            <w:r>
              <w:rPr>
                <w:rFonts w:hint="eastAsia" w:ascii="宋体" w:hAnsi="宋体" w:cs="宋体"/>
                <w:color w:val="auto"/>
                <w:kern w:val="0"/>
                <w:sz w:val="21"/>
                <w:szCs w:val="21"/>
                <w:highlight w:val="none"/>
                <w:lang w:eastAsia="zh-CN"/>
              </w:rPr>
              <w:t>已</w:t>
            </w:r>
            <w:r>
              <w:rPr>
                <w:rFonts w:hint="eastAsia" w:ascii="宋体" w:hAnsi="宋体" w:eastAsia="宋体" w:cs="宋体"/>
                <w:color w:val="auto"/>
                <w:kern w:val="0"/>
                <w:sz w:val="21"/>
                <w:szCs w:val="21"/>
                <w:highlight w:val="none"/>
              </w:rPr>
              <w:t>设置防盗安全门。</w:t>
            </w:r>
          </w:p>
          <w:p w14:paraId="411190F6">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保卫值班室的窗口</w:t>
            </w:r>
            <w:r>
              <w:rPr>
                <w:rFonts w:hint="eastAsia" w:ascii="宋体" w:hAnsi="宋体" w:cs="宋体"/>
                <w:color w:val="auto"/>
                <w:kern w:val="0"/>
                <w:sz w:val="21"/>
                <w:szCs w:val="21"/>
                <w:highlight w:val="none"/>
                <w:lang w:eastAsia="zh-CN"/>
              </w:rPr>
              <w:t>已</w:t>
            </w:r>
            <w:r>
              <w:rPr>
                <w:rFonts w:hint="eastAsia" w:ascii="宋体" w:hAnsi="宋体" w:eastAsia="宋体" w:cs="宋体"/>
                <w:color w:val="auto"/>
                <w:kern w:val="0"/>
                <w:sz w:val="21"/>
                <w:szCs w:val="21"/>
                <w:highlight w:val="none"/>
                <w:lang w:eastAsia="zh-CN"/>
              </w:rPr>
              <w:t>设置</w:t>
            </w:r>
            <w:r>
              <w:rPr>
                <w:rFonts w:hint="eastAsia" w:ascii="宋体" w:hAnsi="宋体" w:eastAsia="宋体" w:cs="宋体"/>
                <w:color w:val="auto"/>
                <w:kern w:val="0"/>
                <w:sz w:val="21"/>
                <w:szCs w:val="21"/>
                <w:highlight w:val="none"/>
              </w:rPr>
              <w:t>实体防护措施。</w:t>
            </w:r>
          </w:p>
        </w:tc>
        <w:tc>
          <w:tcPr>
            <w:tcW w:w="1173" w:type="pct"/>
            <w:tcBorders>
              <w:tl2br w:val="nil"/>
              <w:tr2bl w:val="nil"/>
            </w:tcBorders>
            <w:shd w:val="clear" w:color="auto" w:fill="auto"/>
            <w:vAlign w:val="center"/>
          </w:tcPr>
          <w:p w14:paraId="12AEC1EB">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Cs w:val="21"/>
                <w:highlight w:val="none"/>
                <w:lang w:eastAsia="zh-CN"/>
              </w:rPr>
              <w:drawing>
                <wp:inline distT="0" distB="0" distL="114300" distR="114300">
                  <wp:extent cx="2065020" cy="1549400"/>
                  <wp:effectExtent l="0" t="0" r="11430" b="12700"/>
                  <wp:docPr id="22" name="图片 22" descr="10保卫室出入口防盗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0保卫室出入口防盗门"/>
                          <pic:cNvPicPr>
                            <a:picLocks noChangeAspect="1"/>
                          </pic:cNvPicPr>
                        </pic:nvPicPr>
                        <pic:blipFill>
                          <a:blip r:embed="rId31"/>
                          <a:stretch>
                            <a:fillRect/>
                          </a:stretch>
                        </pic:blipFill>
                        <pic:spPr>
                          <a:xfrm>
                            <a:off x="0" y="0"/>
                            <a:ext cx="2065020" cy="1549400"/>
                          </a:xfrm>
                          <a:prstGeom prst="rect">
                            <a:avLst/>
                          </a:prstGeom>
                        </pic:spPr>
                      </pic:pic>
                    </a:graphicData>
                  </a:graphic>
                </wp:inline>
              </w:drawing>
            </w:r>
          </w:p>
        </w:tc>
      </w:tr>
      <w:tr w14:paraId="14F3A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vAlign w:val="center"/>
          </w:tcPr>
          <w:p w14:paraId="6AF95332">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3D8107B6">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应急救援预案管理制度</w:t>
            </w:r>
            <w:r>
              <w:rPr>
                <w:rFonts w:hint="eastAsia" w:ascii="宋体" w:hAnsi="宋体" w:cs="宋体"/>
                <w:color w:val="auto"/>
                <w:kern w:val="0"/>
                <w:szCs w:val="21"/>
                <w:highlight w:val="none"/>
                <w:lang w:eastAsia="zh-CN"/>
              </w:rPr>
              <w:t>》中无</w:t>
            </w:r>
            <w:r>
              <w:rPr>
                <w:rFonts w:hint="eastAsia" w:ascii="宋体" w:hAnsi="宋体" w:eastAsia="宋体" w:cs="宋体"/>
                <w:color w:val="auto"/>
                <w:kern w:val="0"/>
                <w:sz w:val="21"/>
                <w:szCs w:val="21"/>
                <w:highlight w:val="none"/>
              </w:rPr>
              <w:t>过氧化二苯甲酰</w:t>
            </w:r>
            <w:r>
              <w:rPr>
                <w:rFonts w:hint="eastAsia" w:ascii="宋体" w:hAnsi="宋体" w:cs="宋体"/>
                <w:color w:val="auto"/>
                <w:kern w:val="0"/>
                <w:sz w:val="21"/>
                <w:szCs w:val="21"/>
                <w:highlight w:val="none"/>
                <w:lang w:eastAsia="zh-CN"/>
              </w:rPr>
              <w:t>泄漏</w:t>
            </w:r>
            <w:r>
              <w:rPr>
                <w:rFonts w:hint="eastAsia" w:ascii="宋体" w:hAnsi="宋体" w:eastAsia="宋体" w:cs="宋体"/>
                <w:color w:val="auto"/>
                <w:kern w:val="0"/>
                <w:sz w:val="21"/>
                <w:szCs w:val="21"/>
                <w:highlight w:val="none"/>
              </w:rPr>
              <w:t>应急处置措施。</w:t>
            </w:r>
          </w:p>
        </w:tc>
        <w:tc>
          <w:tcPr>
            <w:tcW w:w="703" w:type="pct"/>
            <w:tcBorders>
              <w:tl2br w:val="nil"/>
              <w:tr2bl w:val="nil"/>
            </w:tcBorders>
            <w:shd w:val="clear" w:color="auto" w:fill="auto"/>
            <w:vAlign w:val="center"/>
          </w:tcPr>
          <w:p w14:paraId="4CF5055E">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第11.5条</w:t>
            </w:r>
          </w:p>
        </w:tc>
        <w:tc>
          <w:tcPr>
            <w:tcW w:w="1009" w:type="pct"/>
            <w:tcBorders>
              <w:tl2br w:val="nil"/>
              <w:tr2bl w:val="nil"/>
            </w:tcBorders>
            <w:shd w:val="clear" w:color="auto" w:fill="auto"/>
            <w:vAlign w:val="center"/>
          </w:tcPr>
          <w:p w14:paraId="5797DF44">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应急救援预案管理制度</w:t>
            </w:r>
            <w:r>
              <w:rPr>
                <w:rFonts w:hint="eastAsia" w:ascii="宋体" w:hAnsi="宋体" w:cs="宋体"/>
                <w:color w:val="auto"/>
                <w:kern w:val="0"/>
                <w:szCs w:val="21"/>
                <w:highlight w:val="none"/>
                <w:lang w:eastAsia="zh-CN"/>
              </w:rPr>
              <w:t>》中应补充</w:t>
            </w:r>
            <w:r>
              <w:rPr>
                <w:rFonts w:hint="eastAsia" w:ascii="宋体" w:hAnsi="宋体" w:eastAsia="宋体" w:cs="宋体"/>
                <w:color w:val="auto"/>
                <w:kern w:val="0"/>
                <w:sz w:val="21"/>
                <w:szCs w:val="21"/>
                <w:highlight w:val="none"/>
              </w:rPr>
              <w:t>过氧化二苯甲酰</w:t>
            </w:r>
            <w:r>
              <w:rPr>
                <w:rFonts w:hint="eastAsia" w:ascii="宋体" w:hAnsi="宋体" w:cs="宋体"/>
                <w:color w:val="auto"/>
                <w:kern w:val="0"/>
                <w:sz w:val="21"/>
                <w:szCs w:val="21"/>
                <w:highlight w:val="none"/>
                <w:lang w:eastAsia="zh-CN"/>
              </w:rPr>
              <w:t>泄漏</w:t>
            </w:r>
            <w:r>
              <w:rPr>
                <w:rFonts w:hint="eastAsia" w:ascii="宋体" w:hAnsi="宋体" w:eastAsia="宋体" w:cs="宋体"/>
                <w:color w:val="auto"/>
                <w:kern w:val="0"/>
                <w:sz w:val="21"/>
                <w:szCs w:val="21"/>
                <w:highlight w:val="none"/>
              </w:rPr>
              <w:t>应急处置措施。</w:t>
            </w:r>
          </w:p>
        </w:tc>
        <w:tc>
          <w:tcPr>
            <w:tcW w:w="946" w:type="pct"/>
            <w:tcBorders>
              <w:tl2br w:val="nil"/>
              <w:tr2bl w:val="nil"/>
            </w:tcBorders>
            <w:shd w:val="clear" w:color="auto" w:fill="auto"/>
            <w:vAlign w:val="center"/>
          </w:tcPr>
          <w:p w14:paraId="05953897">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应急救援预案管理制度</w:t>
            </w:r>
            <w:r>
              <w:rPr>
                <w:rFonts w:hint="eastAsia" w:ascii="宋体" w:hAnsi="宋体" w:cs="宋体"/>
                <w:color w:val="auto"/>
                <w:kern w:val="0"/>
                <w:szCs w:val="21"/>
                <w:highlight w:val="none"/>
                <w:lang w:eastAsia="zh-CN"/>
              </w:rPr>
              <w:t>》中</w:t>
            </w:r>
            <w:r>
              <w:rPr>
                <w:rFonts w:hint="eastAsia" w:ascii="宋体" w:hAnsi="宋体" w:cs="宋体"/>
                <w:color w:val="auto"/>
                <w:kern w:val="0"/>
                <w:szCs w:val="21"/>
                <w:highlight w:val="none"/>
                <w:lang w:val="en-US" w:eastAsia="zh-CN"/>
              </w:rPr>
              <w:t>已</w:t>
            </w:r>
            <w:r>
              <w:rPr>
                <w:rFonts w:hint="eastAsia" w:ascii="宋体" w:hAnsi="宋体" w:cs="宋体"/>
                <w:color w:val="auto"/>
                <w:kern w:val="0"/>
                <w:szCs w:val="21"/>
                <w:highlight w:val="none"/>
                <w:lang w:eastAsia="zh-CN"/>
              </w:rPr>
              <w:t>补充</w:t>
            </w:r>
            <w:r>
              <w:rPr>
                <w:rFonts w:hint="eastAsia" w:ascii="宋体" w:hAnsi="宋体" w:eastAsia="宋体" w:cs="宋体"/>
                <w:color w:val="auto"/>
                <w:kern w:val="0"/>
                <w:sz w:val="21"/>
                <w:szCs w:val="21"/>
                <w:highlight w:val="none"/>
              </w:rPr>
              <w:t>过氧化二苯甲酰</w:t>
            </w:r>
            <w:r>
              <w:rPr>
                <w:rFonts w:hint="eastAsia" w:ascii="宋体" w:hAnsi="宋体" w:cs="宋体"/>
                <w:color w:val="auto"/>
                <w:kern w:val="0"/>
                <w:sz w:val="21"/>
                <w:szCs w:val="21"/>
                <w:highlight w:val="none"/>
                <w:lang w:eastAsia="zh-CN"/>
              </w:rPr>
              <w:t>泄漏</w:t>
            </w:r>
            <w:r>
              <w:rPr>
                <w:rFonts w:hint="eastAsia" w:ascii="宋体" w:hAnsi="宋体" w:eastAsia="宋体" w:cs="宋体"/>
                <w:color w:val="auto"/>
                <w:kern w:val="0"/>
                <w:sz w:val="21"/>
                <w:szCs w:val="21"/>
                <w:highlight w:val="none"/>
              </w:rPr>
              <w:t>应急处置措施。</w:t>
            </w:r>
          </w:p>
        </w:tc>
        <w:tc>
          <w:tcPr>
            <w:tcW w:w="1173" w:type="pct"/>
            <w:tcBorders>
              <w:tl2br w:val="nil"/>
              <w:tr2bl w:val="nil"/>
            </w:tcBorders>
            <w:shd w:val="clear" w:color="auto" w:fill="auto"/>
            <w:vAlign w:val="center"/>
          </w:tcPr>
          <w:p w14:paraId="1C4E140B">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cs="宋体"/>
                <w:color w:val="auto"/>
                <w:kern w:val="0"/>
                <w:szCs w:val="21"/>
                <w:highlight w:val="none"/>
                <w:lang w:eastAsia="zh-CN"/>
              </w:rPr>
            </w:pPr>
            <w:r>
              <w:rPr>
                <w:color w:val="auto"/>
                <w:highlight w:val="none"/>
              </w:rPr>
              <w:drawing>
                <wp:inline distT="0" distB="0" distL="114300" distR="114300">
                  <wp:extent cx="2018030" cy="2872740"/>
                  <wp:effectExtent l="0" t="0" r="1270" b="3810"/>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r:embed="rId32"/>
                          <a:stretch>
                            <a:fillRect/>
                          </a:stretch>
                        </pic:blipFill>
                        <pic:spPr>
                          <a:xfrm>
                            <a:off x="0" y="0"/>
                            <a:ext cx="2018030" cy="2872740"/>
                          </a:xfrm>
                          <a:prstGeom prst="rect">
                            <a:avLst/>
                          </a:prstGeom>
                          <a:noFill/>
                          <a:ln>
                            <a:noFill/>
                          </a:ln>
                        </pic:spPr>
                      </pic:pic>
                    </a:graphicData>
                  </a:graphic>
                </wp:inline>
              </w:drawing>
            </w:r>
          </w:p>
        </w:tc>
      </w:tr>
      <w:tr w14:paraId="5E75B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vAlign w:val="center"/>
          </w:tcPr>
          <w:p w14:paraId="218F5D84">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16541CE0">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未为危化品仓库作业人员配备</w:t>
            </w:r>
            <w:r>
              <w:rPr>
                <w:rFonts w:hint="eastAsia" w:ascii="宋体" w:hAnsi="宋体" w:cs="宋体"/>
                <w:color w:val="auto"/>
                <w:kern w:val="0"/>
                <w:szCs w:val="21"/>
                <w:highlight w:val="none"/>
              </w:rPr>
              <w:t>安全帽</w:t>
            </w:r>
            <w:r>
              <w:rPr>
                <w:rFonts w:hint="eastAsia" w:ascii="宋体" w:hAnsi="宋体" w:cs="宋体"/>
                <w:color w:val="auto"/>
                <w:kern w:val="0"/>
                <w:szCs w:val="21"/>
                <w:highlight w:val="none"/>
                <w:lang w:eastAsia="zh-CN"/>
              </w:rPr>
              <w:t>、</w:t>
            </w:r>
            <w:r>
              <w:rPr>
                <w:rFonts w:hint="eastAsia" w:ascii="宋体" w:hAnsi="宋体" w:eastAsia="宋体" w:cs="宋体"/>
                <w:color w:val="auto"/>
                <w:kern w:val="0"/>
                <w:sz w:val="21"/>
                <w:szCs w:val="21"/>
                <w:highlight w:val="none"/>
              </w:rPr>
              <w:t>防护眼镜、防静电服、防化学品手套。</w:t>
            </w:r>
          </w:p>
        </w:tc>
        <w:tc>
          <w:tcPr>
            <w:tcW w:w="703" w:type="pct"/>
            <w:tcBorders>
              <w:tl2br w:val="nil"/>
              <w:tr2bl w:val="nil"/>
            </w:tcBorders>
            <w:shd w:val="clear" w:color="auto" w:fill="auto"/>
            <w:vAlign w:val="center"/>
          </w:tcPr>
          <w:p w14:paraId="56131974">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kern w:val="0"/>
                <w:sz w:val="21"/>
                <w:szCs w:val="21"/>
                <w:highlight w:val="none"/>
                <w:lang w:eastAsia="zh-Hans"/>
              </w:rPr>
              <w:t>GB15603-2022</w:t>
            </w:r>
            <w:r>
              <w:rPr>
                <w:rFonts w:hint="eastAsia" w:ascii="宋体" w:hAnsi="宋体" w:eastAsia="宋体" w:cs="宋体"/>
                <w:color w:val="auto"/>
                <w:sz w:val="21"/>
                <w:szCs w:val="21"/>
                <w:highlight w:val="none"/>
                <w:lang w:val="en-US" w:eastAsia="zh-Hans"/>
              </w:rPr>
              <w:t>第</w:t>
            </w:r>
            <w:r>
              <w:rPr>
                <w:rFonts w:hint="eastAsia" w:ascii="宋体" w:hAnsi="宋体" w:eastAsia="宋体" w:cs="宋体"/>
                <w:color w:val="auto"/>
                <w:sz w:val="21"/>
                <w:szCs w:val="21"/>
                <w:highlight w:val="none"/>
              </w:rPr>
              <w:t>11.3.2</w:t>
            </w:r>
            <w:r>
              <w:rPr>
                <w:rFonts w:hint="eastAsia" w:ascii="宋体" w:hAnsi="宋体" w:eastAsia="宋体" w:cs="宋体"/>
                <w:color w:val="auto"/>
                <w:sz w:val="21"/>
                <w:szCs w:val="21"/>
                <w:highlight w:val="none"/>
                <w:lang w:val="en-US" w:eastAsia="zh-Hans"/>
              </w:rPr>
              <w:t>条</w:t>
            </w:r>
          </w:p>
          <w:p w14:paraId="4C9534D2">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《个体防护装备配备规范第1部分：总则》第3.6条</w:t>
            </w:r>
          </w:p>
        </w:tc>
        <w:tc>
          <w:tcPr>
            <w:tcW w:w="1009" w:type="pct"/>
            <w:tcBorders>
              <w:tl2br w:val="nil"/>
              <w:tr2bl w:val="nil"/>
            </w:tcBorders>
            <w:shd w:val="clear" w:color="auto" w:fill="auto"/>
            <w:vAlign w:val="center"/>
          </w:tcPr>
          <w:p w14:paraId="19C42CEC">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应</w:t>
            </w:r>
            <w:r>
              <w:rPr>
                <w:rFonts w:hint="eastAsia" w:ascii="宋体" w:hAnsi="宋体" w:eastAsia="宋体" w:cs="宋体"/>
                <w:color w:val="auto"/>
                <w:kern w:val="0"/>
                <w:sz w:val="21"/>
                <w:szCs w:val="21"/>
                <w:highlight w:val="none"/>
              </w:rPr>
              <w:t>为危化品仓库作业人员配备防护眼镜、防静电服、防化学品手套。</w:t>
            </w:r>
          </w:p>
        </w:tc>
        <w:tc>
          <w:tcPr>
            <w:tcW w:w="946" w:type="pct"/>
            <w:tcBorders>
              <w:tl2br w:val="nil"/>
              <w:tr2bl w:val="nil"/>
            </w:tcBorders>
            <w:shd w:val="clear" w:color="auto" w:fill="auto"/>
            <w:vAlign w:val="center"/>
          </w:tcPr>
          <w:p w14:paraId="61DC2346">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已</w:t>
            </w:r>
            <w:r>
              <w:rPr>
                <w:rFonts w:hint="eastAsia" w:ascii="宋体" w:hAnsi="宋体" w:eastAsia="宋体" w:cs="宋体"/>
                <w:color w:val="auto"/>
                <w:kern w:val="0"/>
                <w:sz w:val="21"/>
                <w:szCs w:val="21"/>
                <w:highlight w:val="none"/>
              </w:rPr>
              <w:t>为危化品仓库作业人员配备防护眼镜、防静电服、防化学品手套。</w:t>
            </w:r>
          </w:p>
        </w:tc>
        <w:tc>
          <w:tcPr>
            <w:tcW w:w="1173" w:type="pct"/>
            <w:tcBorders>
              <w:tl2br w:val="nil"/>
              <w:tr2bl w:val="nil"/>
            </w:tcBorders>
            <w:shd w:val="clear" w:color="auto" w:fill="auto"/>
            <w:vAlign w:val="center"/>
          </w:tcPr>
          <w:p w14:paraId="7DB3E6CA">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drawing>
                <wp:inline distT="0" distB="0" distL="114300" distR="114300">
                  <wp:extent cx="1989455" cy="2653030"/>
                  <wp:effectExtent l="0" t="0" r="10795" b="13970"/>
                  <wp:docPr id="19" name="图片 19" descr="c4f65207e8533dba21ffd7efe793b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4f65207e8533dba21ffd7efe793b76"/>
                          <pic:cNvPicPr>
                            <a:picLocks noChangeAspect="1"/>
                          </pic:cNvPicPr>
                        </pic:nvPicPr>
                        <pic:blipFill>
                          <a:blip r:embed="rId33"/>
                          <a:stretch>
                            <a:fillRect/>
                          </a:stretch>
                        </pic:blipFill>
                        <pic:spPr>
                          <a:xfrm>
                            <a:off x="0" y="0"/>
                            <a:ext cx="1989455" cy="2653030"/>
                          </a:xfrm>
                          <a:prstGeom prst="rect">
                            <a:avLst/>
                          </a:prstGeom>
                        </pic:spPr>
                      </pic:pic>
                    </a:graphicData>
                  </a:graphic>
                </wp:inline>
              </w:drawing>
            </w:r>
          </w:p>
        </w:tc>
      </w:tr>
      <w:tr w14:paraId="2D911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 w:type="pct"/>
            <w:tcBorders>
              <w:tl2br w:val="nil"/>
              <w:tr2bl w:val="nil"/>
            </w:tcBorders>
            <w:shd w:val="clear" w:color="auto" w:fill="auto"/>
            <w:vAlign w:val="center"/>
          </w:tcPr>
          <w:p w14:paraId="552F7F58">
            <w:pPr>
              <w:keepNext w:val="0"/>
              <w:keepLines w:val="0"/>
              <w:pageBreakBefore w:val="0"/>
              <w:widowControl/>
              <w:numPr>
                <w:ilvl w:val="0"/>
                <w:numId w:val="6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947" w:type="pct"/>
            <w:tcBorders>
              <w:tl2br w:val="nil"/>
              <w:tr2bl w:val="nil"/>
            </w:tcBorders>
            <w:shd w:val="clear" w:color="auto" w:fill="auto"/>
            <w:vAlign w:val="center"/>
          </w:tcPr>
          <w:p w14:paraId="0D5FACC0">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危化品仓库防爆电气未定期检查。</w:t>
            </w:r>
          </w:p>
        </w:tc>
        <w:tc>
          <w:tcPr>
            <w:tcW w:w="703" w:type="pct"/>
            <w:tcBorders>
              <w:tl2br w:val="nil"/>
              <w:tr2bl w:val="nil"/>
            </w:tcBorders>
            <w:shd w:val="clear" w:color="auto" w:fill="auto"/>
            <w:vAlign w:val="center"/>
          </w:tcPr>
          <w:p w14:paraId="0ACBC86D">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sz w:val="21"/>
                <w:szCs w:val="21"/>
                <w:highlight w:val="none"/>
              </w:rPr>
              <w:t>AQ3009-2007</w:t>
            </w:r>
            <w:r>
              <w:rPr>
                <w:rFonts w:hint="eastAsia" w:ascii="宋体" w:hAnsi="宋体" w:eastAsia="宋体" w:cs="宋体"/>
                <w:color w:val="auto"/>
                <w:sz w:val="21"/>
                <w:szCs w:val="21"/>
                <w:highlight w:val="none"/>
                <w:lang w:eastAsia="zh-CN"/>
              </w:rPr>
              <w:t>第</w:t>
            </w:r>
            <w:r>
              <w:rPr>
                <w:rFonts w:hint="eastAsia" w:ascii="宋体" w:hAnsi="宋体" w:eastAsia="宋体" w:cs="宋体"/>
                <w:color w:val="auto"/>
                <w:sz w:val="21"/>
                <w:szCs w:val="21"/>
                <w:highlight w:val="none"/>
              </w:rPr>
              <w:t>7.1.3.2</w:t>
            </w:r>
            <w:r>
              <w:rPr>
                <w:rFonts w:hint="eastAsia" w:ascii="宋体" w:hAnsi="宋体" w:eastAsia="宋体" w:cs="宋体"/>
                <w:color w:val="auto"/>
                <w:sz w:val="21"/>
                <w:szCs w:val="21"/>
                <w:highlight w:val="none"/>
                <w:lang w:eastAsia="zh-CN"/>
              </w:rPr>
              <w:t>条</w:t>
            </w:r>
          </w:p>
        </w:tc>
        <w:tc>
          <w:tcPr>
            <w:tcW w:w="1009" w:type="pct"/>
            <w:tcBorders>
              <w:tl2br w:val="nil"/>
              <w:tr2bl w:val="nil"/>
            </w:tcBorders>
            <w:shd w:val="clear" w:color="auto" w:fill="auto"/>
            <w:vAlign w:val="center"/>
          </w:tcPr>
          <w:p w14:paraId="56B5EFCC">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cs="宋体"/>
                <w:color w:val="auto"/>
                <w:sz w:val="21"/>
                <w:szCs w:val="21"/>
                <w:highlight w:val="none"/>
                <w:lang w:eastAsia="zh-CN"/>
              </w:rPr>
              <w:t>应</w:t>
            </w:r>
            <w:r>
              <w:rPr>
                <w:rFonts w:hint="eastAsia" w:ascii="宋体" w:hAnsi="宋体" w:eastAsia="宋体" w:cs="宋体"/>
                <w:color w:val="auto"/>
                <w:sz w:val="21"/>
                <w:szCs w:val="21"/>
                <w:highlight w:val="none"/>
              </w:rPr>
              <w:t>委托具有防爆专业资质的安全生产检测检验机构</w:t>
            </w:r>
            <w:r>
              <w:rPr>
                <w:rFonts w:hint="eastAsia" w:ascii="宋体" w:hAnsi="宋体" w:cs="宋体"/>
                <w:color w:val="auto"/>
                <w:sz w:val="21"/>
                <w:szCs w:val="21"/>
                <w:highlight w:val="none"/>
                <w:lang w:eastAsia="zh-CN"/>
              </w:rPr>
              <w:t>对</w:t>
            </w:r>
            <w:r>
              <w:rPr>
                <w:rFonts w:hint="eastAsia" w:ascii="宋体" w:hAnsi="宋体" w:eastAsia="宋体" w:cs="宋体"/>
                <w:color w:val="auto"/>
                <w:kern w:val="0"/>
                <w:sz w:val="21"/>
                <w:szCs w:val="21"/>
                <w:highlight w:val="none"/>
              </w:rPr>
              <w:t>危化品仓库防爆电气</w:t>
            </w:r>
            <w:r>
              <w:rPr>
                <w:rFonts w:hint="eastAsia" w:ascii="宋体" w:hAnsi="宋体" w:eastAsia="宋体" w:cs="宋体"/>
                <w:color w:val="auto"/>
                <w:sz w:val="21"/>
                <w:szCs w:val="21"/>
                <w:highlight w:val="none"/>
              </w:rPr>
              <w:t>进行</w:t>
            </w:r>
            <w:r>
              <w:rPr>
                <w:rFonts w:hint="eastAsia" w:ascii="宋体" w:hAnsi="宋体" w:eastAsia="宋体" w:cs="宋体"/>
                <w:color w:val="auto"/>
                <w:kern w:val="0"/>
                <w:sz w:val="21"/>
                <w:szCs w:val="21"/>
                <w:highlight w:val="none"/>
              </w:rPr>
              <w:t>定期检查。</w:t>
            </w:r>
          </w:p>
        </w:tc>
        <w:tc>
          <w:tcPr>
            <w:tcW w:w="946" w:type="pct"/>
            <w:tcBorders>
              <w:tl2br w:val="nil"/>
              <w:tr2bl w:val="nil"/>
            </w:tcBorders>
            <w:shd w:val="clear" w:color="auto" w:fill="auto"/>
            <w:vAlign w:val="center"/>
          </w:tcPr>
          <w:p w14:paraId="169A77C5">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已</w:t>
            </w:r>
            <w:r>
              <w:rPr>
                <w:rFonts w:hint="eastAsia" w:ascii="宋体" w:hAnsi="宋体" w:eastAsia="宋体" w:cs="宋体"/>
                <w:color w:val="auto"/>
                <w:sz w:val="21"/>
                <w:szCs w:val="21"/>
                <w:highlight w:val="none"/>
              </w:rPr>
              <w:t>委托具有防爆专业资质的安全生产检测检验机构</w:t>
            </w:r>
            <w:r>
              <w:rPr>
                <w:rFonts w:hint="eastAsia" w:ascii="宋体" w:hAnsi="宋体" w:cs="宋体"/>
                <w:color w:val="auto"/>
                <w:sz w:val="21"/>
                <w:szCs w:val="21"/>
                <w:highlight w:val="none"/>
                <w:lang w:eastAsia="zh-CN"/>
              </w:rPr>
              <w:t>对</w:t>
            </w:r>
            <w:r>
              <w:rPr>
                <w:rFonts w:hint="eastAsia" w:ascii="宋体" w:hAnsi="宋体" w:eastAsia="宋体" w:cs="宋体"/>
                <w:color w:val="auto"/>
                <w:kern w:val="0"/>
                <w:sz w:val="21"/>
                <w:szCs w:val="21"/>
                <w:highlight w:val="none"/>
              </w:rPr>
              <w:t>危化品仓库防爆电气</w:t>
            </w:r>
            <w:r>
              <w:rPr>
                <w:rFonts w:hint="eastAsia" w:ascii="宋体" w:hAnsi="宋体" w:eastAsia="宋体" w:cs="宋体"/>
                <w:color w:val="auto"/>
                <w:sz w:val="21"/>
                <w:szCs w:val="21"/>
                <w:highlight w:val="none"/>
              </w:rPr>
              <w:t>进行</w:t>
            </w:r>
            <w:r>
              <w:rPr>
                <w:rFonts w:hint="eastAsia" w:ascii="宋体" w:hAnsi="宋体" w:eastAsia="宋体" w:cs="宋体"/>
                <w:color w:val="auto"/>
                <w:sz w:val="21"/>
                <w:szCs w:val="21"/>
                <w:highlight w:val="none"/>
                <w:lang w:val="en-US" w:eastAsia="zh-CN"/>
              </w:rPr>
              <w:t>检测</w:t>
            </w:r>
            <w:r>
              <w:rPr>
                <w:rFonts w:hint="eastAsia" w:ascii="宋体" w:hAnsi="宋体" w:eastAsia="宋体" w:cs="宋体"/>
                <w:color w:val="auto"/>
                <w:kern w:val="0"/>
                <w:sz w:val="21"/>
                <w:szCs w:val="21"/>
                <w:highlight w:val="none"/>
              </w:rPr>
              <w:t>。</w:t>
            </w:r>
          </w:p>
        </w:tc>
        <w:tc>
          <w:tcPr>
            <w:tcW w:w="1173" w:type="pct"/>
            <w:tcBorders>
              <w:tl2br w:val="nil"/>
              <w:tr2bl w:val="nil"/>
            </w:tcBorders>
            <w:shd w:val="clear" w:color="auto" w:fill="auto"/>
            <w:vAlign w:val="center"/>
          </w:tcPr>
          <w:p w14:paraId="3AF8CB3F">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sz w:val="21"/>
                <w:szCs w:val="21"/>
                <w:highlight w:val="none"/>
                <w:lang w:val="en-US" w:eastAsia="zh-CN"/>
              </w:rPr>
            </w:pPr>
            <w:r>
              <w:rPr>
                <w:color w:val="auto"/>
                <w:highlight w:val="none"/>
              </w:rPr>
              <w:drawing>
                <wp:inline distT="0" distB="0" distL="114300" distR="114300">
                  <wp:extent cx="2018030" cy="2656840"/>
                  <wp:effectExtent l="0" t="0" r="1270" b="10160"/>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34"/>
                          <a:stretch>
                            <a:fillRect/>
                          </a:stretch>
                        </pic:blipFill>
                        <pic:spPr>
                          <a:xfrm>
                            <a:off x="0" y="0"/>
                            <a:ext cx="2018030" cy="2656840"/>
                          </a:xfrm>
                          <a:prstGeom prst="rect">
                            <a:avLst/>
                          </a:prstGeom>
                          <a:noFill/>
                          <a:ln>
                            <a:noFill/>
                          </a:ln>
                        </pic:spPr>
                      </pic:pic>
                    </a:graphicData>
                  </a:graphic>
                </wp:inline>
              </w:drawing>
            </w:r>
          </w:p>
        </w:tc>
      </w:tr>
    </w:tbl>
    <w:p w14:paraId="588E4EB4">
      <w:pPr>
        <w:adjustRightInd w:val="0"/>
        <w:snapToGrid w:val="0"/>
        <w:spacing w:before="157" w:beforeLines="50" w:afterLines="0" w:line="360" w:lineRule="auto"/>
        <w:jc w:val="left"/>
        <w:outlineLvl w:val="1"/>
        <w:rPr>
          <w:rFonts w:ascii="黑体" w:hAnsi="黑体" w:eastAsia="黑体" w:cs="Times New Roman"/>
          <w:b/>
          <w:color w:val="auto"/>
          <w:sz w:val="28"/>
          <w:szCs w:val="28"/>
          <w:highlight w:val="none"/>
        </w:rPr>
        <w:sectPr>
          <w:footerReference r:id="rId15" w:type="default"/>
          <w:pgSz w:w="16838" w:h="11906" w:orient="landscape"/>
          <w:pgMar w:top="1588" w:right="1418" w:bottom="1134" w:left="1134" w:header="794" w:footer="794" w:gutter="0"/>
          <w:pgBorders>
            <w:top w:val="none" w:sz="0" w:space="0"/>
            <w:left w:val="none" w:sz="0" w:space="0"/>
            <w:bottom w:val="none" w:sz="0" w:space="0"/>
            <w:right w:val="none" w:sz="0" w:space="0"/>
          </w:pgBorders>
          <w:cols w:space="425" w:num="1"/>
          <w:docGrid w:type="lines" w:linePitch="312" w:charSpace="0"/>
        </w:sectPr>
      </w:pPr>
      <w:bookmarkStart w:id="1932" w:name="_Toc12658"/>
      <w:bookmarkStart w:id="1933" w:name="_Toc5422"/>
      <w:bookmarkStart w:id="1934" w:name="_Toc3319"/>
      <w:bookmarkStart w:id="1935" w:name="_Toc60846657"/>
      <w:bookmarkStart w:id="1936" w:name="_Toc10339"/>
      <w:bookmarkStart w:id="1937" w:name="_Toc17274"/>
      <w:bookmarkStart w:id="1938" w:name="_Toc498075637"/>
      <w:bookmarkStart w:id="1939" w:name="_Toc12163"/>
      <w:bookmarkStart w:id="1940" w:name="_Toc23955"/>
      <w:bookmarkStart w:id="1941" w:name="_Toc12089"/>
      <w:bookmarkStart w:id="1942" w:name="_Toc20006"/>
      <w:bookmarkStart w:id="1943" w:name="_Toc11833"/>
      <w:bookmarkStart w:id="1944" w:name="_Toc28659"/>
    </w:p>
    <w:p w14:paraId="04B2922D">
      <w:pPr>
        <w:adjustRightInd w:val="0"/>
        <w:snapToGrid w:val="0"/>
        <w:spacing w:before="157" w:beforeLines="50" w:afterLines="0" w:line="360" w:lineRule="auto"/>
        <w:jc w:val="left"/>
        <w:outlineLvl w:val="1"/>
        <w:rPr>
          <w:rFonts w:ascii="黑体" w:hAnsi="黑体" w:eastAsia="黑体" w:cs="Times New Roman"/>
          <w:b/>
          <w:color w:val="auto"/>
          <w:sz w:val="28"/>
          <w:szCs w:val="28"/>
          <w:highlight w:val="none"/>
        </w:rPr>
      </w:pPr>
      <w:bookmarkStart w:id="1945" w:name="_Toc14270"/>
      <w:bookmarkStart w:id="1946" w:name="_Toc2104"/>
      <w:bookmarkStart w:id="1947" w:name="_Toc31591"/>
      <w:bookmarkStart w:id="1948" w:name="_Toc25760"/>
      <w:bookmarkStart w:id="1949" w:name="_Toc18074"/>
      <w:bookmarkStart w:id="1950" w:name="_Toc21143"/>
      <w:r>
        <w:rPr>
          <w:rFonts w:ascii="黑体" w:hAnsi="黑体" w:eastAsia="黑体" w:cs="Times New Roman"/>
          <w:b/>
          <w:color w:val="auto"/>
          <w:sz w:val="28"/>
          <w:szCs w:val="28"/>
          <w:highlight w:val="none"/>
        </w:rPr>
        <w:t>6.</w:t>
      </w:r>
      <w:r>
        <w:rPr>
          <w:rFonts w:hint="eastAsia" w:ascii="黑体" w:hAnsi="黑体" w:eastAsia="黑体" w:cs="Times New Roman"/>
          <w:b/>
          <w:color w:val="auto"/>
          <w:sz w:val="28"/>
          <w:szCs w:val="28"/>
          <w:highlight w:val="none"/>
          <w:lang w:val="en-US" w:eastAsia="zh-CN"/>
        </w:rPr>
        <w:t>2</w:t>
      </w:r>
      <w:r>
        <w:rPr>
          <w:rFonts w:ascii="黑体" w:hAnsi="黑体" w:eastAsia="黑体" w:cs="Times New Roman"/>
          <w:b/>
          <w:color w:val="auto"/>
          <w:sz w:val="28"/>
          <w:szCs w:val="28"/>
          <w:highlight w:val="none"/>
        </w:rPr>
        <w:t xml:space="preserve"> 建议</w:t>
      </w:r>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p>
    <w:p w14:paraId="05578370">
      <w:pPr>
        <w:pStyle w:val="690"/>
        <w:numPr>
          <w:ilvl w:val="0"/>
          <w:numId w:val="70"/>
        </w:numPr>
        <w:ind w:left="0" w:leftChars="0" w:firstLine="560" w:firstLineChars="200"/>
        <w:rPr>
          <w:rFonts w:hint="eastAsia"/>
          <w:color w:val="auto"/>
          <w:highlight w:val="none"/>
        </w:rPr>
      </w:pPr>
      <w:r>
        <w:rPr>
          <w:rFonts w:hint="eastAsia"/>
          <w:color w:val="auto"/>
          <w:highlight w:val="none"/>
          <w:lang w:eastAsia="zh-CN"/>
        </w:rPr>
        <w:t>建议</w:t>
      </w:r>
      <w:r>
        <w:rPr>
          <w:rFonts w:hint="eastAsia"/>
          <w:color w:val="auto"/>
          <w:highlight w:val="none"/>
        </w:rPr>
        <w:t>2号仓储门口</w:t>
      </w:r>
      <w:r>
        <w:rPr>
          <w:rFonts w:hint="eastAsia"/>
          <w:color w:val="auto"/>
          <w:highlight w:val="none"/>
          <w:lang w:eastAsia="zh-CN"/>
        </w:rPr>
        <w:t>设置防爆型人体静电消除器。</w:t>
      </w:r>
    </w:p>
    <w:p w14:paraId="6A21CF8F">
      <w:pPr>
        <w:pStyle w:val="690"/>
        <w:numPr>
          <w:ilvl w:val="0"/>
          <w:numId w:val="70"/>
        </w:numPr>
        <w:ind w:left="0" w:leftChars="0" w:firstLine="560" w:firstLineChars="200"/>
        <w:rPr>
          <w:rFonts w:hint="eastAsia"/>
          <w:color w:val="auto"/>
          <w:highlight w:val="none"/>
        </w:rPr>
      </w:pPr>
      <w:r>
        <w:rPr>
          <w:rFonts w:hint="eastAsia"/>
          <w:color w:val="auto"/>
          <w:highlight w:val="none"/>
          <w:lang w:eastAsia="zh-CN"/>
        </w:rPr>
        <w:t>建议参照</w:t>
      </w:r>
      <w:r>
        <w:rPr>
          <w:rFonts w:hint="eastAsia"/>
          <w:color w:val="auto"/>
          <w:highlight w:val="none"/>
        </w:rPr>
        <w:t>《危险化学品单位应急救援物资配备要求》GB30077-2013</w:t>
      </w:r>
      <w:r>
        <w:rPr>
          <w:rFonts w:hint="eastAsia"/>
          <w:color w:val="auto"/>
          <w:highlight w:val="none"/>
          <w:lang w:eastAsia="zh-CN"/>
        </w:rPr>
        <w:t>配备</w:t>
      </w:r>
      <w:r>
        <w:rPr>
          <w:rFonts w:hint="eastAsia"/>
          <w:color w:val="auto"/>
          <w:highlight w:val="none"/>
        </w:rPr>
        <w:t>应急救援物资</w:t>
      </w:r>
      <w:r>
        <w:rPr>
          <w:rFonts w:hint="eastAsia"/>
          <w:color w:val="auto"/>
          <w:highlight w:val="none"/>
          <w:lang w:eastAsia="zh-CN"/>
        </w:rPr>
        <w:t>，补充配备</w:t>
      </w:r>
      <w:r>
        <w:rPr>
          <w:rFonts w:hint="eastAsia"/>
          <w:color w:val="auto"/>
          <w:highlight w:val="none"/>
        </w:rPr>
        <w:t>化学防护服</w:t>
      </w:r>
      <w:r>
        <w:rPr>
          <w:rFonts w:hint="eastAsia"/>
          <w:color w:val="auto"/>
          <w:highlight w:val="none"/>
          <w:lang w:eastAsia="zh-CN"/>
        </w:rPr>
        <w:t>、</w:t>
      </w:r>
      <w:r>
        <w:rPr>
          <w:rFonts w:hint="eastAsia"/>
          <w:color w:val="auto"/>
          <w:highlight w:val="none"/>
        </w:rPr>
        <w:t>电筒、对讲机、急救箱或急救包</w:t>
      </w:r>
      <w:r>
        <w:rPr>
          <w:rFonts w:hint="eastAsia"/>
          <w:color w:val="auto"/>
          <w:highlight w:val="none"/>
          <w:lang w:eastAsia="zh-CN"/>
        </w:rPr>
        <w:t>、</w:t>
      </w:r>
      <w:r>
        <w:rPr>
          <w:rFonts w:hint="eastAsia"/>
          <w:color w:val="auto"/>
          <w:highlight w:val="none"/>
        </w:rPr>
        <w:t>防静电内衣、佩戴式防爆照明灯、消防腰斧</w:t>
      </w:r>
      <w:r>
        <w:rPr>
          <w:rFonts w:hint="eastAsia"/>
          <w:color w:val="auto"/>
          <w:highlight w:val="none"/>
          <w:lang w:eastAsia="zh-CN"/>
        </w:rPr>
        <w:t>等</w:t>
      </w:r>
      <w:r>
        <w:rPr>
          <w:rFonts w:hint="eastAsia"/>
          <w:color w:val="auto"/>
          <w:highlight w:val="none"/>
        </w:rPr>
        <w:t>。</w:t>
      </w:r>
    </w:p>
    <w:p w14:paraId="02E900C9">
      <w:pPr>
        <w:pStyle w:val="690"/>
        <w:numPr>
          <w:ilvl w:val="0"/>
          <w:numId w:val="70"/>
        </w:numPr>
        <w:ind w:left="0" w:firstLine="560"/>
        <w:rPr>
          <w:rFonts w:hint="eastAsia"/>
          <w:color w:val="auto"/>
          <w:highlight w:val="none"/>
        </w:rPr>
      </w:pPr>
      <w:r>
        <w:rPr>
          <w:rFonts w:hint="eastAsia"/>
          <w:color w:val="auto"/>
          <w:highlight w:val="none"/>
          <w:lang w:eastAsia="zh-CN"/>
        </w:rPr>
        <w:t>建议企业加强危化品仓库爆炸危险区域范围内的安全管理。</w:t>
      </w:r>
    </w:p>
    <w:p w14:paraId="26D788FF">
      <w:pPr>
        <w:pStyle w:val="690"/>
        <w:numPr>
          <w:ilvl w:val="0"/>
          <w:numId w:val="70"/>
        </w:numPr>
        <w:ind w:left="0" w:firstLine="560"/>
        <w:rPr>
          <w:rFonts w:hint="eastAsia"/>
          <w:color w:val="auto"/>
          <w:highlight w:val="none"/>
        </w:rPr>
      </w:pPr>
      <w:r>
        <w:rPr>
          <w:rFonts w:hint="eastAsia"/>
          <w:color w:val="auto"/>
          <w:highlight w:val="none"/>
        </w:rPr>
        <w:t>建议企业根据危化品储存的实际情况，对</w:t>
      </w:r>
      <w:r>
        <w:rPr>
          <w:rFonts w:hint="eastAsia"/>
          <w:color w:val="auto"/>
          <w:highlight w:val="none"/>
          <w:lang w:eastAsia="zh-CN"/>
        </w:rPr>
        <w:t>制定</w:t>
      </w:r>
      <w:r>
        <w:rPr>
          <w:rFonts w:hint="eastAsia"/>
          <w:color w:val="auto"/>
          <w:highlight w:val="none"/>
        </w:rPr>
        <w:t>的各项安全管理制度进行不断完善和补充。</w:t>
      </w:r>
    </w:p>
    <w:p w14:paraId="2DE79280">
      <w:pPr>
        <w:pStyle w:val="690"/>
        <w:numPr>
          <w:ilvl w:val="0"/>
          <w:numId w:val="70"/>
        </w:numPr>
        <w:ind w:left="0" w:firstLine="560"/>
        <w:rPr>
          <w:rFonts w:hint="eastAsia"/>
          <w:color w:val="auto"/>
          <w:highlight w:val="none"/>
        </w:rPr>
      </w:pPr>
      <w:r>
        <w:rPr>
          <w:rFonts w:hint="eastAsia"/>
          <w:color w:val="auto"/>
          <w:highlight w:val="none"/>
          <w:lang w:eastAsia="zh-CN"/>
        </w:rPr>
        <w:t>建议企业加强取样等环节的管理，加强铜制开桶扳手管理，</w:t>
      </w:r>
      <w:r>
        <w:rPr>
          <w:rFonts w:hint="eastAsia"/>
          <w:color w:val="auto"/>
          <w:highlight w:val="none"/>
        </w:rPr>
        <w:t>库房内严禁分（换）装、拆分、开箱（袋）、开桶（瓶）和调配等作业。</w:t>
      </w:r>
    </w:p>
    <w:p w14:paraId="456F66BD">
      <w:pPr>
        <w:pStyle w:val="690"/>
        <w:numPr>
          <w:ilvl w:val="0"/>
          <w:numId w:val="70"/>
        </w:numPr>
        <w:ind w:left="0" w:firstLine="560"/>
        <w:rPr>
          <w:rFonts w:hint="eastAsia"/>
          <w:color w:val="auto"/>
          <w:highlight w:val="none"/>
        </w:rPr>
      </w:pPr>
      <w:r>
        <w:rPr>
          <w:rFonts w:hint="eastAsia"/>
          <w:color w:val="auto"/>
          <w:highlight w:val="none"/>
        </w:rPr>
        <w:t>建议企业</w:t>
      </w:r>
      <w:r>
        <w:rPr>
          <w:rFonts w:hint="eastAsia"/>
          <w:color w:val="auto"/>
          <w:highlight w:val="none"/>
          <w:lang w:eastAsia="zh-CN"/>
        </w:rPr>
        <w:t>加强</w:t>
      </w:r>
      <w:r>
        <w:rPr>
          <w:rFonts w:hint="eastAsia"/>
          <w:color w:val="auto"/>
          <w:highlight w:val="none"/>
        </w:rPr>
        <w:t>危险化学品，应定期检查，发现包装破损、渗漏应及时处理。</w:t>
      </w:r>
    </w:p>
    <w:p w14:paraId="55F258CF">
      <w:pPr>
        <w:pStyle w:val="690"/>
        <w:numPr>
          <w:ilvl w:val="0"/>
          <w:numId w:val="70"/>
        </w:numPr>
        <w:ind w:left="0" w:firstLine="560"/>
        <w:rPr>
          <w:rFonts w:hint="eastAsia"/>
          <w:color w:val="auto"/>
          <w:highlight w:val="none"/>
        </w:rPr>
      </w:pPr>
      <w:r>
        <w:rPr>
          <w:rFonts w:hint="eastAsia"/>
          <w:color w:val="auto"/>
          <w:highlight w:val="none"/>
        </w:rPr>
        <w:t>建议企业</w:t>
      </w:r>
      <w:r>
        <w:rPr>
          <w:rFonts w:hint="eastAsia"/>
          <w:color w:val="auto"/>
          <w:highlight w:val="none"/>
          <w:lang w:eastAsia="zh-CN"/>
        </w:rPr>
        <w:t>加强危化品仓库应急处置培训和演练，</w:t>
      </w:r>
      <w:r>
        <w:rPr>
          <w:rFonts w:hint="eastAsia"/>
          <w:color w:val="auto"/>
          <w:highlight w:val="none"/>
        </w:rPr>
        <w:t>如果仓库中发生易燃液体泄漏，应及时使用不产生火花的工具收集，在收集过程中导除静电，防止次生火灾发生。</w:t>
      </w:r>
    </w:p>
    <w:p w14:paraId="631456C6">
      <w:pPr>
        <w:pStyle w:val="690"/>
        <w:numPr>
          <w:ilvl w:val="0"/>
          <w:numId w:val="70"/>
        </w:numPr>
        <w:ind w:left="0" w:firstLine="560"/>
        <w:rPr>
          <w:rFonts w:hint="eastAsia"/>
          <w:color w:val="auto"/>
          <w:highlight w:val="none"/>
        </w:rPr>
      </w:pPr>
      <w:r>
        <w:rPr>
          <w:rFonts w:hint="eastAsia"/>
          <w:color w:val="auto"/>
          <w:highlight w:val="none"/>
        </w:rPr>
        <w:t>建议企业定期巡检过氧化二苯甲酰、过氧化甲乙酮及过氧化氢溶液的储存场所，确保储存区备有合适的材料收容泄漏物，且应保证过氧化氢溶液防流散托盘或设施完好。</w:t>
      </w:r>
    </w:p>
    <w:p w14:paraId="1D481265">
      <w:pPr>
        <w:pStyle w:val="690"/>
        <w:numPr>
          <w:ilvl w:val="0"/>
          <w:numId w:val="70"/>
        </w:numPr>
        <w:ind w:left="0" w:firstLine="560"/>
        <w:rPr>
          <w:rFonts w:hint="eastAsia"/>
          <w:color w:val="auto"/>
          <w:highlight w:val="none"/>
        </w:rPr>
      </w:pPr>
      <w:r>
        <w:rPr>
          <w:rFonts w:hint="eastAsia"/>
          <w:color w:val="auto"/>
          <w:highlight w:val="none"/>
        </w:rPr>
        <w:t>建议企业按照《生产经营单位生产安全事故应急预案编制导则》GB/T29639-2020修订生产安全事故应急预案。</w:t>
      </w:r>
    </w:p>
    <w:p w14:paraId="18C24E64">
      <w:pPr>
        <w:pStyle w:val="690"/>
        <w:numPr>
          <w:ilvl w:val="0"/>
          <w:numId w:val="70"/>
        </w:numPr>
        <w:ind w:left="0" w:firstLine="560"/>
        <w:rPr>
          <w:rFonts w:hint="eastAsia"/>
          <w:color w:val="auto"/>
          <w:highlight w:val="none"/>
        </w:rPr>
      </w:pPr>
      <w:r>
        <w:rPr>
          <w:rFonts w:hint="eastAsia"/>
          <w:color w:val="auto"/>
          <w:highlight w:val="none"/>
        </w:rPr>
        <w:t>危化品仓库二楼以上不得存放任何物品，切实空置。</w:t>
      </w:r>
    </w:p>
    <w:p w14:paraId="5A9788B4">
      <w:pPr>
        <w:pStyle w:val="690"/>
        <w:numPr>
          <w:ilvl w:val="0"/>
          <w:numId w:val="70"/>
        </w:numPr>
        <w:ind w:left="0" w:firstLine="560"/>
        <w:rPr>
          <w:rFonts w:hint="eastAsia"/>
          <w:color w:val="auto"/>
          <w:highlight w:val="none"/>
        </w:rPr>
      </w:pPr>
      <w:r>
        <w:rPr>
          <w:rFonts w:hint="eastAsia"/>
          <w:color w:val="auto"/>
          <w:highlight w:val="none"/>
          <w:lang w:eastAsia="zh-CN"/>
        </w:rPr>
        <w:t>建议</w:t>
      </w:r>
      <w:r>
        <w:rPr>
          <w:rFonts w:hint="eastAsia"/>
          <w:color w:val="auto"/>
          <w:highlight w:val="none"/>
        </w:rPr>
        <w:t>企业与危化品供货商签订安全协议，明确安全职责。</w:t>
      </w:r>
    </w:p>
    <w:p w14:paraId="73D775A3">
      <w:pPr>
        <w:pStyle w:val="93"/>
        <w:tabs>
          <w:tab w:val="left" w:pos="840"/>
        </w:tabs>
        <w:adjustRightInd w:val="0"/>
        <w:snapToGrid w:val="0"/>
        <w:spacing w:line="360" w:lineRule="auto"/>
        <w:ind w:firstLine="560"/>
        <w:rPr>
          <w:rFonts w:ascii="宋体" w:hAnsi="宋体" w:cs="Times New Roman"/>
          <w:color w:val="auto"/>
          <w:sz w:val="28"/>
          <w:szCs w:val="28"/>
          <w:highlight w:val="none"/>
        </w:rPr>
      </w:pPr>
    </w:p>
    <w:p w14:paraId="6D45DCA3">
      <w:pPr>
        <w:pageBreakBefore/>
        <w:adjustRightInd w:val="0"/>
        <w:snapToGrid w:val="0"/>
        <w:spacing w:beforeLines="100" w:afterLines="100" w:line="360" w:lineRule="auto"/>
        <w:jc w:val="center"/>
        <w:outlineLvl w:val="0"/>
        <w:rPr>
          <w:rFonts w:hint="eastAsia" w:ascii="黑体" w:hAnsi="黑体" w:eastAsia="黑体" w:cs="黑体"/>
          <w:b/>
          <w:color w:val="auto"/>
          <w:sz w:val="32"/>
          <w:szCs w:val="32"/>
          <w:highlight w:val="none"/>
        </w:rPr>
      </w:pPr>
      <w:bookmarkStart w:id="1951" w:name="_Toc22314"/>
      <w:bookmarkStart w:id="1952" w:name="_Toc18506"/>
      <w:bookmarkStart w:id="1953" w:name="_Toc22055"/>
      <w:bookmarkStart w:id="1954" w:name="_Toc12345"/>
      <w:bookmarkStart w:id="1955" w:name="_Toc10875"/>
      <w:bookmarkStart w:id="1956" w:name="_Toc31587"/>
      <w:bookmarkStart w:id="1957" w:name="_Toc14283"/>
      <w:bookmarkStart w:id="1958" w:name="_Toc8386"/>
      <w:bookmarkStart w:id="1959" w:name="_Toc26522"/>
      <w:bookmarkStart w:id="1960" w:name="_Toc2199"/>
      <w:bookmarkStart w:id="1961" w:name="_Toc5461"/>
      <w:bookmarkStart w:id="1962" w:name="_Toc3657"/>
      <w:bookmarkStart w:id="1963" w:name="_Toc404861672"/>
      <w:bookmarkStart w:id="1964" w:name="_Toc20881"/>
      <w:bookmarkStart w:id="1965" w:name="_Toc27563"/>
      <w:bookmarkStart w:id="1966" w:name="_Toc498075638"/>
      <w:bookmarkStart w:id="1967" w:name="_Toc60846658"/>
      <w:bookmarkStart w:id="1968" w:name="_Toc26081"/>
      <w:bookmarkStart w:id="1969" w:name="_Toc4782"/>
      <w:bookmarkStart w:id="1970" w:name="_Toc24381"/>
      <w:bookmarkStart w:id="1971" w:name="_Toc151117938"/>
      <w:r>
        <w:rPr>
          <w:rFonts w:hint="eastAsia" w:ascii="黑体" w:hAnsi="黑体" w:eastAsia="黑体" w:cs="黑体"/>
          <w:b/>
          <w:color w:val="auto"/>
          <w:sz w:val="32"/>
          <w:szCs w:val="32"/>
          <w:highlight w:val="none"/>
        </w:rPr>
        <w:t>7 安全评价结论</w:t>
      </w:r>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p>
    <w:p w14:paraId="6B3E1D90">
      <w:pPr>
        <w:adjustRightInd w:val="0"/>
        <w:snapToGrid w:val="0"/>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通过对浙江伟星实业发展股份有限公司临海钮扣分公司危化品仓库的现状安全评价，评价小组得出以下结论：</w:t>
      </w:r>
    </w:p>
    <w:p w14:paraId="17235669">
      <w:pPr>
        <w:pStyle w:val="93"/>
        <w:numPr>
          <w:ilvl w:val="0"/>
          <w:numId w:val="71"/>
        </w:numPr>
        <w:adjustRightInd w:val="0"/>
        <w:snapToGrid w:val="0"/>
        <w:spacing w:line="360" w:lineRule="auto"/>
        <w:ind w:left="0" w:firstLine="420" w:firstLineChars="0"/>
        <w:rPr>
          <w:rFonts w:hint="eastAsia" w:ascii="宋体" w:hAnsi="宋体" w:cs="宋体"/>
          <w:color w:val="auto"/>
          <w:sz w:val="28"/>
          <w:szCs w:val="28"/>
          <w:highlight w:val="none"/>
        </w:rPr>
      </w:pPr>
      <w:r>
        <w:rPr>
          <w:rFonts w:hint="eastAsia" w:ascii="宋体" w:hAnsi="宋体" w:cs="宋体"/>
          <w:color w:val="auto"/>
          <w:sz w:val="28"/>
          <w:szCs w:val="28"/>
          <w:highlight w:val="none"/>
          <w:lang w:eastAsia="zh-CN"/>
        </w:rPr>
        <w:t>危化品仓库储存的</w:t>
      </w:r>
      <w:r>
        <w:rPr>
          <w:rFonts w:hint="eastAsia" w:ascii="宋体" w:hAnsi="宋体" w:cs="宋体"/>
          <w:color w:val="auto"/>
          <w:sz w:val="28"/>
          <w:szCs w:val="28"/>
          <w:highlight w:val="none"/>
        </w:rPr>
        <w:t>六亚甲基四胺</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rPr>
        <w:t>盐酸、过氧化甲乙酮、过氧化二苯甲酰、双氧水、</w:t>
      </w:r>
      <w:r>
        <w:rPr>
          <w:rFonts w:hint="eastAsia" w:ascii="宋体" w:hAnsi="宋体" w:cs="宋体"/>
          <w:color w:val="auto"/>
          <w:kern w:val="2"/>
          <w:sz w:val="28"/>
          <w:szCs w:val="28"/>
          <w:highlight w:val="none"/>
          <w:lang w:eastAsia="zh-CN"/>
        </w:rPr>
        <w:t>硝酸银、</w:t>
      </w:r>
      <w:r>
        <w:rPr>
          <w:rFonts w:hint="eastAsia" w:ascii="宋体" w:hAnsi="宋体" w:eastAsia="宋体" w:cs="宋体"/>
          <w:color w:val="auto"/>
          <w:sz w:val="28"/>
          <w:szCs w:val="28"/>
          <w:highlight w:val="none"/>
        </w:rPr>
        <w:t>丙酮、苯乙</w:t>
      </w:r>
      <w:r>
        <w:rPr>
          <w:rFonts w:hint="eastAsia" w:ascii="宋体" w:hAnsi="宋体" w:cs="宋体"/>
          <w:color w:val="auto"/>
          <w:sz w:val="28"/>
          <w:szCs w:val="28"/>
          <w:highlight w:val="none"/>
          <w:lang w:eastAsia="zh-CN"/>
        </w:rPr>
        <w:t>烯</w:t>
      </w:r>
      <w:r>
        <w:rPr>
          <w:rFonts w:hint="eastAsia" w:ascii="宋体" w:hAnsi="宋体" w:eastAsia="宋体" w:cs="宋体"/>
          <w:color w:val="auto"/>
          <w:sz w:val="28"/>
          <w:szCs w:val="28"/>
          <w:highlight w:val="none"/>
        </w:rPr>
        <w:t>、油漆、</w:t>
      </w:r>
      <w:r>
        <w:rPr>
          <w:rFonts w:hint="eastAsia" w:ascii="宋体" w:hAnsi="宋体" w:cs="宋体"/>
          <w:color w:val="auto"/>
          <w:sz w:val="28"/>
          <w:szCs w:val="28"/>
          <w:highlight w:val="none"/>
          <w:lang w:eastAsia="zh-CN"/>
        </w:rPr>
        <w:t>油漆</w:t>
      </w:r>
      <w:r>
        <w:rPr>
          <w:rFonts w:hint="eastAsia" w:ascii="宋体" w:hAnsi="宋体" w:eastAsia="宋体" w:cs="宋体"/>
          <w:color w:val="auto"/>
          <w:sz w:val="28"/>
          <w:szCs w:val="28"/>
          <w:highlight w:val="none"/>
        </w:rPr>
        <w:t>稀释剂</w:t>
      </w:r>
      <w:r>
        <w:rPr>
          <w:rFonts w:hint="eastAsia" w:ascii="宋体" w:hAnsi="宋体" w:eastAsia="宋体" w:cs="宋体"/>
          <w:color w:val="auto"/>
          <w:sz w:val="28"/>
          <w:szCs w:val="28"/>
          <w:highlight w:val="none"/>
          <w:lang w:eastAsia="zh-CN"/>
        </w:rPr>
        <w:t>和</w:t>
      </w:r>
      <w:r>
        <w:rPr>
          <w:rFonts w:hint="eastAsia" w:ascii="宋体" w:hAnsi="宋体" w:cs="宋体"/>
          <w:color w:val="auto"/>
          <w:sz w:val="28"/>
          <w:szCs w:val="28"/>
          <w:highlight w:val="none"/>
          <w:lang w:eastAsia="zh-CN"/>
        </w:rPr>
        <w:t>油漆</w:t>
      </w:r>
      <w:r>
        <w:rPr>
          <w:rFonts w:hint="eastAsia" w:ascii="宋体" w:hAnsi="宋体" w:eastAsia="宋体" w:cs="宋体"/>
          <w:color w:val="auto"/>
          <w:sz w:val="28"/>
          <w:szCs w:val="28"/>
          <w:highlight w:val="none"/>
        </w:rPr>
        <w:t>固化剂</w:t>
      </w:r>
      <w:r>
        <w:rPr>
          <w:rFonts w:hint="eastAsia" w:ascii="宋体" w:hAnsi="宋体" w:eastAsia="宋体" w:cs="宋体"/>
          <w:color w:val="auto"/>
          <w:kern w:val="0"/>
          <w:sz w:val="28"/>
          <w:szCs w:val="28"/>
          <w:highlight w:val="none"/>
        </w:rPr>
        <w:t>属于危险化学品</w:t>
      </w:r>
      <w:r>
        <w:rPr>
          <w:rFonts w:hint="eastAsia" w:ascii="宋体" w:hAnsi="宋体" w:eastAsia="宋体" w:cs="宋体"/>
          <w:color w:val="auto"/>
          <w:kern w:val="0"/>
          <w:sz w:val="28"/>
          <w:szCs w:val="28"/>
          <w:highlight w:val="none"/>
          <w:lang w:eastAsia="zh-CN"/>
        </w:rPr>
        <w:t>；</w:t>
      </w:r>
      <w:r>
        <w:rPr>
          <w:rFonts w:hint="eastAsia" w:ascii="宋体" w:hAnsi="宋体" w:eastAsia="宋体" w:cs="宋体"/>
          <w:bCs/>
          <w:color w:val="auto"/>
          <w:sz w:val="28"/>
          <w:szCs w:val="28"/>
          <w:highlight w:val="none"/>
        </w:rPr>
        <w:t>钴盐</w:t>
      </w:r>
      <w:r>
        <w:rPr>
          <w:rFonts w:hint="eastAsia" w:ascii="宋体" w:hAnsi="宋体" w:eastAsia="宋体" w:cs="宋体"/>
          <w:color w:val="auto"/>
          <w:sz w:val="28"/>
          <w:szCs w:val="28"/>
          <w:highlight w:val="none"/>
        </w:rPr>
        <w:t>按危险化学品进行管理</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rPr>
        <w:t>盐酸</w:t>
      </w:r>
      <w:r>
        <w:rPr>
          <w:rFonts w:hint="eastAsia" w:ascii="宋体" w:hAnsi="宋体" w:cs="宋体"/>
          <w:color w:val="auto"/>
          <w:sz w:val="28"/>
          <w:szCs w:val="28"/>
          <w:highlight w:val="none"/>
        </w:rPr>
        <w:t>及</w:t>
      </w:r>
      <w:r>
        <w:rPr>
          <w:rFonts w:hint="eastAsia" w:ascii="宋体" w:hAnsi="宋体" w:eastAsia="宋体" w:cs="宋体"/>
          <w:color w:val="auto"/>
          <w:sz w:val="28"/>
          <w:szCs w:val="28"/>
          <w:highlight w:val="none"/>
        </w:rPr>
        <w:t>丙酮</w:t>
      </w:r>
      <w:r>
        <w:rPr>
          <w:rFonts w:hint="eastAsia" w:ascii="宋体" w:hAnsi="宋体" w:cs="宋体"/>
          <w:color w:val="auto"/>
          <w:sz w:val="28"/>
          <w:szCs w:val="28"/>
          <w:highlight w:val="none"/>
        </w:rPr>
        <w:t>属于第三类易制毒化学品；</w:t>
      </w:r>
      <w:r>
        <w:rPr>
          <w:rFonts w:hint="eastAsia" w:ascii="宋体" w:hAnsi="宋体" w:eastAsia="宋体" w:cs="宋体"/>
          <w:color w:val="auto"/>
          <w:sz w:val="28"/>
          <w:szCs w:val="28"/>
          <w:highlight w:val="none"/>
        </w:rPr>
        <w:t>苯乙</w:t>
      </w:r>
      <w:r>
        <w:rPr>
          <w:rFonts w:hint="eastAsia" w:ascii="宋体" w:hAnsi="宋体" w:cs="宋体"/>
          <w:color w:val="auto"/>
          <w:sz w:val="28"/>
          <w:szCs w:val="28"/>
          <w:highlight w:val="none"/>
          <w:lang w:eastAsia="zh-CN"/>
        </w:rPr>
        <w:t>烯</w:t>
      </w:r>
      <w:r>
        <w:rPr>
          <w:rFonts w:hint="eastAsia" w:ascii="宋体" w:hAnsi="宋体" w:cs="宋体"/>
          <w:color w:val="auto"/>
          <w:sz w:val="28"/>
          <w:szCs w:val="28"/>
          <w:highlight w:val="none"/>
        </w:rPr>
        <w:t>、</w:t>
      </w:r>
      <w:r>
        <w:rPr>
          <w:rFonts w:hint="eastAsia" w:ascii="宋体" w:hAnsi="宋体" w:eastAsia="宋体" w:cs="宋体"/>
          <w:color w:val="auto"/>
          <w:sz w:val="28"/>
          <w:szCs w:val="28"/>
          <w:highlight w:val="none"/>
        </w:rPr>
        <w:t>过氧化甲乙酮</w:t>
      </w:r>
      <w:r>
        <w:rPr>
          <w:rFonts w:hint="eastAsia" w:ascii="宋体" w:hAnsi="宋体" w:cs="宋体"/>
          <w:color w:val="auto"/>
          <w:sz w:val="28"/>
          <w:szCs w:val="28"/>
          <w:highlight w:val="none"/>
          <w:lang w:eastAsia="zh-CN"/>
        </w:rPr>
        <w:t>和</w:t>
      </w:r>
      <w:r>
        <w:rPr>
          <w:rFonts w:hint="eastAsia" w:ascii="宋体" w:hAnsi="宋体" w:eastAsia="宋体" w:cs="宋体"/>
          <w:color w:val="auto"/>
          <w:sz w:val="28"/>
          <w:szCs w:val="28"/>
          <w:highlight w:val="none"/>
        </w:rPr>
        <w:t>过氧化二苯甲酰</w:t>
      </w:r>
      <w:r>
        <w:rPr>
          <w:rFonts w:hint="eastAsia" w:ascii="宋体" w:hAnsi="宋体" w:cs="宋体"/>
          <w:color w:val="auto"/>
          <w:sz w:val="28"/>
          <w:szCs w:val="28"/>
          <w:highlight w:val="none"/>
        </w:rPr>
        <w:t>属于重点监管危险化学品；六亚甲基四胺</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双氧水</w:t>
      </w:r>
      <w:r>
        <w:rPr>
          <w:rFonts w:hint="eastAsia" w:ascii="宋体" w:hAnsi="宋体" w:cs="宋体"/>
          <w:color w:val="auto"/>
          <w:sz w:val="28"/>
          <w:szCs w:val="28"/>
          <w:highlight w:val="none"/>
          <w:lang w:eastAsia="zh-CN"/>
        </w:rPr>
        <w:t>、硝酸银</w:t>
      </w:r>
      <w:r>
        <w:rPr>
          <w:rFonts w:hint="eastAsia" w:ascii="宋体" w:hAnsi="宋体" w:cs="宋体"/>
          <w:color w:val="auto"/>
          <w:sz w:val="28"/>
          <w:szCs w:val="28"/>
          <w:highlight w:val="none"/>
        </w:rPr>
        <w:t>属于易制爆危险化学品；不涉及剧毒化学品、高毒物品、监控化学品和特别管控危险化学品。</w:t>
      </w:r>
    </w:p>
    <w:p w14:paraId="505A043D">
      <w:pPr>
        <w:pStyle w:val="93"/>
        <w:numPr>
          <w:ilvl w:val="0"/>
          <w:numId w:val="71"/>
        </w:numPr>
        <w:adjustRightInd w:val="0"/>
        <w:snapToGrid w:val="0"/>
        <w:spacing w:line="360" w:lineRule="auto"/>
        <w:ind w:left="0" w:firstLine="420" w:firstLineChars="0"/>
        <w:rPr>
          <w:rFonts w:hint="eastAsia" w:ascii="宋体" w:hAnsi="宋体" w:cs="宋体"/>
          <w:color w:val="auto"/>
          <w:sz w:val="28"/>
          <w:szCs w:val="28"/>
          <w:highlight w:val="none"/>
        </w:rPr>
      </w:pPr>
      <w:r>
        <w:rPr>
          <w:rFonts w:hint="eastAsia" w:ascii="宋体" w:hAnsi="宋体" w:cs="宋体"/>
          <w:color w:val="auto"/>
          <w:sz w:val="28"/>
          <w:szCs w:val="28"/>
          <w:highlight w:val="none"/>
          <w:lang w:eastAsia="zh-CN"/>
        </w:rPr>
        <w:t>危化品仓库存在</w:t>
      </w:r>
      <w:r>
        <w:rPr>
          <w:rFonts w:hint="eastAsia" w:ascii="宋体" w:hAnsi="宋体" w:cs="宋体"/>
          <w:color w:val="auto"/>
          <w:sz w:val="28"/>
          <w:szCs w:val="28"/>
          <w:highlight w:val="none"/>
        </w:rPr>
        <w:t>的主要危险、有害因素为火灾爆炸，次要危险、有害因素为灼烫</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中毒</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车辆伤害</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触电</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物体打击</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高处坠落</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坍塌</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高低温伤害。</w:t>
      </w:r>
    </w:p>
    <w:p w14:paraId="377FAB79">
      <w:pPr>
        <w:pStyle w:val="93"/>
        <w:numPr>
          <w:ilvl w:val="0"/>
          <w:numId w:val="71"/>
        </w:numPr>
        <w:adjustRightInd w:val="0"/>
        <w:snapToGrid w:val="0"/>
        <w:spacing w:line="360" w:lineRule="auto"/>
        <w:ind w:left="0" w:firstLine="420" w:firstLineChars="0"/>
        <w:rPr>
          <w:rFonts w:hint="eastAsia" w:ascii="宋体" w:hAnsi="宋体" w:cs="宋体"/>
          <w:color w:val="auto"/>
          <w:sz w:val="28"/>
          <w:szCs w:val="28"/>
          <w:highlight w:val="none"/>
        </w:rPr>
      </w:pPr>
      <w:r>
        <w:rPr>
          <w:rFonts w:hint="eastAsia" w:ascii="宋体" w:hAnsi="宋体" w:cs="宋体"/>
          <w:color w:val="auto"/>
          <w:sz w:val="28"/>
          <w:szCs w:val="28"/>
          <w:highlight w:val="none"/>
        </w:rPr>
        <w:t>经危险化学品重大危险源辨识，</w:t>
      </w:r>
      <w:r>
        <w:rPr>
          <w:rFonts w:hint="eastAsia" w:ascii="宋体" w:hAnsi="宋体" w:eastAsia="宋体" w:cs="宋体"/>
          <w:color w:val="auto"/>
          <w:sz w:val="28"/>
          <w:szCs w:val="28"/>
          <w:highlight w:val="none"/>
        </w:rPr>
        <w:t>危化品仓库</w:t>
      </w:r>
      <w:r>
        <w:rPr>
          <w:rFonts w:hint="eastAsia" w:ascii="宋体" w:hAnsi="宋体" w:cs="宋体"/>
          <w:color w:val="auto"/>
          <w:sz w:val="28"/>
          <w:szCs w:val="28"/>
          <w:highlight w:val="none"/>
        </w:rPr>
        <w:t>不构成重大危险源。</w:t>
      </w:r>
    </w:p>
    <w:p w14:paraId="6123D2A4">
      <w:pPr>
        <w:pStyle w:val="93"/>
        <w:numPr>
          <w:ilvl w:val="0"/>
          <w:numId w:val="71"/>
        </w:numPr>
        <w:adjustRightInd w:val="0"/>
        <w:snapToGrid w:val="0"/>
        <w:spacing w:line="360" w:lineRule="auto"/>
        <w:ind w:left="0" w:firstLine="420" w:firstLineChars="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根据作业条件危险性评价法分析，危化品仓库危化品储存作业、危化品装卸作业比较危险</w:t>
      </w:r>
      <w:r>
        <w:rPr>
          <w:rFonts w:hint="eastAsia" w:ascii="宋体" w:hAnsi="宋体" w:eastAsia="宋体" w:cs="宋体"/>
          <w:color w:val="auto"/>
          <w:kern w:val="0"/>
          <w:sz w:val="28"/>
          <w:szCs w:val="28"/>
          <w:highlight w:val="none"/>
        </w:rPr>
        <w:t>，需要注意</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sz w:val="28"/>
          <w:szCs w:val="28"/>
          <w:highlight w:val="none"/>
        </w:rPr>
        <w:t>伟星临海钮扣分公司应引起足够重视，必须确保其操作、运行的安全技术要求，并采取相应的安全防范措施。维修作业稍有危险，可以接受。</w:t>
      </w:r>
    </w:p>
    <w:p w14:paraId="7D01D0CE">
      <w:pPr>
        <w:pStyle w:val="93"/>
        <w:numPr>
          <w:ilvl w:val="0"/>
          <w:numId w:val="71"/>
        </w:numPr>
        <w:adjustRightInd w:val="0"/>
        <w:snapToGrid w:val="0"/>
        <w:spacing w:line="360" w:lineRule="auto"/>
        <w:ind w:left="0" w:firstLine="420" w:firstLineChars="0"/>
        <w:rPr>
          <w:rFonts w:hint="eastAsia" w:ascii="宋体" w:hAnsi="宋体" w:cs="宋体"/>
          <w:color w:val="auto"/>
          <w:sz w:val="28"/>
          <w:szCs w:val="28"/>
          <w:highlight w:val="none"/>
        </w:rPr>
      </w:pPr>
      <w:r>
        <w:rPr>
          <w:rFonts w:hint="eastAsia" w:ascii="宋体" w:hAnsi="宋体" w:cs="宋体"/>
          <w:color w:val="auto"/>
          <w:sz w:val="28"/>
          <w:szCs w:val="28"/>
          <w:highlight w:val="none"/>
        </w:rPr>
        <w:t>危化品仓库建筑物及总平面布置符合《建筑设计防火规范》GB50016-2014（2018年版）、《工业企业总平面设计规范》GB50187-2012的要求</w:t>
      </w:r>
      <w:r>
        <w:rPr>
          <w:rFonts w:hint="eastAsia" w:ascii="宋体" w:hAnsi="宋体" w:cs="宋体"/>
          <w:color w:val="auto"/>
          <w:sz w:val="28"/>
          <w:szCs w:val="28"/>
          <w:highlight w:val="none"/>
          <w:lang w:eastAsia="zh-CN"/>
        </w:rPr>
        <w:t>。</w:t>
      </w:r>
    </w:p>
    <w:p w14:paraId="738AF8EE">
      <w:pPr>
        <w:pStyle w:val="93"/>
        <w:numPr>
          <w:ilvl w:val="0"/>
          <w:numId w:val="71"/>
        </w:numPr>
        <w:adjustRightInd w:val="0"/>
        <w:snapToGrid w:val="0"/>
        <w:spacing w:line="360" w:lineRule="auto"/>
        <w:ind w:left="0" w:firstLine="420" w:firstLineChars="0"/>
        <w:rPr>
          <w:rFonts w:hint="eastAsia" w:ascii="宋体" w:hAnsi="宋体" w:cs="宋体"/>
          <w:color w:val="auto"/>
          <w:sz w:val="28"/>
          <w:szCs w:val="28"/>
          <w:highlight w:val="none"/>
        </w:rPr>
      </w:pPr>
      <w:r>
        <w:rPr>
          <w:rFonts w:hint="eastAsia" w:ascii="宋体" w:hAnsi="宋体" w:cs="宋体"/>
          <w:color w:val="auto"/>
          <w:sz w:val="28"/>
          <w:szCs w:val="28"/>
          <w:highlight w:val="none"/>
        </w:rPr>
        <w:t>根据现场检查和评价，本报告对</w:t>
      </w:r>
      <w:r>
        <w:rPr>
          <w:rFonts w:hint="eastAsia" w:ascii="宋体" w:hAnsi="宋体" w:cs="宋体"/>
          <w:color w:val="auto"/>
          <w:sz w:val="28"/>
          <w:szCs w:val="28"/>
          <w:highlight w:val="none"/>
          <w:lang w:eastAsia="zh-CN"/>
        </w:rPr>
        <w:t>危化品仓库</w:t>
      </w:r>
      <w:r>
        <w:rPr>
          <w:rFonts w:hint="eastAsia" w:ascii="宋体" w:hAnsi="宋体" w:cs="宋体"/>
          <w:color w:val="auto"/>
          <w:sz w:val="28"/>
          <w:szCs w:val="28"/>
          <w:highlight w:val="none"/>
        </w:rPr>
        <w:t>提出的存在问题</w:t>
      </w:r>
      <w:r>
        <w:rPr>
          <w:rFonts w:hint="eastAsia" w:ascii="宋体" w:hAnsi="宋体" w:cs="宋体"/>
          <w:color w:val="auto"/>
          <w:sz w:val="28"/>
          <w:szCs w:val="28"/>
          <w:highlight w:val="none"/>
          <w:lang w:eastAsia="zh-CN"/>
        </w:rPr>
        <w:t>的</w:t>
      </w:r>
      <w:r>
        <w:rPr>
          <w:rFonts w:hint="eastAsia" w:ascii="宋体" w:hAnsi="宋体" w:cs="宋体"/>
          <w:color w:val="auto"/>
          <w:sz w:val="28"/>
          <w:szCs w:val="28"/>
          <w:highlight w:val="none"/>
        </w:rPr>
        <w:t>整改</w:t>
      </w:r>
      <w:r>
        <w:rPr>
          <w:rFonts w:hint="eastAsia" w:ascii="宋体" w:hAnsi="宋体" w:cs="宋体"/>
          <w:color w:val="auto"/>
          <w:sz w:val="28"/>
          <w:szCs w:val="28"/>
          <w:highlight w:val="none"/>
          <w:lang w:eastAsia="zh-CN"/>
        </w:rPr>
        <w:t>建议（见本报告</w:t>
      </w:r>
      <w:r>
        <w:rPr>
          <w:rFonts w:hint="eastAsia" w:ascii="宋体" w:hAnsi="宋体" w:cs="宋体"/>
          <w:color w:val="auto"/>
          <w:sz w:val="28"/>
          <w:szCs w:val="28"/>
          <w:highlight w:val="none"/>
          <w:lang w:val="en-US" w:eastAsia="zh-CN"/>
        </w:rPr>
        <w:t>6.1</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，企业</w:t>
      </w:r>
      <w:r>
        <w:rPr>
          <w:rFonts w:hint="eastAsia" w:ascii="宋体" w:hAnsi="宋体" w:cs="宋体"/>
          <w:color w:val="auto"/>
          <w:sz w:val="28"/>
          <w:szCs w:val="28"/>
          <w:highlight w:val="none"/>
          <w:lang w:eastAsia="zh-CN"/>
        </w:rPr>
        <w:t>已完成</w:t>
      </w:r>
      <w:r>
        <w:rPr>
          <w:rFonts w:hint="eastAsia" w:ascii="宋体" w:hAnsi="宋体" w:cs="宋体"/>
          <w:color w:val="auto"/>
          <w:sz w:val="28"/>
          <w:szCs w:val="28"/>
          <w:highlight w:val="none"/>
        </w:rPr>
        <w:t>整改落实。</w:t>
      </w:r>
    </w:p>
    <w:p w14:paraId="60E1C831">
      <w:pPr>
        <w:pStyle w:val="93"/>
        <w:numPr>
          <w:ilvl w:val="0"/>
          <w:numId w:val="71"/>
        </w:numPr>
        <w:adjustRightInd w:val="0"/>
        <w:snapToGrid w:val="0"/>
        <w:spacing w:line="360" w:lineRule="auto"/>
        <w:ind w:left="0" w:firstLine="420" w:firstLineChars="0"/>
        <w:rPr>
          <w:rFonts w:hint="eastAsia" w:ascii="宋体" w:hAnsi="宋体" w:cs="宋体"/>
          <w:color w:val="auto"/>
          <w:sz w:val="28"/>
          <w:szCs w:val="28"/>
          <w:highlight w:val="none"/>
        </w:rPr>
      </w:pPr>
      <w:r>
        <w:rPr>
          <w:rFonts w:hint="eastAsia" w:ascii="宋体" w:hAnsi="宋体" w:cs="宋体"/>
          <w:color w:val="auto"/>
          <w:sz w:val="28"/>
          <w:szCs w:val="28"/>
          <w:highlight w:val="none"/>
        </w:rPr>
        <w:t>浙江伟星实业发展股份有限公司临海钮扣分公司危化品仓库使用条件符合安全要求。</w:t>
      </w:r>
    </w:p>
    <w:bookmarkEnd w:id="1971"/>
    <w:p w14:paraId="312C12C8">
      <w:pPr>
        <w:pageBreakBefore/>
        <w:adjustRightInd w:val="0"/>
        <w:snapToGrid w:val="0"/>
        <w:spacing w:beforeLines="100" w:afterLines="100" w:line="360" w:lineRule="auto"/>
        <w:jc w:val="center"/>
        <w:outlineLvl w:val="0"/>
        <w:rPr>
          <w:rFonts w:hint="eastAsia" w:ascii="黑体" w:hAnsi="黑体" w:eastAsia="黑体" w:cs="黑体"/>
          <w:b/>
          <w:bCs w:val="0"/>
          <w:color w:val="auto"/>
          <w:sz w:val="32"/>
          <w:szCs w:val="32"/>
          <w:highlight w:val="none"/>
        </w:rPr>
      </w:pPr>
      <w:bookmarkStart w:id="1972" w:name="_Hlt42566173"/>
      <w:bookmarkEnd w:id="1972"/>
      <w:bookmarkStart w:id="1973" w:name="_Toc7611"/>
      <w:bookmarkStart w:id="1974" w:name="_Toc31312"/>
      <w:bookmarkStart w:id="1975" w:name="_Toc18434"/>
      <w:bookmarkStart w:id="1976" w:name="_Toc12693"/>
      <w:bookmarkStart w:id="1977" w:name="_Toc25702"/>
      <w:bookmarkStart w:id="1978" w:name="_Toc16713"/>
      <w:bookmarkStart w:id="1979" w:name="_Toc26247"/>
      <w:bookmarkStart w:id="1980" w:name="_Toc23192"/>
      <w:bookmarkStart w:id="1981" w:name="_Toc30261"/>
      <w:bookmarkStart w:id="1982" w:name="_Toc27326"/>
      <w:bookmarkStart w:id="1983" w:name="_Toc16068"/>
      <w:bookmarkStart w:id="1984" w:name="_Toc498075639"/>
      <w:bookmarkStart w:id="1985" w:name="_Toc18737"/>
      <w:bookmarkStart w:id="1986" w:name="_Toc60846659"/>
      <w:bookmarkStart w:id="1987" w:name="_Toc20664"/>
      <w:bookmarkStart w:id="1988" w:name="_Toc16533"/>
      <w:bookmarkStart w:id="1989" w:name="_Toc7497"/>
      <w:bookmarkStart w:id="1990" w:name="_Toc25099"/>
      <w:bookmarkStart w:id="1991" w:name="_Toc12390"/>
      <w:r>
        <w:rPr>
          <w:rFonts w:hint="eastAsia" w:ascii="黑体" w:hAnsi="黑体" w:eastAsia="黑体" w:cs="黑体"/>
          <w:b/>
          <w:bCs w:val="0"/>
          <w:color w:val="auto"/>
          <w:sz w:val="32"/>
          <w:szCs w:val="32"/>
          <w:highlight w:val="none"/>
        </w:rPr>
        <w:t>8</w:t>
      </w:r>
      <w:r>
        <w:rPr>
          <w:rFonts w:hint="eastAsia" w:ascii="黑体" w:hAnsi="黑体" w:eastAsia="黑体" w:cs="黑体"/>
          <w:b/>
          <w:bCs w:val="0"/>
          <w:color w:val="auto"/>
          <w:sz w:val="32"/>
          <w:szCs w:val="32"/>
          <w:highlight w:val="none"/>
          <w:lang w:val="en-US" w:eastAsia="zh-CN"/>
        </w:rPr>
        <w:t xml:space="preserve"> </w:t>
      </w:r>
      <w:r>
        <w:rPr>
          <w:rFonts w:hint="eastAsia" w:ascii="黑体" w:hAnsi="黑体" w:eastAsia="黑体" w:cs="黑体"/>
          <w:b/>
          <w:bCs w:val="0"/>
          <w:color w:val="auto"/>
          <w:sz w:val="32"/>
          <w:szCs w:val="32"/>
          <w:highlight w:val="none"/>
        </w:rPr>
        <w:t>附件</w:t>
      </w:r>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p>
    <w:p w14:paraId="48D63FD5">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bookmarkStart w:id="1992" w:name="_Toc60846660"/>
      <w:r>
        <w:rPr>
          <w:rFonts w:hint="eastAsia" w:ascii="宋体" w:hAnsi="宋体" w:cs="Times New Roman"/>
          <w:color w:val="auto"/>
          <w:sz w:val="28"/>
          <w:szCs w:val="28"/>
          <w:highlight w:val="none"/>
        </w:rPr>
        <w:t>营业执照</w:t>
      </w:r>
    </w:p>
    <w:p w14:paraId="1636A23E">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lang w:eastAsia="zh-CN"/>
        </w:rPr>
        <w:t>关于危化品仓库使用情况说明</w:t>
      </w:r>
    </w:p>
    <w:p w14:paraId="66B0D24E">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lang w:eastAsia="zh-CN"/>
        </w:rPr>
        <w:t>叉车登记证、叉车检验报告、</w:t>
      </w:r>
      <w:r>
        <w:rPr>
          <w:rFonts w:hint="eastAsia" w:ascii="宋体" w:hAnsi="宋体" w:cs="Times New Roman"/>
          <w:color w:val="auto"/>
          <w:sz w:val="28"/>
          <w:szCs w:val="28"/>
          <w:highlight w:val="none"/>
        </w:rPr>
        <w:t>可燃气体探测器校准报告</w:t>
      </w:r>
    </w:p>
    <w:p w14:paraId="4C60028B">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lang w:eastAsia="zh-CN"/>
        </w:rPr>
        <w:t>安全标准化证书</w:t>
      </w:r>
    </w:p>
    <w:p w14:paraId="3811D830">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lang w:eastAsia="zh-CN"/>
        </w:rPr>
        <w:t>工伤保险参保证明</w:t>
      </w:r>
    </w:p>
    <w:p w14:paraId="1E5F859A">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lang w:eastAsia="zh-CN"/>
        </w:rPr>
        <w:t>主要负责人证书、安全生产管理人员证书、叉车司机证书、电工证书样张、焊接人员证书样张</w:t>
      </w:r>
    </w:p>
    <w:p w14:paraId="49C8A418">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lang w:eastAsia="zh-CN"/>
        </w:rPr>
        <w:t>应急预案演练记录</w:t>
      </w:r>
    </w:p>
    <w:p w14:paraId="690651D3">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rPr>
        <w:t>物料理化性质表</w:t>
      </w:r>
      <w:r>
        <w:rPr>
          <w:rFonts w:hint="eastAsia" w:ascii="宋体" w:hAnsi="宋体" w:cs="Times New Roman"/>
          <w:color w:val="auto"/>
          <w:sz w:val="28"/>
          <w:szCs w:val="28"/>
          <w:highlight w:val="none"/>
          <w:lang w:eastAsia="zh-CN"/>
        </w:rPr>
        <w:t>、</w:t>
      </w:r>
      <w:r>
        <w:rPr>
          <w:rFonts w:hint="eastAsia" w:ascii="宋体" w:hAnsi="宋体" w:cs="Times New Roman"/>
          <w:color w:val="auto"/>
          <w:sz w:val="28"/>
          <w:szCs w:val="28"/>
          <w:highlight w:val="none"/>
        </w:rPr>
        <w:t>重点监管的危险化学品安全措施和事故应急处置原则</w:t>
      </w:r>
    </w:p>
    <w:p w14:paraId="6FF06A6E">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lang w:eastAsia="zh-CN"/>
        </w:rPr>
        <w:t>关于成立</w:t>
      </w:r>
      <w:r>
        <w:rPr>
          <w:rFonts w:hint="eastAsia" w:ascii="宋体" w:hAnsi="宋体" w:cs="Times New Roman"/>
          <w:color w:val="auto"/>
          <w:sz w:val="28"/>
          <w:szCs w:val="28"/>
          <w:highlight w:val="none"/>
        </w:rPr>
        <w:t>易制爆危险化学品治安保卫机构</w:t>
      </w:r>
      <w:r>
        <w:rPr>
          <w:rFonts w:hint="eastAsia" w:ascii="宋体" w:hAnsi="宋体" w:cs="Times New Roman"/>
          <w:color w:val="auto"/>
          <w:sz w:val="28"/>
          <w:szCs w:val="28"/>
          <w:highlight w:val="none"/>
          <w:lang w:eastAsia="zh-CN"/>
        </w:rPr>
        <w:t>的通知、</w:t>
      </w:r>
      <w:r>
        <w:rPr>
          <w:rFonts w:hint="eastAsia" w:ascii="宋体" w:hAnsi="宋体" w:cs="Times New Roman"/>
          <w:color w:val="auto"/>
          <w:sz w:val="28"/>
          <w:szCs w:val="28"/>
          <w:highlight w:val="none"/>
        </w:rPr>
        <w:t>易制爆危险化学品从业单位备案证明</w:t>
      </w:r>
      <w:r>
        <w:rPr>
          <w:rFonts w:hint="eastAsia" w:ascii="宋体" w:hAnsi="宋体" w:cs="Times New Roman"/>
          <w:color w:val="auto"/>
          <w:sz w:val="28"/>
          <w:szCs w:val="28"/>
          <w:highlight w:val="none"/>
          <w:lang w:eastAsia="zh-CN"/>
        </w:rPr>
        <w:t>、易制毒化学品购买备案证明样张</w:t>
      </w:r>
    </w:p>
    <w:p w14:paraId="62834032">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rPr>
        <w:t>危化品仓库防雷检测报告</w:t>
      </w:r>
    </w:p>
    <w:p w14:paraId="5779AC9E">
      <w:pPr>
        <w:pStyle w:val="93"/>
        <w:numPr>
          <w:ilvl w:val="0"/>
          <w:numId w:val="72"/>
        </w:numPr>
        <w:adjustRightInd w:val="0"/>
        <w:snapToGrid w:val="0"/>
        <w:spacing w:before="0" w:after="0" w:line="360" w:lineRule="auto"/>
        <w:ind w:left="0" w:leftChars="0" w:firstLine="560" w:firstLineChars="200"/>
        <w:rPr>
          <w:rFonts w:ascii="宋体" w:hAnsi="宋体" w:cs="Times New Roman"/>
          <w:color w:val="auto"/>
          <w:sz w:val="28"/>
          <w:szCs w:val="28"/>
          <w:highlight w:val="none"/>
        </w:rPr>
      </w:pPr>
      <w:r>
        <w:rPr>
          <w:rFonts w:hint="eastAsia" w:ascii="宋体" w:hAnsi="宋体" w:cs="Times New Roman"/>
          <w:color w:val="auto"/>
          <w:sz w:val="28"/>
          <w:szCs w:val="28"/>
          <w:highlight w:val="none"/>
        </w:rPr>
        <w:t>总平面布置图</w:t>
      </w:r>
    </w:p>
    <w:p w14:paraId="4CC3EFBE">
      <w:pPr>
        <w:pStyle w:val="93"/>
        <w:numPr>
          <w:ilvl w:val="-1"/>
          <w:numId w:val="0"/>
        </w:numPr>
        <w:adjustRightInd w:val="0"/>
        <w:snapToGrid w:val="0"/>
        <w:spacing w:before="0" w:after="0" w:line="360" w:lineRule="auto"/>
        <w:ind w:left="0" w:leftChars="0" w:firstLine="0" w:firstLineChars="0"/>
        <w:rPr>
          <w:rFonts w:ascii="宋体" w:hAnsi="宋体" w:cs="Times New Roman"/>
          <w:color w:val="auto"/>
          <w:sz w:val="28"/>
          <w:szCs w:val="28"/>
          <w:highlight w:val="none"/>
        </w:rPr>
      </w:pPr>
    </w:p>
    <w:bookmarkEnd w:id="1992"/>
    <w:p w14:paraId="648022CD">
      <w:pPr>
        <w:adjustRightInd w:val="0"/>
        <w:snapToGrid w:val="0"/>
        <w:rPr>
          <w:color w:val="auto"/>
          <w:highlight w:val="none"/>
        </w:rPr>
      </w:pPr>
    </w:p>
    <w:p w14:paraId="2B1C7B60">
      <w:pPr>
        <w:adjustRightInd w:val="0"/>
        <w:snapToGrid w:val="0"/>
        <w:rPr>
          <w:color w:val="auto"/>
          <w:highlight w:val="none"/>
        </w:rPr>
      </w:pPr>
    </w:p>
    <w:p w14:paraId="2C89ACF0">
      <w:pPr>
        <w:adjustRightInd w:val="0"/>
        <w:snapToGrid w:val="0"/>
        <w:rPr>
          <w:color w:val="auto"/>
          <w:highlight w:val="none"/>
        </w:rPr>
      </w:pPr>
    </w:p>
    <w:p w14:paraId="5AB6257D">
      <w:pPr>
        <w:adjustRightInd w:val="0"/>
        <w:snapToGrid w:val="0"/>
        <w:rPr>
          <w:color w:val="auto"/>
          <w:highlight w:val="none"/>
        </w:rPr>
      </w:pPr>
    </w:p>
    <w:p w14:paraId="19301053">
      <w:pPr>
        <w:adjustRightInd w:val="0"/>
        <w:snapToGrid w:val="0"/>
        <w:rPr>
          <w:color w:val="auto"/>
          <w:highlight w:val="none"/>
        </w:rPr>
      </w:pPr>
    </w:p>
    <w:p w14:paraId="0DD8E392">
      <w:pPr>
        <w:adjustRightInd w:val="0"/>
        <w:snapToGrid w:val="0"/>
        <w:rPr>
          <w:color w:val="auto"/>
          <w:highlight w:val="none"/>
        </w:rPr>
      </w:pPr>
    </w:p>
    <w:p w14:paraId="7F799A36">
      <w:pPr>
        <w:adjustRightInd w:val="0"/>
        <w:snapToGrid w:val="0"/>
        <w:rPr>
          <w:color w:val="auto"/>
          <w:highlight w:val="none"/>
        </w:rPr>
      </w:pPr>
    </w:p>
    <w:p w14:paraId="3BE72D87">
      <w:pPr>
        <w:rPr>
          <w:color w:val="auto"/>
          <w:highlight w:val="none"/>
        </w:rPr>
      </w:pPr>
    </w:p>
    <w:sectPr>
      <w:footerReference r:id="rId16" w:type="default"/>
      <w:pgSz w:w="11906" w:h="16838"/>
      <w:pgMar w:top="1418" w:right="1134" w:bottom="1134" w:left="1588" w:header="794" w:footer="794"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0000000000000000000"/>
    <w:charset w:val="00"/>
    <w:family w:val="roman"/>
    <w:pitch w:val="default"/>
    <w:sig w:usb0="00000000" w:usb1="00000000" w:usb2="00000000" w:usb3="00000000" w:csb0="00000001"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Batang">
    <w:panose1 w:val="02030600000101010101"/>
    <w:charset w:val="81"/>
    <w:family w:val="roman"/>
    <w:pitch w:val="default"/>
    <w:sig w:usb0="B00002AF" w:usb1="69D77CFB" w:usb2="00000030" w:usb3="00000000" w:csb0="4008009F" w:csb1="DFD70000"/>
  </w:font>
  <w:font w:name="ˎ̥">
    <w:altName w:val="微软雅黑"/>
    <w:panose1 w:val="00000000000000000000"/>
    <w:charset w:val="00"/>
    <w:family w:val="roman"/>
    <w:pitch w:val="default"/>
    <w:sig w:usb0="00000000" w:usb1="00000000" w:usb2="00000000" w:usb3="00000000" w:csb0="00040001" w:csb1="00000000"/>
  </w:font>
  <w:font w:name="文鼎CS中宋">
    <w:altName w:val="宋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仿宋体">
    <w:altName w:val="仿宋"/>
    <w:panose1 w:val="00000000000000000000"/>
    <w:charset w:val="86"/>
    <w:family w:val="roman"/>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default"/>
    <w:sig w:usb0="A10006FF" w:usb1="4000205B" w:usb2="0000001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TimesNewRoman">
    <w:altName w:val="宋体"/>
    <w:panose1 w:val="00000000000000000000"/>
    <w:charset w:val="86"/>
    <w:family w:val="auto"/>
    <w:pitch w:val="default"/>
    <w:sig w:usb0="00000000" w:usb1="00000000" w:usb2="00000010" w:usb3="00000000" w:csb0="00040000" w:csb1="00000000"/>
  </w:font>
  <w:font w:name="Բ">
    <w:altName w:val="微软雅黑"/>
    <w:panose1 w:val="00000000000000000000"/>
    <w:charset w:val="00"/>
    <w:family w:val="roman"/>
    <w:pitch w:val="default"/>
    <w:sig w:usb0="00000000" w:usb1="00000000" w:usb2="00000000"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方正粗圆简体">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800000000000000"/>
    <w:charset w:val="00"/>
    <w:family w:val="auto"/>
    <w:pitch w:val="default"/>
    <w:sig w:usb0="0000028F" w:usb1="00000000" w:usb2="00000000" w:usb3="00000000" w:csb0="2000009F" w:csb1="47010000"/>
  </w:font>
  <w:font w:name="等线 Light">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5"/>
      </w:rPr>
      <w:id w:val="-1"/>
      <w:docPartObj>
        <w:docPartGallery w:val="autotext"/>
      </w:docPartObj>
    </w:sdtPr>
    <w:sdtEndPr>
      <w:rPr>
        <w:rStyle w:val="65"/>
      </w:rPr>
    </w:sdtEndPr>
    <w:sdtContent>
      <w:p w14:paraId="5AEB743A">
        <w:pPr>
          <w:pStyle w:val="38"/>
          <w:framePr w:wrap="auto" w:vAnchor="text" w:hAnchor="margin" w:xAlign="center" w:y="1"/>
          <w:rPr>
            <w:rStyle w:val="65"/>
          </w:rPr>
        </w:pPr>
        <w:r>
          <w:rPr>
            <w:rStyle w:val="65"/>
          </w:rPr>
          <w:fldChar w:fldCharType="begin"/>
        </w:r>
        <w:r>
          <w:rPr>
            <w:rStyle w:val="65"/>
          </w:rPr>
          <w:instrText xml:space="preserve"> PAGE </w:instrText>
        </w:r>
        <w:r>
          <w:rPr>
            <w:rStyle w:val="65"/>
          </w:rPr>
          <w:fldChar w:fldCharType="end"/>
        </w:r>
      </w:p>
    </w:sdtContent>
  </w:sdt>
  <w:sdt>
    <w:sdtPr>
      <w:rPr>
        <w:rStyle w:val="65"/>
      </w:rPr>
      <w:id w:val="1961452675"/>
      <w:docPartObj>
        <w:docPartGallery w:val="autotext"/>
      </w:docPartObj>
    </w:sdtPr>
    <w:sdtEndPr>
      <w:rPr>
        <w:rStyle w:val="65"/>
      </w:rPr>
    </w:sdtEndPr>
    <w:sdtContent>
      <w:p w14:paraId="5BD2D8FF">
        <w:pPr>
          <w:pStyle w:val="38"/>
          <w:framePr w:wrap="auto" w:vAnchor="text" w:hAnchor="margin" w:xAlign="center" w:y="1"/>
          <w:rPr>
            <w:rStyle w:val="65"/>
          </w:rPr>
        </w:pPr>
        <w:r>
          <w:rPr>
            <w:rStyle w:val="65"/>
          </w:rPr>
          <w:fldChar w:fldCharType="begin"/>
        </w:r>
        <w:r>
          <w:rPr>
            <w:rStyle w:val="65"/>
          </w:rPr>
          <w:instrText xml:space="preserve"> PAGE </w:instrText>
        </w:r>
        <w:r>
          <w:rPr>
            <w:rStyle w:val="65"/>
          </w:rPr>
          <w:fldChar w:fldCharType="end"/>
        </w:r>
      </w:p>
    </w:sdtContent>
  </w:sdt>
  <w:p w14:paraId="362033A7">
    <w:pPr>
      <w:pStyle w:val="3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EEEE6">
    <w:pPr>
      <w:pStyle w:val="38"/>
      <w:pBdr>
        <w:top w:val="thinThickSmallGap" w:color="auto" w:sz="24" w:space="1"/>
      </w:pBdr>
      <w:rPr>
        <w:sz w:val="21"/>
        <w:szCs w:val="21"/>
      </w:rPr>
    </w:pPr>
    <w:r>
      <w:rPr>
        <w:rFonts w:hint="eastAsia"/>
        <w:sz w:val="21"/>
        <w:szCs w:val="21"/>
      </w:rPr>
      <w:t xml:space="preserve">                                         </w:t>
    </w:r>
    <w:r>
      <w:rPr>
        <w:rStyle w:val="65"/>
        <w:sz w:val="21"/>
        <w:szCs w:val="21"/>
      </w:rPr>
      <w:fldChar w:fldCharType="begin"/>
    </w:r>
    <w:r>
      <w:rPr>
        <w:rStyle w:val="65"/>
        <w:sz w:val="21"/>
        <w:szCs w:val="21"/>
      </w:rPr>
      <w:instrText xml:space="preserve"> PAGE </w:instrText>
    </w:r>
    <w:r>
      <w:rPr>
        <w:rStyle w:val="65"/>
        <w:sz w:val="21"/>
        <w:szCs w:val="21"/>
      </w:rPr>
      <w:fldChar w:fldCharType="separate"/>
    </w:r>
    <w:r>
      <w:rPr>
        <w:rStyle w:val="65"/>
        <w:sz w:val="21"/>
        <w:szCs w:val="21"/>
      </w:rPr>
      <w:t>VIII</w:t>
    </w:r>
    <w:r>
      <w:rPr>
        <w:rStyle w:val="65"/>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A8420">
    <w:pPr>
      <w:pStyle w:val="38"/>
      <w:pBdr>
        <w:top w:val="thinThickSmallGap" w:color="auto" w:sz="24" w:space="1"/>
      </w:pBdr>
      <w:tabs>
        <w:tab w:val="center" w:pos="4592"/>
        <w:tab w:val="clear" w:pos="8306"/>
      </w:tabs>
      <w:rPr>
        <w:rFonts w:hint="eastAsia" w:eastAsia="宋体"/>
        <w:sz w:val="21"/>
        <w:szCs w:val="21"/>
        <w:lang w:eastAsia="zh-CN"/>
      </w:rPr>
    </w:pPr>
    <w:r>
      <w:rPr>
        <w:rFonts w:hint="eastAsia"/>
        <w:sz w:val="21"/>
        <w:szCs w:val="21"/>
      </w:rPr>
      <w:t xml:space="preserve">                                         </w:t>
    </w:r>
    <w:r>
      <w:rPr>
        <w:rStyle w:val="65"/>
        <w:sz w:val="21"/>
        <w:szCs w:val="21"/>
      </w:rPr>
      <w:fldChar w:fldCharType="begin"/>
    </w:r>
    <w:r>
      <w:rPr>
        <w:rStyle w:val="65"/>
        <w:sz w:val="21"/>
        <w:szCs w:val="21"/>
      </w:rPr>
      <w:instrText xml:space="preserve"> PAGE </w:instrText>
    </w:r>
    <w:r>
      <w:rPr>
        <w:rStyle w:val="65"/>
        <w:sz w:val="21"/>
        <w:szCs w:val="21"/>
      </w:rPr>
      <w:fldChar w:fldCharType="separate"/>
    </w:r>
    <w:r>
      <w:rPr>
        <w:rStyle w:val="65"/>
        <w:sz w:val="21"/>
        <w:szCs w:val="21"/>
      </w:rPr>
      <w:t>VIII</w:t>
    </w:r>
    <w:r>
      <w:rPr>
        <w:rStyle w:val="65"/>
        <w:sz w:val="21"/>
        <w:szCs w:val="21"/>
      </w:rPr>
      <w:fldChar w:fldCharType="end"/>
    </w:r>
    <w:r>
      <w:rPr>
        <w:rStyle w:val="65"/>
        <w:rFonts w:hint="eastAsia"/>
        <w:sz w:val="21"/>
        <w:szCs w:val="21"/>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F6387">
    <w:pPr>
      <w:pStyle w:val="38"/>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Style w:val="65"/>
        <w:sz w:val="21"/>
        <w:szCs w:val="21"/>
      </w:rPr>
      <w:fldChar w:fldCharType="begin"/>
    </w:r>
    <w:r>
      <w:rPr>
        <w:rStyle w:val="65"/>
        <w:sz w:val="21"/>
        <w:szCs w:val="21"/>
      </w:rPr>
      <w:instrText xml:space="preserve"> PAGE </w:instrText>
    </w:r>
    <w:r>
      <w:rPr>
        <w:rStyle w:val="65"/>
        <w:sz w:val="21"/>
        <w:szCs w:val="21"/>
      </w:rPr>
      <w:fldChar w:fldCharType="separate"/>
    </w:r>
    <w:r>
      <w:rPr>
        <w:rStyle w:val="65"/>
        <w:sz w:val="21"/>
        <w:szCs w:val="21"/>
      </w:rPr>
      <w:t>72</w:t>
    </w:r>
    <w:r>
      <w:rPr>
        <w:rStyle w:val="65"/>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C4BF8">
    <w:pPr>
      <w:pStyle w:val="38"/>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Style w:val="65"/>
        <w:sz w:val="21"/>
        <w:szCs w:val="21"/>
      </w:rPr>
      <w:fldChar w:fldCharType="begin"/>
    </w:r>
    <w:r>
      <w:rPr>
        <w:rStyle w:val="65"/>
        <w:sz w:val="21"/>
        <w:szCs w:val="21"/>
      </w:rPr>
      <w:instrText xml:space="preserve"> PAGE </w:instrText>
    </w:r>
    <w:r>
      <w:rPr>
        <w:rStyle w:val="65"/>
        <w:sz w:val="21"/>
        <w:szCs w:val="21"/>
      </w:rPr>
      <w:fldChar w:fldCharType="separate"/>
    </w:r>
    <w:r>
      <w:rPr>
        <w:rStyle w:val="65"/>
        <w:sz w:val="21"/>
        <w:szCs w:val="21"/>
      </w:rPr>
      <w:t>72</w:t>
    </w:r>
    <w:r>
      <w:rPr>
        <w:rStyle w:val="65"/>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9EA06">
    <w:pPr>
      <w:pStyle w:val="38"/>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Style w:val="65"/>
        <w:sz w:val="21"/>
        <w:szCs w:val="21"/>
      </w:rPr>
      <w:fldChar w:fldCharType="begin"/>
    </w:r>
    <w:r>
      <w:rPr>
        <w:rStyle w:val="65"/>
        <w:sz w:val="21"/>
        <w:szCs w:val="21"/>
      </w:rPr>
      <w:instrText xml:space="preserve"> PAGE </w:instrText>
    </w:r>
    <w:r>
      <w:rPr>
        <w:rStyle w:val="65"/>
        <w:sz w:val="21"/>
        <w:szCs w:val="21"/>
      </w:rPr>
      <w:fldChar w:fldCharType="separate"/>
    </w:r>
    <w:r>
      <w:rPr>
        <w:rStyle w:val="65"/>
        <w:sz w:val="21"/>
        <w:szCs w:val="21"/>
      </w:rPr>
      <w:t>72</w:t>
    </w:r>
    <w:r>
      <w:rPr>
        <w:rStyle w:val="65"/>
        <w:sz w:val="21"/>
        <w:szCs w:val="21"/>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FA2FD7">
    <w:pPr>
      <w:pStyle w:val="38"/>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Style w:val="65"/>
        <w:sz w:val="21"/>
        <w:szCs w:val="21"/>
      </w:rPr>
      <w:fldChar w:fldCharType="begin"/>
    </w:r>
    <w:r>
      <w:rPr>
        <w:rStyle w:val="65"/>
        <w:sz w:val="21"/>
        <w:szCs w:val="21"/>
      </w:rPr>
      <w:instrText xml:space="preserve"> PAGE </w:instrText>
    </w:r>
    <w:r>
      <w:rPr>
        <w:rStyle w:val="65"/>
        <w:sz w:val="21"/>
        <w:szCs w:val="21"/>
      </w:rPr>
      <w:fldChar w:fldCharType="separate"/>
    </w:r>
    <w:r>
      <w:rPr>
        <w:rStyle w:val="65"/>
        <w:sz w:val="21"/>
        <w:szCs w:val="21"/>
      </w:rPr>
      <w:t>82</w:t>
    </w:r>
    <w:r>
      <w:rPr>
        <w:rStyle w:val="65"/>
        <w:sz w:val="21"/>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1944D">
    <w:pPr>
      <w:pStyle w:val="38"/>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Style w:val="65"/>
        <w:sz w:val="21"/>
        <w:szCs w:val="21"/>
      </w:rPr>
      <w:fldChar w:fldCharType="begin"/>
    </w:r>
    <w:r>
      <w:rPr>
        <w:rStyle w:val="65"/>
        <w:sz w:val="21"/>
        <w:szCs w:val="21"/>
      </w:rPr>
      <w:instrText xml:space="preserve"> PAGE </w:instrText>
    </w:r>
    <w:r>
      <w:rPr>
        <w:rStyle w:val="65"/>
        <w:sz w:val="21"/>
        <w:szCs w:val="21"/>
      </w:rPr>
      <w:fldChar w:fldCharType="separate"/>
    </w:r>
    <w:r>
      <w:rPr>
        <w:rStyle w:val="65"/>
        <w:sz w:val="21"/>
        <w:szCs w:val="21"/>
      </w:rPr>
      <w:t>82</w:t>
    </w:r>
    <w:r>
      <w:rPr>
        <w:rStyle w:val="65"/>
        <w:sz w:val="21"/>
        <w:szCs w:val="21"/>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86E45">
    <w:pPr>
      <w:pStyle w:val="38"/>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Style w:val="65"/>
        <w:sz w:val="21"/>
        <w:szCs w:val="21"/>
      </w:rPr>
      <w:fldChar w:fldCharType="begin"/>
    </w:r>
    <w:r>
      <w:rPr>
        <w:rStyle w:val="65"/>
        <w:sz w:val="21"/>
        <w:szCs w:val="21"/>
      </w:rPr>
      <w:instrText xml:space="preserve"> PAGE </w:instrText>
    </w:r>
    <w:r>
      <w:rPr>
        <w:rStyle w:val="65"/>
        <w:sz w:val="21"/>
        <w:szCs w:val="21"/>
      </w:rPr>
      <w:fldChar w:fldCharType="separate"/>
    </w:r>
    <w:r>
      <w:rPr>
        <w:rStyle w:val="65"/>
        <w:sz w:val="21"/>
        <w:szCs w:val="21"/>
      </w:rPr>
      <w:t>82</w:t>
    </w:r>
    <w:r>
      <w:rPr>
        <w:rStyle w:val="65"/>
        <w:sz w:val="21"/>
        <w:szCs w:val="21"/>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42C79">
    <w:pPr>
      <w:pStyle w:val="38"/>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Style w:val="65"/>
        <w:sz w:val="21"/>
        <w:szCs w:val="21"/>
      </w:rPr>
      <w:fldChar w:fldCharType="begin"/>
    </w:r>
    <w:r>
      <w:rPr>
        <w:rStyle w:val="65"/>
        <w:sz w:val="21"/>
        <w:szCs w:val="21"/>
      </w:rPr>
      <w:instrText xml:space="preserve"> PAGE </w:instrText>
    </w:r>
    <w:r>
      <w:rPr>
        <w:rStyle w:val="65"/>
        <w:sz w:val="21"/>
        <w:szCs w:val="21"/>
      </w:rPr>
      <w:fldChar w:fldCharType="separate"/>
    </w:r>
    <w:r>
      <w:rPr>
        <w:rStyle w:val="65"/>
        <w:sz w:val="21"/>
        <w:szCs w:val="21"/>
      </w:rPr>
      <w:t>82</w:t>
    </w:r>
    <w:r>
      <w:rPr>
        <w:rStyle w:val="65"/>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C0412">
    <w:pPr>
      <w:pStyle w:val="40"/>
      <w:pBdr>
        <w:top w:val="none" w:color="auto" w:sz="0" w:space="1"/>
        <w:left w:val="none" w:color="auto" w:sz="0" w:space="4"/>
        <w:bottom w:val="none" w:color="auto" w:sz="0" w:space="1"/>
        <w:right w:val="none" w:color="auto" w:sz="0" w:space="4"/>
        <w:between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8B27B">
    <w:pPr>
      <w:pStyle w:val="40"/>
      <w:pBdr>
        <w:bottom w:val="thinThickSmallGap" w:color="auto" w:sz="24" w:space="1"/>
      </w:pBdr>
      <w:rPr>
        <w:sz w:val="21"/>
        <w:szCs w:val="21"/>
      </w:rPr>
    </w:pPr>
    <w:r>
      <w:rPr>
        <w:rFonts w:hint="eastAsia"/>
        <w:sz w:val="21"/>
        <w:szCs w:val="21"/>
      </w:rPr>
      <w:t>浙江伟星实业发展股份有限公司临海纽扣分公司危化品仓库专项安全现状评价报告</w:t>
    </w:r>
  </w:p>
  <w:p w14:paraId="4DCA8D7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7E317">
    <w:pPr>
      <w:pStyle w:val="40"/>
      <w:pBdr>
        <w:bottom w:val="thinThickSmallGap" w:color="auto" w:sz="24" w:space="1"/>
      </w:pBdr>
      <w:rPr>
        <w:sz w:val="21"/>
        <w:szCs w:val="21"/>
      </w:rPr>
    </w:pPr>
    <w:r>
      <w:rPr>
        <w:rFonts w:hint="eastAsia"/>
        <w:sz w:val="21"/>
        <w:szCs w:val="21"/>
      </w:rPr>
      <w:t>浙江伟星实业发展股份有限公司临海纽扣分公司危化品仓库专项安全现状评价报告</w:t>
    </w:r>
  </w:p>
  <w:p w14:paraId="051812C4"/>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AE0FF">
    <w:pPr>
      <w:pStyle w:val="40"/>
      <w:pBdr>
        <w:bottom w:val="thinThickSmallGap" w:color="auto" w:sz="24" w:space="1"/>
      </w:pBdr>
      <w:rPr>
        <w:sz w:val="21"/>
        <w:szCs w:val="21"/>
      </w:rPr>
    </w:pPr>
    <w:r>
      <w:rPr>
        <w:rFonts w:hint="eastAsia"/>
        <w:sz w:val="21"/>
        <w:szCs w:val="21"/>
      </w:rPr>
      <w:t>浙江伟星实业发展股份有限公司临海纽扣分公司危化品仓库专项安全现状评价报告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E490B2"/>
    <w:multiLevelType w:val="singleLevel"/>
    <w:tmpl w:val="80E490B2"/>
    <w:lvl w:ilvl="0" w:tentative="0">
      <w:start w:val="1"/>
      <w:numFmt w:val="decimal"/>
      <w:lvlText w:val="%1."/>
      <w:lvlJc w:val="left"/>
      <w:pPr>
        <w:ind w:left="425" w:hanging="425"/>
      </w:pPr>
      <w:rPr>
        <w:rFonts w:hint="default"/>
      </w:rPr>
    </w:lvl>
  </w:abstractNum>
  <w:abstractNum w:abstractNumId="1">
    <w:nsid w:val="825EDC9F"/>
    <w:multiLevelType w:val="singleLevel"/>
    <w:tmpl w:val="825EDC9F"/>
    <w:lvl w:ilvl="0" w:tentative="0">
      <w:start w:val="1"/>
      <w:numFmt w:val="decimal"/>
      <w:lvlText w:val="(%1)"/>
      <w:lvlJc w:val="left"/>
      <w:pPr>
        <w:ind w:left="425" w:hanging="425"/>
      </w:pPr>
      <w:rPr>
        <w:rFonts w:hint="default"/>
      </w:rPr>
    </w:lvl>
  </w:abstractNum>
  <w:abstractNum w:abstractNumId="2">
    <w:nsid w:val="89CD407F"/>
    <w:multiLevelType w:val="singleLevel"/>
    <w:tmpl w:val="89CD407F"/>
    <w:lvl w:ilvl="0" w:tentative="0">
      <w:start w:val="1"/>
      <w:numFmt w:val="decimal"/>
      <w:lvlText w:val="(%1)"/>
      <w:lvlJc w:val="left"/>
      <w:pPr>
        <w:ind w:left="70" w:hanging="425"/>
      </w:pPr>
      <w:rPr>
        <w:rFonts w:hint="default" w:ascii="宋体" w:hAnsi="宋体" w:eastAsia="宋体" w:cs="宋体"/>
        <w:sz w:val="28"/>
        <w:szCs w:val="28"/>
      </w:rPr>
    </w:lvl>
  </w:abstractNum>
  <w:abstractNum w:abstractNumId="3">
    <w:nsid w:val="8B8ACC11"/>
    <w:multiLevelType w:val="singleLevel"/>
    <w:tmpl w:val="8B8ACC11"/>
    <w:lvl w:ilvl="0" w:tentative="0">
      <w:start w:val="1"/>
      <w:numFmt w:val="decimal"/>
      <w:lvlText w:val="%1."/>
      <w:lvlJc w:val="left"/>
      <w:pPr>
        <w:ind w:left="425" w:hanging="425"/>
      </w:pPr>
      <w:rPr>
        <w:rFonts w:hint="default"/>
      </w:rPr>
    </w:lvl>
  </w:abstractNum>
  <w:abstractNum w:abstractNumId="4">
    <w:nsid w:val="986E55C4"/>
    <w:multiLevelType w:val="singleLevel"/>
    <w:tmpl w:val="986E55C4"/>
    <w:lvl w:ilvl="0" w:tentative="0">
      <w:start w:val="1"/>
      <w:numFmt w:val="decimal"/>
      <w:lvlText w:val="%1."/>
      <w:lvlJc w:val="left"/>
      <w:pPr>
        <w:ind w:left="425" w:hanging="425"/>
      </w:pPr>
      <w:rPr>
        <w:rFonts w:hint="default"/>
      </w:rPr>
    </w:lvl>
  </w:abstractNum>
  <w:abstractNum w:abstractNumId="5">
    <w:nsid w:val="9B44D99F"/>
    <w:multiLevelType w:val="singleLevel"/>
    <w:tmpl w:val="9B44D99F"/>
    <w:lvl w:ilvl="0" w:tentative="0">
      <w:start w:val="1"/>
      <w:numFmt w:val="decimal"/>
      <w:lvlText w:val="%1."/>
      <w:lvlJc w:val="left"/>
      <w:pPr>
        <w:ind w:left="425" w:hanging="425"/>
      </w:pPr>
      <w:rPr>
        <w:rFonts w:hint="default" w:ascii="宋体" w:hAnsi="宋体" w:eastAsia="宋体" w:cs="宋体"/>
        <w:sz w:val="21"/>
        <w:szCs w:val="21"/>
      </w:rPr>
    </w:lvl>
  </w:abstractNum>
  <w:abstractNum w:abstractNumId="6">
    <w:nsid w:val="AF3453C5"/>
    <w:multiLevelType w:val="singleLevel"/>
    <w:tmpl w:val="AF3453C5"/>
    <w:lvl w:ilvl="0" w:tentative="0">
      <w:start w:val="1"/>
      <w:numFmt w:val="chineseCounting"/>
      <w:suff w:val="nothing"/>
      <w:lvlText w:val="（%1）"/>
      <w:lvlJc w:val="left"/>
      <w:pPr>
        <w:ind w:left="0" w:firstLine="420"/>
      </w:pPr>
      <w:rPr>
        <w:rFonts w:hint="eastAsia"/>
      </w:rPr>
    </w:lvl>
  </w:abstractNum>
  <w:abstractNum w:abstractNumId="7">
    <w:nsid w:val="B6B22CBD"/>
    <w:multiLevelType w:val="singleLevel"/>
    <w:tmpl w:val="B6B22CBD"/>
    <w:lvl w:ilvl="0" w:tentative="0">
      <w:start w:val="1"/>
      <w:numFmt w:val="chineseCounting"/>
      <w:suff w:val="nothing"/>
      <w:lvlText w:val="（%1）"/>
      <w:lvlJc w:val="left"/>
      <w:pPr>
        <w:ind w:left="0" w:firstLine="420"/>
      </w:pPr>
      <w:rPr>
        <w:rFonts w:hint="eastAsia"/>
      </w:rPr>
    </w:lvl>
  </w:abstractNum>
  <w:abstractNum w:abstractNumId="8">
    <w:nsid w:val="BC429CEB"/>
    <w:multiLevelType w:val="singleLevel"/>
    <w:tmpl w:val="BC429CEB"/>
    <w:lvl w:ilvl="0" w:tentative="0">
      <w:start w:val="1"/>
      <w:numFmt w:val="decimal"/>
      <w:lvlText w:val="(%1)"/>
      <w:lvlJc w:val="left"/>
      <w:pPr>
        <w:ind w:left="425" w:hanging="425"/>
      </w:pPr>
      <w:rPr>
        <w:rFonts w:hint="default" w:ascii="宋体" w:hAnsi="宋体" w:eastAsia="宋体" w:cs="宋体"/>
        <w:sz w:val="28"/>
        <w:szCs w:val="28"/>
      </w:rPr>
    </w:lvl>
  </w:abstractNum>
  <w:abstractNum w:abstractNumId="9">
    <w:nsid w:val="BE5449AC"/>
    <w:multiLevelType w:val="singleLevel"/>
    <w:tmpl w:val="BE5449AC"/>
    <w:lvl w:ilvl="0" w:tentative="0">
      <w:start w:val="1"/>
      <w:numFmt w:val="decimal"/>
      <w:lvlText w:val="%1)"/>
      <w:lvlJc w:val="left"/>
      <w:pPr>
        <w:ind w:left="425" w:hanging="425"/>
      </w:pPr>
      <w:rPr>
        <w:rFonts w:hint="default"/>
      </w:rPr>
    </w:lvl>
  </w:abstractNum>
  <w:abstractNum w:abstractNumId="10">
    <w:nsid w:val="BEEE9D84"/>
    <w:multiLevelType w:val="singleLevel"/>
    <w:tmpl w:val="BEEE9D84"/>
    <w:lvl w:ilvl="0" w:tentative="0">
      <w:start w:val="1"/>
      <w:numFmt w:val="decimal"/>
      <w:lvlText w:val="(%1)"/>
      <w:lvlJc w:val="left"/>
      <w:pPr>
        <w:ind w:left="425" w:hanging="425"/>
      </w:pPr>
      <w:rPr>
        <w:rFonts w:hint="default"/>
      </w:rPr>
    </w:lvl>
  </w:abstractNum>
  <w:abstractNum w:abstractNumId="11">
    <w:nsid w:val="C52E8868"/>
    <w:multiLevelType w:val="singleLevel"/>
    <w:tmpl w:val="C52E8868"/>
    <w:lvl w:ilvl="0" w:tentative="0">
      <w:start w:val="1"/>
      <w:numFmt w:val="decimal"/>
      <w:lvlText w:val="%1."/>
      <w:lvlJc w:val="left"/>
      <w:pPr>
        <w:ind w:left="425" w:hanging="425"/>
      </w:pPr>
      <w:rPr>
        <w:rFonts w:hint="default"/>
      </w:rPr>
    </w:lvl>
  </w:abstractNum>
  <w:abstractNum w:abstractNumId="12">
    <w:nsid w:val="C8FE725F"/>
    <w:multiLevelType w:val="singleLevel"/>
    <w:tmpl w:val="C8FE725F"/>
    <w:lvl w:ilvl="0" w:tentative="0">
      <w:start w:val="1"/>
      <w:numFmt w:val="decimal"/>
      <w:suff w:val="nothing"/>
      <w:lvlText w:val="（%1）"/>
      <w:lvlJc w:val="left"/>
    </w:lvl>
  </w:abstractNum>
  <w:abstractNum w:abstractNumId="13">
    <w:nsid w:val="CA893036"/>
    <w:multiLevelType w:val="singleLevel"/>
    <w:tmpl w:val="CA893036"/>
    <w:lvl w:ilvl="0" w:tentative="0">
      <w:start w:val="1"/>
      <w:numFmt w:val="decimal"/>
      <w:lvlText w:val="%1."/>
      <w:lvlJc w:val="left"/>
      <w:pPr>
        <w:ind w:left="425" w:hanging="425"/>
      </w:pPr>
      <w:rPr>
        <w:rFonts w:hint="default"/>
      </w:rPr>
    </w:lvl>
  </w:abstractNum>
  <w:abstractNum w:abstractNumId="14">
    <w:nsid w:val="D3A3C728"/>
    <w:multiLevelType w:val="singleLevel"/>
    <w:tmpl w:val="D3A3C728"/>
    <w:lvl w:ilvl="0" w:tentative="0">
      <w:start w:val="1"/>
      <w:numFmt w:val="decimal"/>
      <w:lvlText w:val="%1."/>
      <w:lvlJc w:val="left"/>
      <w:pPr>
        <w:ind w:left="425" w:hanging="425"/>
      </w:pPr>
      <w:rPr>
        <w:rFonts w:hint="default"/>
      </w:rPr>
    </w:lvl>
  </w:abstractNum>
  <w:abstractNum w:abstractNumId="15">
    <w:nsid w:val="D3B8E754"/>
    <w:multiLevelType w:val="singleLevel"/>
    <w:tmpl w:val="D3B8E754"/>
    <w:lvl w:ilvl="0" w:tentative="0">
      <w:start w:val="1"/>
      <w:numFmt w:val="decimal"/>
      <w:lvlText w:val="(%1)"/>
      <w:lvlJc w:val="left"/>
      <w:pPr>
        <w:ind w:left="425" w:hanging="425"/>
      </w:pPr>
      <w:rPr>
        <w:rFonts w:hint="default" w:ascii="宋体" w:hAnsi="宋体" w:eastAsia="宋体" w:cs="宋体"/>
      </w:rPr>
    </w:lvl>
  </w:abstractNum>
  <w:abstractNum w:abstractNumId="16">
    <w:nsid w:val="D7DBF90B"/>
    <w:multiLevelType w:val="singleLevel"/>
    <w:tmpl w:val="D7DBF90B"/>
    <w:lvl w:ilvl="0" w:tentative="0">
      <w:start w:val="1"/>
      <w:numFmt w:val="decimal"/>
      <w:lvlText w:val="%1."/>
      <w:lvlJc w:val="left"/>
      <w:pPr>
        <w:ind w:left="425" w:hanging="425"/>
      </w:pPr>
      <w:rPr>
        <w:rFonts w:hint="default"/>
      </w:rPr>
    </w:lvl>
  </w:abstractNum>
  <w:abstractNum w:abstractNumId="17">
    <w:nsid w:val="D8C87B6B"/>
    <w:multiLevelType w:val="singleLevel"/>
    <w:tmpl w:val="D8C87B6B"/>
    <w:lvl w:ilvl="0" w:tentative="0">
      <w:start w:val="1"/>
      <w:numFmt w:val="decimal"/>
      <w:lvlText w:val="%1."/>
      <w:lvlJc w:val="left"/>
      <w:pPr>
        <w:ind w:left="425" w:hanging="425"/>
      </w:pPr>
      <w:rPr>
        <w:rFonts w:hint="default"/>
      </w:rPr>
    </w:lvl>
  </w:abstractNum>
  <w:abstractNum w:abstractNumId="18">
    <w:nsid w:val="DA51B879"/>
    <w:multiLevelType w:val="singleLevel"/>
    <w:tmpl w:val="DA51B879"/>
    <w:lvl w:ilvl="0" w:tentative="0">
      <w:start w:val="1"/>
      <w:numFmt w:val="chineseCounting"/>
      <w:suff w:val="nothing"/>
      <w:lvlText w:val="%1、"/>
      <w:lvlJc w:val="left"/>
      <w:pPr>
        <w:ind w:left="0" w:firstLine="0"/>
      </w:pPr>
      <w:rPr>
        <w:rFonts w:hint="eastAsia"/>
      </w:rPr>
    </w:lvl>
  </w:abstractNum>
  <w:abstractNum w:abstractNumId="19">
    <w:nsid w:val="DCA76249"/>
    <w:multiLevelType w:val="singleLevel"/>
    <w:tmpl w:val="DCA76249"/>
    <w:lvl w:ilvl="0" w:tentative="0">
      <w:start w:val="1"/>
      <w:numFmt w:val="decimal"/>
      <w:lvlText w:val="%1."/>
      <w:lvlJc w:val="left"/>
      <w:pPr>
        <w:ind w:left="425" w:hanging="425"/>
      </w:pPr>
      <w:rPr>
        <w:rFonts w:hint="default"/>
      </w:rPr>
    </w:lvl>
  </w:abstractNum>
  <w:abstractNum w:abstractNumId="20">
    <w:nsid w:val="DCC18426"/>
    <w:multiLevelType w:val="singleLevel"/>
    <w:tmpl w:val="DCC18426"/>
    <w:lvl w:ilvl="0" w:tentative="0">
      <w:start w:val="1"/>
      <w:numFmt w:val="decimal"/>
      <w:lvlText w:val="%1."/>
      <w:lvlJc w:val="left"/>
      <w:pPr>
        <w:ind w:left="425" w:hanging="425"/>
      </w:pPr>
      <w:rPr>
        <w:rFonts w:hint="default"/>
      </w:rPr>
    </w:lvl>
  </w:abstractNum>
  <w:abstractNum w:abstractNumId="21">
    <w:nsid w:val="DF771437"/>
    <w:multiLevelType w:val="singleLevel"/>
    <w:tmpl w:val="DF771437"/>
    <w:lvl w:ilvl="0" w:tentative="0">
      <w:start w:val="1"/>
      <w:numFmt w:val="decimal"/>
      <w:lvlText w:val="%1."/>
      <w:lvlJc w:val="left"/>
      <w:pPr>
        <w:ind w:left="425" w:hanging="425"/>
      </w:pPr>
      <w:rPr>
        <w:rFonts w:hint="default"/>
      </w:rPr>
    </w:lvl>
  </w:abstractNum>
  <w:abstractNum w:abstractNumId="22">
    <w:nsid w:val="E31DD085"/>
    <w:multiLevelType w:val="singleLevel"/>
    <w:tmpl w:val="E31DD085"/>
    <w:lvl w:ilvl="0" w:tentative="0">
      <w:start w:val="1"/>
      <w:numFmt w:val="decimal"/>
      <w:lvlText w:val="(%1)"/>
      <w:lvlJc w:val="left"/>
      <w:pPr>
        <w:ind w:left="425" w:hanging="425"/>
      </w:pPr>
      <w:rPr>
        <w:rFonts w:hint="default"/>
      </w:rPr>
    </w:lvl>
  </w:abstractNum>
  <w:abstractNum w:abstractNumId="23">
    <w:nsid w:val="F029B40D"/>
    <w:multiLevelType w:val="singleLevel"/>
    <w:tmpl w:val="F029B40D"/>
    <w:lvl w:ilvl="0" w:tentative="0">
      <w:start w:val="1"/>
      <w:numFmt w:val="decimal"/>
      <w:lvlText w:val="%1."/>
      <w:lvlJc w:val="left"/>
      <w:pPr>
        <w:ind w:left="425" w:hanging="425"/>
      </w:pPr>
      <w:rPr>
        <w:rFonts w:hint="default"/>
      </w:rPr>
    </w:lvl>
  </w:abstractNum>
  <w:abstractNum w:abstractNumId="24">
    <w:nsid w:val="F09C1A5A"/>
    <w:multiLevelType w:val="singleLevel"/>
    <w:tmpl w:val="F09C1A5A"/>
    <w:lvl w:ilvl="0" w:tentative="0">
      <w:start w:val="1"/>
      <w:numFmt w:val="decimal"/>
      <w:lvlText w:val="%1."/>
      <w:lvlJc w:val="left"/>
      <w:pPr>
        <w:ind w:left="425" w:hanging="425"/>
      </w:pPr>
      <w:rPr>
        <w:rFonts w:hint="default"/>
      </w:rPr>
    </w:lvl>
  </w:abstractNum>
  <w:abstractNum w:abstractNumId="25">
    <w:nsid w:val="F3ABB856"/>
    <w:multiLevelType w:val="singleLevel"/>
    <w:tmpl w:val="F3ABB856"/>
    <w:lvl w:ilvl="0" w:tentative="0">
      <w:start w:val="1"/>
      <w:numFmt w:val="decimalEnclosedCircleChinese"/>
      <w:suff w:val="nothing"/>
      <w:lvlText w:val="%1　"/>
      <w:lvlJc w:val="left"/>
      <w:pPr>
        <w:ind w:left="0" w:firstLine="400"/>
      </w:pPr>
      <w:rPr>
        <w:rFonts w:hint="eastAsia"/>
      </w:rPr>
    </w:lvl>
  </w:abstractNum>
  <w:abstractNum w:abstractNumId="26">
    <w:nsid w:val="F6AC418C"/>
    <w:multiLevelType w:val="singleLevel"/>
    <w:tmpl w:val="F6AC418C"/>
    <w:lvl w:ilvl="0" w:tentative="0">
      <w:start w:val="1"/>
      <w:numFmt w:val="chineseCounting"/>
      <w:suff w:val="nothing"/>
      <w:lvlText w:val="（%1）"/>
      <w:lvlJc w:val="left"/>
      <w:pPr>
        <w:ind w:left="0" w:firstLine="420"/>
      </w:pPr>
      <w:rPr>
        <w:rFonts w:hint="eastAsia"/>
      </w:rPr>
    </w:lvl>
  </w:abstractNum>
  <w:abstractNum w:abstractNumId="27">
    <w:nsid w:val="F83FCDA2"/>
    <w:multiLevelType w:val="singleLevel"/>
    <w:tmpl w:val="F83FCDA2"/>
    <w:lvl w:ilvl="0" w:tentative="0">
      <w:start w:val="1"/>
      <w:numFmt w:val="decimal"/>
      <w:lvlText w:val="(%1)"/>
      <w:lvlJc w:val="left"/>
      <w:pPr>
        <w:ind w:left="425" w:hanging="425"/>
      </w:pPr>
      <w:rPr>
        <w:rFonts w:hint="default"/>
      </w:rPr>
    </w:lvl>
  </w:abstractNum>
  <w:abstractNum w:abstractNumId="28">
    <w:nsid w:val="F9E26ECC"/>
    <w:multiLevelType w:val="singleLevel"/>
    <w:tmpl w:val="F9E26ECC"/>
    <w:lvl w:ilvl="0" w:tentative="0">
      <w:start w:val="1"/>
      <w:numFmt w:val="decimal"/>
      <w:lvlText w:val="(%1)"/>
      <w:lvlJc w:val="left"/>
      <w:pPr>
        <w:ind w:left="425" w:hanging="425"/>
      </w:pPr>
      <w:rPr>
        <w:rFonts w:hint="default"/>
      </w:rPr>
    </w:lvl>
  </w:abstractNum>
  <w:abstractNum w:abstractNumId="29">
    <w:nsid w:val="FBCE4AF8"/>
    <w:multiLevelType w:val="singleLevel"/>
    <w:tmpl w:val="FBCE4AF8"/>
    <w:lvl w:ilvl="0" w:tentative="0">
      <w:start w:val="1"/>
      <w:numFmt w:val="decimal"/>
      <w:lvlText w:val="%1)"/>
      <w:lvlJc w:val="left"/>
      <w:pPr>
        <w:ind w:left="425" w:hanging="425"/>
      </w:pPr>
      <w:rPr>
        <w:rFonts w:hint="default"/>
      </w:rPr>
    </w:lvl>
  </w:abstractNum>
  <w:abstractNum w:abstractNumId="30">
    <w:nsid w:val="01867A55"/>
    <w:multiLevelType w:val="singleLevel"/>
    <w:tmpl w:val="01867A55"/>
    <w:lvl w:ilvl="0" w:tentative="0">
      <w:start w:val="1"/>
      <w:numFmt w:val="decimal"/>
      <w:lvlText w:val="%1."/>
      <w:lvlJc w:val="left"/>
      <w:pPr>
        <w:ind w:left="425" w:hanging="425"/>
      </w:pPr>
      <w:rPr>
        <w:rFonts w:hint="default"/>
      </w:rPr>
    </w:lvl>
  </w:abstractNum>
  <w:abstractNum w:abstractNumId="31">
    <w:nsid w:val="034E7250"/>
    <w:multiLevelType w:val="singleLevel"/>
    <w:tmpl w:val="034E7250"/>
    <w:lvl w:ilvl="0" w:tentative="0">
      <w:start w:val="1"/>
      <w:numFmt w:val="decimal"/>
      <w:lvlText w:val="%1."/>
      <w:lvlJc w:val="left"/>
      <w:pPr>
        <w:ind w:left="425" w:hanging="425"/>
      </w:pPr>
      <w:rPr>
        <w:rFonts w:hint="default"/>
      </w:rPr>
    </w:lvl>
  </w:abstractNum>
  <w:abstractNum w:abstractNumId="32">
    <w:nsid w:val="05056C63"/>
    <w:multiLevelType w:val="singleLevel"/>
    <w:tmpl w:val="05056C63"/>
    <w:lvl w:ilvl="0" w:tentative="0">
      <w:start w:val="1"/>
      <w:numFmt w:val="decimal"/>
      <w:lvlText w:val="%1."/>
      <w:lvlJc w:val="left"/>
      <w:pPr>
        <w:ind w:left="425" w:hanging="425"/>
      </w:pPr>
      <w:rPr>
        <w:rFonts w:hint="default"/>
      </w:rPr>
    </w:lvl>
  </w:abstractNum>
  <w:abstractNum w:abstractNumId="33">
    <w:nsid w:val="0C07C730"/>
    <w:multiLevelType w:val="singleLevel"/>
    <w:tmpl w:val="0C07C730"/>
    <w:lvl w:ilvl="0" w:tentative="0">
      <w:start w:val="1"/>
      <w:numFmt w:val="decimal"/>
      <w:lvlText w:val="(%1)"/>
      <w:lvlJc w:val="left"/>
      <w:pPr>
        <w:ind w:left="425" w:hanging="425"/>
      </w:pPr>
      <w:rPr>
        <w:rFonts w:hint="default"/>
      </w:rPr>
    </w:lvl>
  </w:abstractNum>
  <w:abstractNum w:abstractNumId="34">
    <w:nsid w:val="0D0B1DA9"/>
    <w:multiLevelType w:val="singleLevel"/>
    <w:tmpl w:val="0D0B1DA9"/>
    <w:lvl w:ilvl="0" w:tentative="0">
      <w:start w:val="1"/>
      <w:numFmt w:val="decimal"/>
      <w:lvlText w:val="(%1)"/>
      <w:lvlJc w:val="left"/>
      <w:pPr>
        <w:ind w:left="425" w:hanging="425"/>
      </w:pPr>
      <w:rPr>
        <w:rFonts w:hint="default"/>
      </w:rPr>
    </w:lvl>
  </w:abstractNum>
  <w:abstractNum w:abstractNumId="35">
    <w:nsid w:val="0E145BB9"/>
    <w:multiLevelType w:val="singleLevel"/>
    <w:tmpl w:val="0E145BB9"/>
    <w:lvl w:ilvl="0" w:tentative="0">
      <w:start w:val="1"/>
      <w:numFmt w:val="decimal"/>
      <w:lvlText w:val="%1."/>
      <w:lvlJc w:val="left"/>
      <w:pPr>
        <w:ind w:left="425" w:hanging="425"/>
      </w:pPr>
      <w:rPr>
        <w:rFonts w:hint="default"/>
      </w:rPr>
    </w:lvl>
  </w:abstractNum>
  <w:abstractNum w:abstractNumId="36">
    <w:nsid w:val="10837295"/>
    <w:multiLevelType w:val="singleLevel"/>
    <w:tmpl w:val="10837295"/>
    <w:lvl w:ilvl="0" w:tentative="0">
      <w:start w:val="1"/>
      <w:numFmt w:val="decimal"/>
      <w:lvlText w:val="%1."/>
      <w:lvlJc w:val="left"/>
      <w:pPr>
        <w:ind w:left="425" w:hanging="425"/>
      </w:pPr>
      <w:rPr>
        <w:rFonts w:hint="default"/>
      </w:rPr>
    </w:lvl>
  </w:abstractNum>
  <w:abstractNum w:abstractNumId="37">
    <w:nsid w:val="1293C826"/>
    <w:multiLevelType w:val="singleLevel"/>
    <w:tmpl w:val="1293C826"/>
    <w:lvl w:ilvl="0" w:tentative="0">
      <w:start w:val="1"/>
      <w:numFmt w:val="decimal"/>
      <w:lvlText w:val="%1."/>
      <w:lvlJc w:val="left"/>
      <w:pPr>
        <w:ind w:left="425" w:hanging="425"/>
      </w:pPr>
      <w:rPr>
        <w:rFonts w:hint="default"/>
      </w:rPr>
    </w:lvl>
  </w:abstractNum>
  <w:abstractNum w:abstractNumId="38">
    <w:nsid w:val="13897481"/>
    <w:multiLevelType w:val="singleLevel"/>
    <w:tmpl w:val="13897481"/>
    <w:lvl w:ilvl="0" w:tentative="0">
      <w:start w:val="1"/>
      <w:numFmt w:val="chineseCounting"/>
      <w:suff w:val="nothing"/>
      <w:lvlText w:val="%1、"/>
      <w:lvlJc w:val="left"/>
      <w:pPr>
        <w:ind w:left="0" w:firstLine="420"/>
      </w:pPr>
      <w:rPr>
        <w:rFonts w:hint="eastAsia"/>
      </w:rPr>
    </w:lvl>
  </w:abstractNum>
  <w:abstractNum w:abstractNumId="39">
    <w:nsid w:val="15BA60F3"/>
    <w:multiLevelType w:val="singleLevel"/>
    <w:tmpl w:val="15BA60F3"/>
    <w:lvl w:ilvl="0" w:tentative="0">
      <w:start w:val="1"/>
      <w:numFmt w:val="decimal"/>
      <w:lvlText w:val="(%1)"/>
      <w:lvlJc w:val="left"/>
      <w:pPr>
        <w:ind w:left="425" w:hanging="425"/>
      </w:pPr>
      <w:rPr>
        <w:rFonts w:hint="default" w:ascii="宋体" w:hAnsi="宋体" w:eastAsia="宋体" w:cs="宋体"/>
        <w:sz w:val="28"/>
        <w:szCs w:val="28"/>
      </w:rPr>
    </w:lvl>
  </w:abstractNum>
  <w:abstractNum w:abstractNumId="40">
    <w:nsid w:val="192B9221"/>
    <w:multiLevelType w:val="singleLevel"/>
    <w:tmpl w:val="192B9221"/>
    <w:lvl w:ilvl="0" w:tentative="0">
      <w:start w:val="1"/>
      <w:numFmt w:val="decimal"/>
      <w:lvlText w:val="%1."/>
      <w:lvlJc w:val="left"/>
      <w:pPr>
        <w:ind w:left="425" w:hanging="425"/>
      </w:pPr>
      <w:rPr>
        <w:rFonts w:hint="default"/>
      </w:rPr>
    </w:lvl>
  </w:abstractNum>
  <w:abstractNum w:abstractNumId="41">
    <w:nsid w:val="19ECD996"/>
    <w:multiLevelType w:val="singleLevel"/>
    <w:tmpl w:val="19ECD996"/>
    <w:lvl w:ilvl="0" w:tentative="0">
      <w:start w:val="1"/>
      <w:numFmt w:val="decimal"/>
      <w:lvlText w:val="%1)"/>
      <w:lvlJc w:val="left"/>
      <w:pPr>
        <w:ind w:left="425" w:hanging="425"/>
      </w:pPr>
      <w:rPr>
        <w:rFonts w:hint="default"/>
      </w:rPr>
    </w:lvl>
  </w:abstractNum>
  <w:abstractNum w:abstractNumId="42">
    <w:nsid w:val="1DED1DD6"/>
    <w:multiLevelType w:val="singleLevel"/>
    <w:tmpl w:val="1DED1DD6"/>
    <w:lvl w:ilvl="0" w:tentative="0">
      <w:start w:val="1"/>
      <w:numFmt w:val="decimal"/>
      <w:lvlText w:val="(%1)"/>
      <w:lvlJc w:val="left"/>
      <w:pPr>
        <w:ind w:left="425" w:hanging="425"/>
      </w:pPr>
      <w:rPr>
        <w:rFonts w:hint="default"/>
      </w:rPr>
    </w:lvl>
  </w:abstractNum>
  <w:abstractNum w:abstractNumId="43">
    <w:nsid w:val="22ED1087"/>
    <w:multiLevelType w:val="multilevel"/>
    <w:tmpl w:val="22ED1087"/>
    <w:lvl w:ilvl="0" w:tentative="0">
      <w:start w:val="1"/>
      <w:numFmt w:val="decimal"/>
      <w:lvlText w:val="%1"/>
      <w:lvlJc w:val="left"/>
      <w:pPr>
        <w:ind w:left="560" w:hanging="560"/>
      </w:pPr>
      <w:rPr>
        <w:rFonts w:hint="default"/>
      </w:rPr>
    </w:lvl>
    <w:lvl w:ilvl="1" w:tentative="0">
      <w:start w:val="2"/>
      <w:numFmt w:val="decimal"/>
      <w:lvlText w:val="%1.%2"/>
      <w:lvlJc w:val="left"/>
      <w:pPr>
        <w:ind w:left="560" w:hanging="5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44">
    <w:nsid w:val="26F538C8"/>
    <w:multiLevelType w:val="singleLevel"/>
    <w:tmpl w:val="26F538C8"/>
    <w:lvl w:ilvl="0" w:tentative="0">
      <w:start w:val="1"/>
      <w:numFmt w:val="decimal"/>
      <w:lvlText w:val="%1."/>
      <w:lvlJc w:val="left"/>
      <w:pPr>
        <w:ind w:left="425" w:hanging="425"/>
      </w:pPr>
      <w:rPr>
        <w:rFonts w:hint="default"/>
      </w:rPr>
    </w:lvl>
  </w:abstractNum>
  <w:abstractNum w:abstractNumId="45">
    <w:nsid w:val="276BC19A"/>
    <w:multiLevelType w:val="singleLevel"/>
    <w:tmpl w:val="276BC19A"/>
    <w:lvl w:ilvl="0" w:tentative="0">
      <w:start w:val="1"/>
      <w:numFmt w:val="decimal"/>
      <w:lvlText w:val="(%1)"/>
      <w:lvlJc w:val="left"/>
      <w:pPr>
        <w:ind w:left="425" w:hanging="425"/>
      </w:pPr>
      <w:rPr>
        <w:rFonts w:hint="default"/>
      </w:rPr>
    </w:lvl>
  </w:abstractNum>
  <w:abstractNum w:abstractNumId="46">
    <w:nsid w:val="2941222A"/>
    <w:multiLevelType w:val="singleLevel"/>
    <w:tmpl w:val="2941222A"/>
    <w:lvl w:ilvl="0" w:tentative="0">
      <w:start w:val="1"/>
      <w:numFmt w:val="decimal"/>
      <w:lvlText w:val="(%1)"/>
      <w:lvlJc w:val="left"/>
      <w:pPr>
        <w:ind w:left="425" w:hanging="425"/>
      </w:pPr>
      <w:rPr>
        <w:rFonts w:hint="default"/>
      </w:rPr>
    </w:lvl>
  </w:abstractNum>
  <w:abstractNum w:abstractNumId="47">
    <w:nsid w:val="2DB77570"/>
    <w:multiLevelType w:val="multilevel"/>
    <w:tmpl w:val="2DB77570"/>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48">
    <w:nsid w:val="2E366953"/>
    <w:multiLevelType w:val="singleLevel"/>
    <w:tmpl w:val="2E366953"/>
    <w:lvl w:ilvl="0" w:tentative="0">
      <w:start w:val="1"/>
      <w:numFmt w:val="decimal"/>
      <w:lvlText w:val="(%1)"/>
      <w:lvlJc w:val="left"/>
      <w:pPr>
        <w:ind w:left="425" w:hanging="425"/>
      </w:pPr>
      <w:rPr>
        <w:rFonts w:hint="default" w:ascii="宋体" w:hAnsi="宋体" w:eastAsia="宋体" w:cs="宋体"/>
        <w:sz w:val="28"/>
        <w:szCs w:val="28"/>
      </w:rPr>
    </w:lvl>
  </w:abstractNum>
  <w:abstractNum w:abstractNumId="49">
    <w:nsid w:val="2EBC1978"/>
    <w:multiLevelType w:val="multilevel"/>
    <w:tmpl w:val="2EBC1978"/>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0">
    <w:nsid w:val="33965CC2"/>
    <w:multiLevelType w:val="singleLevel"/>
    <w:tmpl w:val="33965CC2"/>
    <w:lvl w:ilvl="0" w:tentative="0">
      <w:start w:val="1"/>
      <w:numFmt w:val="decimal"/>
      <w:lvlText w:val="%1."/>
      <w:lvlJc w:val="left"/>
      <w:pPr>
        <w:ind w:left="425" w:hanging="425"/>
      </w:pPr>
      <w:rPr>
        <w:rFonts w:hint="default"/>
      </w:rPr>
    </w:lvl>
  </w:abstractNum>
  <w:abstractNum w:abstractNumId="51">
    <w:nsid w:val="368A5F8E"/>
    <w:multiLevelType w:val="singleLevel"/>
    <w:tmpl w:val="368A5F8E"/>
    <w:lvl w:ilvl="0" w:tentative="0">
      <w:start w:val="1"/>
      <w:numFmt w:val="decimal"/>
      <w:lvlText w:val="%1."/>
      <w:lvlJc w:val="left"/>
      <w:pPr>
        <w:ind w:left="425" w:hanging="425"/>
      </w:pPr>
      <w:rPr>
        <w:rFonts w:hint="default"/>
      </w:rPr>
    </w:lvl>
  </w:abstractNum>
  <w:abstractNum w:abstractNumId="52">
    <w:nsid w:val="38B8CBA4"/>
    <w:multiLevelType w:val="singleLevel"/>
    <w:tmpl w:val="38B8CBA4"/>
    <w:lvl w:ilvl="0" w:tentative="0">
      <w:start w:val="1"/>
      <w:numFmt w:val="decimalEnclosedCircleChinese"/>
      <w:suff w:val="nothing"/>
      <w:lvlText w:val="%1　"/>
      <w:lvlJc w:val="left"/>
      <w:pPr>
        <w:ind w:left="0" w:firstLine="400"/>
      </w:pPr>
      <w:rPr>
        <w:rFonts w:hint="eastAsia"/>
      </w:rPr>
    </w:lvl>
  </w:abstractNum>
  <w:abstractNum w:abstractNumId="53">
    <w:nsid w:val="3A9EBDA8"/>
    <w:multiLevelType w:val="singleLevel"/>
    <w:tmpl w:val="3A9EBDA8"/>
    <w:lvl w:ilvl="0" w:tentative="0">
      <w:start w:val="1"/>
      <w:numFmt w:val="decimal"/>
      <w:lvlText w:val="(%1)"/>
      <w:lvlJc w:val="left"/>
      <w:pPr>
        <w:ind w:left="425" w:hanging="425"/>
      </w:pPr>
      <w:rPr>
        <w:rFonts w:hint="default" w:ascii="宋体" w:hAnsi="宋体" w:eastAsia="宋体" w:cs="宋体"/>
        <w:sz w:val="28"/>
        <w:szCs w:val="28"/>
      </w:rPr>
    </w:lvl>
  </w:abstractNum>
  <w:abstractNum w:abstractNumId="54">
    <w:nsid w:val="3CEAA405"/>
    <w:multiLevelType w:val="singleLevel"/>
    <w:tmpl w:val="3CEAA405"/>
    <w:lvl w:ilvl="0" w:tentative="0">
      <w:start w:val="1"/>
      <w:numFmt w:val="decimal"/>
      <w:lvlText w:val="(%1)"/>
      <w:lvlJc w:val="left"/>
      <w:pPr>
        <w:ind w:left="425" w:hanging="425"/>
      </w:pPr>
      <w:rPr>
        <w:rFonts w:hint="default" w:ascii="宋体" w:hAnsi="宋体" w:eastAsia="宋体" w:cs="宋体"/>
        <w:sz w:val="28"/>
        <w:szCs w:val="28"/>
      </w:rPr>
    </w:lvl>
  </w:abstractNum>
  <w:abstractNum w:abstractNumId="55">
    <w:nsid w:val="3D85E62F"/>
    <w:multiLevelType w:val="singleLevel"/>
    <w:tmpl w:val="3D85E62F"/>
    <w:lvl w:ilvl="0" w:tentative="0">
      <w:start w:val="1"/>
      <w:numFmt w:val="decimal"/>
      <w:lvlText w:val="%1."/>
      <w:lvlJc w:val="left"/>
      <w:pPr>
        <w:ind w:left="425" w:hanging="425"/>
      </w:pPr>
      <w:rPr>
        <w:rFonts w:hint="default"/>
      </w:rPr>
    </w:lvl>
  </w:abstractNum>
  <w:abstractNum w:abstractNumId="56">
    <w:nsid w:val="3F2C4243"/>
    <w:multiLevelType w:val="singleLevel"/>
    <w:tmpl w:val="3F2C4243"/>
    <w:lvl w:ilvl="0" w:tentative="0">
      <w:start w:val="1"/>
      <w:numFmt w:val="decimal"/>
      <w:lvlText w:val="(%1)"/>
      <w:lvlJc w:val="left"/>
      <w:pPr>
        <w:ind w:left="425" w:hanging="425"/>
      </w:pPr>
      <w:rPr>
        <w:rFonts w:hint="default"/>
      </w:rPr>
    </w:lvl>
  </w:abstractNum>
  <w:abstractNum w:abstractNumId="57">
    <w:nsid w:val="424DF45D"/>
    <w:multiLevelType w:val="singleLevel"/>
    <w:tmpl w:val="424DF45D"/>
    <w:lvl w:ilvl="0" w:tentative="0">
      <w:start w:val="1"/>
      <w:numFmt w:val="decimal"/>
      <w:lvlText w:val="%1."/>
      <w:lvlJc w:val="left"/>
      <w:pPr>
        <w:ind w:left="425" w:hanging="425"/>
      </w:pPr>
      <w:rPr>
        <w:rFonts w:hint="default"/>
      </w:rPr>
    </w:lvl>
  </w:abstractNum>
  <w:abstractNum w:abstractNumId="58">
    <w:nsid w:val="43FD08E3"/>
    <w:multiLevelType w:val="singleLevel"/>
    <w:tmpl w:val="43FD08E3"/>
    <w:lvl w:ilvl="0" w:tentative="0">
      <w:start w:val="1"/>
      <w:numFmt w:val="decimal"/>
      <w:lvlText w:val="(%1)"/>
      <w:lvlJc w:val="left"/>
      <w:pPr>
        <w:ind w:left="425" w:hanging="425"/>
      </w:pPr>
      <w:rPr>
        <w:rFonts w:hint="default" w:ascii="宋体" w:hAnsi="宋体" w:eastAsia="宋体" w:cs="宋体"/>
        <w:sz w:val="28"/>
        <w:szCs w:val="28"/>
      </w:rPr>
    </w:lvl>
  </w:abstractNum>
  <w:abstractNum w:abstractNumId="59">
    <w:nsid w:val="480515F2"/>
    <w:multiLevelType w:val="singleLevel"/>
    <w:tmpl w:val="480515F2"/>
    <w:lvl w:ilvl="0" w:tentative="0">
      <w:start w:val="1"/>
      <w:numFmt w:val="decimal"/>
      <w:lvlText w:val="%1."/>
      <w:lvlJc w:val="left"/>
      <w:pPr>
        <w:ind w:left="425" w:hanging="425"/>
      </w:pPr>
      <w:rPr>
        <w:rFonts w:hint="default"/>
      </w:rPr>
    </w:lvl>
  </w:abstractNum>
  <w:abstractNum w:abstractNumId="60">
    <w:nsid w:val="49813AD3"/>
    <w:multiLevelType w:val="singleLevel"/>
    <w:tmpl w:val="49813AD3"/>
    <w:lvl w:ilvl="0" w:tentative="0">
      <w:start w:val="1"/>
      <w:numFmt w:val="decimal"/>
      <w:lvlText w:val="(%1)"/>
      <w:lvlJc w:val="left"/>
      <w:pPr>
        <w:ind w:left="425" w:hanging="425"/>
      </w:pPr>
      <w:rPr>
        <w:rFonts w:hint="default"/>
      </w:rPr>
    </w:lvl>
  </w:abstractNum>
  <w:abstractNum w:abstractNumId="61">
    <w:nsid w:val="4F3F55B0"/>
    <w:multiLevelType w:val="singleLevel"/>
    <w:tmpl w:val="4F3F55B0"/>
    <w:lvl w:ilvl="0" w:tentative="0">
      <w:start w:val="1"/>
      <w:numFmt w:val="decimal"/>
      <w:lvlText w:val="%1."/>
      <w:lvlJc w:val="left"/>
      <w:pPr>
        <w:ind w:left="425" w:hanging="425"/>
      </w:pPr>
      <w:rPr>
        <w:rFonts w:hint="default"/>
      </w:rPr>
    </w:lvl>
  </w:abstractNum>
  <w:abstractNum w:abstractNumId="62">
    <w:nsid w:val="5857016D"/>
    <w:multiLevelType w:val="singleLevel"/>
    <w:tmpl w:val="5857016D"/>
    <w:lvl w:ilvl="0" w:tentative="0">
      <w:start w:val="1"/>
      <w:numFmt w:val="decimal"/>
      <w:lvlText w:val="%1."/>
      <w:lvlJc w:val="left"/>
      <w:pPr>
        <w:ind w:left="425" w:hanging="425"/>
      </w:pPr>
      <w:rPr>
        <w:rFonts w:hint="default"/>
      </w:rPr>
    </w:lvl>
  </w:abstractNum>
  <w:abstractNum w:abstractNumId="63">
    <w:nsid w:val="58A29193"/>
    <w:multiLevelType w:val="singleLevel"/>
    <w:tmpl w:val="58A29193"/>
    <w:lvl w:ilvl="0" w:tentative="0">
      <w:start w:val="1"/>
      <w:numFmt w:val="decimal"/>
      <w:lvlText w:val="%1."/>
      <w:lvlJc w:val="left"/>
      <w:pPr>
        <w:ind w:left="425" w:hanging="425"/>
      </w:pPr>
      <w:rPr>
        <w:rFonts w:hint="default"/>
      </w:rPr>
    </w:lvl>
  </w:abstractNum>
  <w:abstractNum w:abstractNumId="64">
    <w:nsid w:val="5AFA82EC"/>
    <w:multiLevelType w:val="singleLevel"/>
    <w:tmpl w:val="5AFA82EC"/>
    <w:lvl w:ilvl="0" w:tentative="0">
      <w:start w:val="1"/>
      <w:numFmt w:val="decimal"/>
      <w:lvlText w:val="(%1)"/>
      <w:lvlJc w:val="left"/>
      <w:pPr>
        <w:ind w:left="425" w:hanging="425"/>
      </w:pPr>
      <w:rPr>
        <w:rFonts w:hint="default" w:ascii="宋体" w:hAnsi="宋体" w:eastAsia="宋体" w:cs="宋体"/>
        <w:sz w:val="28"/>
        <w:szCs w:val="28"/>
      </w:rPr>
    </w:lvl>
  </w:abstractNum>
  <w:abstractNum w:abstractNumId="65">
    <w:nsid w:val="64129D1F"/>
    <w:multiLevelType w:val="singleLevel"/>
    <w:tmpl w:val="64129D1F"/>
    <w:lvl w:ilvl="0" w:tentative="0">
      <w:start w:val="1"/>
      <w:numFmt w:val="decimal"/>
      <w:lvlText w:val="%1."/>
      <w:lvlJc w:val="left"/>
      <w:pPr>
        <w:ind w:left="425" w:hanging="425"/>
      </w:pPr>
      <w:rPr>
        <w:rFonts w:hint="default"/>
      </w:rPr>
    </w:lvl>
  </w:abstractNum>
  <w:abstractNum w:abstractNumId="66">
    <w:nsid w:val="65782D2C"/>
    <w:multiLevelType w:val="singleLevel"/>
    <w:tmpl w:val="65782D2C"/>
    <w:lvl w:ilvl="0" w:tentative="0">
      <w:start w:val="1"/>
      <w:numFmt w:val="chineseCounting"/>
      <w:suff w:val="nothing"/>
      <w:lvlText w:val="（%1）"/>
      <w:lvlJc w:val="left"/>
      <w:pPr>
        <w:ind w:left="0" w:firstLine="420"/>
      </w:pPr>
      <w:rPr>
        <w:rFonts w:hint="eastAsia"/>
      </w:rPr>
    </w:lvl>
  </w:abstractNum>
  <w:abstractNum w:abstractNumId="67">
    <w:nsid w:val="6E3B0CCB"/>
    <w:multiLevelType w:val="multilevel"/>
    <w:tmpl w:val="6E3B0CCB"/>
    <w:lvl w:ilvl="0" w:tentative="0">
      <w:start w:val="1"/>
      <w:numFmt w:val="decimal"/>
      <w:lvlText w:val="（%1）"/>
      <w:lvlJc w:val="left"/>
      <w:pPr>
        <w:ind w:left="420" w:hanging="420"/>
      </w:pPr>
      <w:rPr>
        <w:rFonts w:hint="default"/>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7345B58E"/>
    <w:multiLevelType w:val="singleLevel"/>
    <w:tmpl w:val="7345B58E"/>
    <w:lvl w:ilvl="0" w:tentative="0">
      <w:start w:val="1"/>
      <w:numFmt w:val="decimal"/>
      <w:lvlText w:val="(%1)"/>
      <w:lvlJc w:val="left"/>
      <w:pPr>
        <w:ind w:left="425" w:hanging="425"/>
      </w:pPr>
      <w:rPr>
        <w:rFonts w:hint="default" w:ascii="宋体" w:hAnsi="宋体" w:eastAsia="宋体" w:cs="宋体"/>
        <w:sz w:val="28"/>
        <w:szCs w:val="28"/>
      </w:rPr>
    </w:lvl>
  </w:abstractNum>
  <w:abstractNum w:abstractNumId="69">
    <w:nsid w:val="7362AD7D"/>
    <w:multiLevelType w:val="singleLevel"/>
    <w:tmpl w:val="7362AD7D"/>
    <w:lvl w:ilvl="0" w:tentative="0">
      <w:start w:val="1"/>
      <w:numFmt w:val="decimal"/>
      <w:lvlText w:val="%1)"/>
      <w:lvlJc w:val="left"/>
      <w:pPr>
        <w:ind w:left="425" w:hanging="425"/>
      </w:pPr>
      <w:rPr>
        <w:rFonts w:hint="default"/>
      </w:rPr>
    </w:lvl>
  </w:abstractNum>
  <w:abstractNum w:abstractNumId="70">
    <w:nsid w:val="764778C8"/>
    <w:multiLevelType w:val="singleLevel"/>
    <w:tmpl w:val="764778C8"/>
    <w:lvl w:ilvl="0" w:tentative="0">
      <w:start w:val="1"/>
      <w:numFmt w:val="decimal"/>
      <w:lvlText w:val="(%1)"/>
      <w:lvlJc w:val="left"/>
      <w:pPr>
        <w:ind w:left="425" w:hanging="425"/>
      </w:pPr>
      <w:rPr>
        <w:rFonts w:hint="default" w:ascii="宋体" w:hAnsi="宋体" w:eastAsia="宋体" w:cs="宋体"/>
        <w:sz w:val="28"/>
        <w:szCs w:val="28"/>
      </w:rPr>
    </w:lvl>
  </w:abstractNum>
  <w:abstractNum w:abstractNumId="71">
    <w:nsid w:val="799FC3FE"/>
    <w:multiLevelType w:val="singleLevel"/>
    <w:tmpl w:val="799FC3FE"/>
    <w:lvl w:ilvl="0" w:tentative="0">
      <w:start w:val="1"/>
      <w:numFmt w:val="decimal"/>
      <w:lvlText w:val="(%1)"/>
      <w:lvlJc w:val="left"/>
      <w:pPr>
        <w:ind w:left="425" w:hanging="425"/>
      </w:pPr>
      <w:rPr>
        <w:rFonts w:hint="default"/>
      </w:rPr>
    </w:lvl>
  </w:abstractNum>
  <w:num w:numId="1">
    <w:abstractNumId w:val="43"/>
  </w:num>
  <w:num w:numId="2">
    <w:abstractNumId w:val="70"/>
  </w:num>
  <w:num w:numId="3">
    <w:abstractNumId w:val="54"/>
  </w:num>
  <w:num w:numId="4">
    <w:abstractNumId w:val="67"/>
  </w:num>
  <w:num w:numId="5">
    <w:abstractNumId w:val="19"/>
  </w:num>
  <w:num w:numId="6">
    <w:abstractNumId w:val="34"/>
  </w:num>
  <w:num w:numId="7">
    <w:abstractNumId w:val="47"/>
  </w:num>
  <w:num w:numId="8">
    <w:abstractNumId w:val="24"/>
  </w:num>
  <w:num w:numId="9">
    <w:abstractNumId w:val="32"/>
  </w:num>
  <w:num w:numId="10">
    <w:abstractNumId w:val="21"/>
  </w:num>
  <w:num w:numId="11">
    <w:abstractNumId w:val="3"/>
  </w:num>
  <w:num w:numId="12">
    <w:abstractNumId w:val="23"/>
  </w:num>
  <w:num w:numId="13">
    <w:abstractNumId w:val="61"/>
  </w:num>
  <w:num w:numId="14">
    <w:abstractNumId w:val="5"/>
  </w:num>
  <w:num w:numId="15">
    <w:abstractNumId w:val="10"/>
  </w:num>
  <w:num w:numId="16">
    <w:abstractNumId w:val="9"/>
  </w:num>
  <w:num w:numId="17">
    <w:abstractNumId w:val="31"/>
  </w:num>
  <w:num w:numId="18">
    <w:abstractNumId w:val="14"/>
  </w:num>
  <w:num w:numId="19">
    <w:abstractNumId w:val="2"/>
  </w:num>
  <w:num w:numId="20">
    <w:abstractNumId w:val="71"/>
  </w:num>
  <w:num w:numId="21">
    <w:abstractNumId w:val="8"/>
  </w:num>
  <w:num w:numId="22">
    <w:abstractNumId w:val="69"/>
  </w:num>
  <w:num w:numId="23">
    <w:abstractNumId w:val="25"/>
  </w:num>
  <w:num w:numId="24">
    <w:abstractNumId w:val="52"/>
  </w:num>
  <w:num w:numId="25">
    <w:abstractNumId w:val="11"/>
  </w:num>
  <w:num w:numId="26">
    <w:abstractNumId w:val="68"/>
  </w:num>
  <w:num w:numId="27">
    <w:abstractNumId w:val="41"/>
  </w:num>
  <w:num w:numId="28">
    <w:abstractNumId w:val="29"/>
  </w:num>
  <w:num w:numId="29">
    <w:abstractNumId w:val="53"/>
  </w:num>
  <w:num w:numId="30">
    <w:abstractNumId w:val="46"/>
  </w:num>
  <w:num w:numId="31">
    <w:abstractNumId w:val="15"/>
  </w:num>
  <w:num w:numId="32">
    <w:abstractNumId w:val="27"/>
  </w:num>
  <w:num w:numId="33">
    <w:abstractNumId w:val="22"/>
  </w:num>
  <w:num w:numId="34">
    <w:abstractNumId w:val="57"/>
  </w:num>
  <w:num w:numId="35">
    <w:abstractNumId w:val="42"/>
  </w:num>
  <w:num w:numId="36">
    <w:abstractNumId w:val="51"/>
  </w:num>
  <w:num w:numId="37">
    <w:abstractNumId w:val="64"/>
  </w:num>
  <w:num w:numId="38">
    <w:abstractNumId w:val="35"/>
  </w:num>
  <w:num w:numId="39">
    <w:abstractNumId w:val="39"/>
  </w:num>
  <w:num w:numId="40">
    <w:abstractNumId w:val="62"/>
  </w:num>
  <w:num w:numId="41">
    <w:abstractNumId w:val="38"/>
  </w:num>
  <w:num w:numId="42">
    <w:abstractNumId w:val="26"/>
  </w:num>
  <w:num w:numId="43">
    <w:abstractNumId w:val="6"/>
  </w:num>
  <w:num w:numId="44">
    <w:abstractNumId w:val="7"/>
  </w:num>
  <w:num w:numId="45">
    <w:abstractNumId w:val="63"/>
  </w:num>
  <w:num w:numId="46">
    <w:abstractNumId w:val="0"/>
  </w:num>
  <w:num w:numId="47">
    <w:abstractNumId w:val="28"/>
  </w:num>
  <w:num w:numId="48">
    <w:abstractNumId w:val="33"/>
  </w:num>
  <w:num w:numId="49">
    <w:abstractNumId w:val="1"/>
  </w:num>
  <w:num w:numId="50">
    <w:abstractNumId w:val="45"/>
  </w:num>
  <w:num w:numId="51">
    <w:abstractNumId w:val="66"/>
  </w:num>
  <w:num w:numId="52">
    <w:abstractNumId w:val="48"/>
  </w:num>
  <w:num w:numId="53">
    <w:abstractNumId w:val="30"/>
  </w:num>
  <w:num w:numId="54">
    <w:abstractNumId w:val="56"/>
  </w:num>
  <w:num w:numId="55">
    <w:abstractNumId w:val="37"/>
  </w:num>
  <w:num w:numId="56">
    <w:abstractNumId w:val="20"/>
  </w:num>
  <w:num w:numId="57">
    <w:abstractNumId w:val="44"/>
  </w:num>
  <w:num w:numId="58">
    <w:abstractNumId w:val="16"/>
  </w:num>
  <w:num w:numId="59">
    <w:abstractNumId w:val="36"/>
  </w:num>
  <w:num w:numId="60">
    <w:abstractNumId w:val="55"/>
  </w:num>
  <w:num w:numId="61">
    <w:abstractNumId w:val="18"/>
  </w:num>
  <w:num w:numId="62">
    <w:abstractNumId w:val="4"/>
  </w:num>
  <w:num w:numId="63">
    <w:abstractNumId w:val="50"/>
  </w:num>
  <w:num w:numId="64">
    <w:abstractNumId w:val="13"/>
  </w:num>
  <w:num w:numId="65">
    <w:abstractNumId w:val="59"/>
  </w:num>
  <w:num w:numId="66">
    <w:abstractNumId w:val="40"/>
  </w:num>
  <w:num w:numId="67">
    <w:abstractNumId w:val="17"/>
  </w:num>
  <w:num w:numId="68">
    <w:abstractNumId w:val="12"/>
  </w:num>
  <w:num w:numId="69">
    <w:abstractNumId w:val="65"/>
  </w:num>
  <w:num w:numId="70">
    <w:abstractNumId w:val="60"/>
  </w:num>
  <w:num w:numId="71">
    <w:abstractNumId w:val="49"/>
  </w:num>
  <w:num w:numId="72">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trackRevisions w:val="1"/>
  <w:documentProtection w:enforcement="0"/>
  <w:defaultTabStop w:val="105"/>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2IzOTYwODFmOGFiNzRhZTdkZDlkMTMxODk2NzRiN2EifQ=="/>
  </w:docVars>
  <w:rsids>
    <w:rsidRoot w:val="00062DAF"/>
    <w:rsid w:val="00001220"/>
    <w:rsid w:val="00016727"/>
    <w:rsid w:val="00032849"/>
    <w:rsid w:val="00032DE9"/>
    <w:rsid w:val="00035C8E"/>
    <w:rsid w:val="00036A43"/>
    <w:rsid w:val="00040209"/>
    <w:rsid w:val="00050E09"/>
    <w:rsid w:val="000517F0"/>
    <w:rsid w:val="00056EEB"/>
    <w:rsid w:val="00057280"/>
    <w:rsid w:val="000607B4"/>
    <w:rsid w:val="000628B7"/>
    <w:rsid w:val="00062DAF"/>
    <w:rsid w:val="00064C1D"/>
    <w:rsid w:val="00073E19"/>
    <w:rsid w:val="00075C45"/>
    <w:rsid w:val="00080C16"/>
    <w:rsid w:val="000A1337"/>
    <w:rsid w:val="000A1C3E"/>
    <w:rsid w:val="000A6940"/>
    <w:rsid w:val="000B7517"/>
    <w:rsid w:val="000C3616"/>
    <w:rsid w:val="000D662E"/>
    <w:rsid w:val="000E4F8B"/>
    <w:rsid w:val="000F516E"/>
    <w:rsid w:val="00110A41"/>
    <w:rsid w:val="0011265D"/>
    <w:rsid w:val="00127D78"/>
    <w:rsid w:val="001416E0"/>
    <w:rsid w:val="0014578F"/>
    <w:rsid w:val="001533CC"/>
    <w:rsid w:val="00165E01"/>
    <w:rsid w:val="001733E8"/>
    <w:rsid w:val="00173454"/>
    <w:rsid w:val="0017399D"/>
    <w:rsid w:val="00181383"/>
    <w:rsid w:val="001832D4"/>
    <w:rsid w:val="00183AE4"/>
    <w:rsid w:val="00195FB9"/>
    <w:rsid w:val="001C0FF2"/>
    <w:rsid w:val="001D03B4"/>
    <w:rsid w:val="001D1039"/>
    <w:rsid w:val="001D3A9F"/>
    <w:rsid w:val="001D7FAF"/>
    <w:rsid w:val="001E1764"/>
    <w:rsid w:val="001E55D3"/>
    <w:rsid w:val="001F73EC"/>
    <w:rsid w:val="001F79DA"/>
    <w:rsid w:val="00204F7C"/>
    <w:rsid w:val="00221EB0"/>
    <w:rsid w:val="0022636C"/>
    <w:rsid w:val="00230770"/>
    <w:rsid w:val="00234917"/>
    <w:rsid w:val="002376D4"/>
    <w:rsid w:val="00245060"/>
    <w:rsid w:val="002678F2"/>
    <w:rsid w:val="00270F06"/>
    <w:rsid w:val="002800D3"/>
    <w:rsid w:val="00282A39"/>
    <w:rsid w:val="0028515E"/>
    <w:rsid w:val="0028736D"/>
    <w:rsid w:val="0029005B"/>
    <w:rsid w:val="002A2420"/>
    <w:rsid w:val="002A384B"/>
    <w:rsid w:val="002B1E99"/>
    <w:rsid w:val="002D2E53"/>
    <w:rsid w:val="002D30FD"/>
    <w:rsid w:val="002D4D8A"/>
    <w:rsid w:val="002E720A"/>
    <w:rsid w:val="002F5EF1"/>
    <w:rsid w:val="003025D5"/>
    <w:rsid w:val="00304085"/>
    <w:rsid w:val="003106C9"/>
    <w:rsid w:val="003114B8"/>
    <w:rsid w:val="00317CB6"/>
    <w:rsid w:val="00321A69"/>
    <w:rsid w:val="00336FE0"/>
    <w:rsid w:val="00340812"/>
    <w:rsid w:val="00345CB6"/>
    <w:rsid w:val="003505E1"/>
    <w:rsid w:val="00353709"/>
    <w:rsid w:val="00373568"/>
    <w:rsid w:val="003741C4"/>
    <w:rsid w:val="00381352"/>
    <w:rsid w:val="00391471"/>
    <w:rsid w:val="00394680"/>
    <w:rsid w:val="003A2573"/>
    <w:rsid w:val="003A3331"/>
    <w:rsid w:val="003A3EB3"/>
    <w:rsid w:val="003B3CDF"/>
    <w:rsid w:val="003B537E"/>
    <w:rsid w:val="003C177C"/>
    <w:rsid w:val="003D2978"/>
    <w:rsid w:val="003D4797"/>
    <w:rsid w:val="003D67F8"/>
    <w:rsid w:val="003F55AA"/>
    <w:rsid w:val="00411A9D"/>
    <w:rsid w:val="0041370F"/>
    <w:rsid w:val="00420EE4"/>
    <w:rsid w:val="00423153"/>
    <w:rsid w:val="0042552F"/>
    <w:rsid w:val="00430339"/>
    <w:rsid w:val="00440480"/>
    <w:rsid w:val="004557AF"/>
    <w:rsid w:val="00463648"/>
    <w:rsid w:val="00465855"/>
    <w:rsid w:val="00474247"/>
    <w:rsid w:val="0048020A"/>
    <w:rsid w:val="00491579"/>
    <w:rsid w:val="004A49A0"/>
    <w:rsid w:val="004A65F9"/>
    <w:rsid w:val="004A6B04"/>
    <w:rsid w:val="004B6927"/>
    <w:rsid w:val="004B7A00"/>
    <w:rsid w:val="004D1B91"/>
    <w:rsid w:val="004E4673"/>
    <w:rsid w:val="0050764F"/>
    <w:rsid w:val="00521121"/>
    <w:rsid w:val="00526220"/>
    <w:rsid w:val="0053619E"/>
    <w:rsid w:val="00540637"/>
    <w:rsid w:val="00543D1F"/>
    <w:rsid w:val="00560824"/>
    <w:rsid w:val="00561641"/>
    <w:rsid w:val="00576107"/>
    <w:rsid w:val="005808F4"/>
    <w:rsid w:val="00583AF4"/>
    <w:rsid w:val="00587BE5"/>
    <w:rsid w:val="005A0E3D"/>
    <w:rsid w:val="005A7665"/>
    <w:rsid w:val="005B378E"/>
    <w:rsid w:val="005B584C"/>
    <w:rsid w:val="005D520B"/>
    <w:rsid w:val="005D52D7"/>
    <w:rsid w:val="005F7508"/>
    <w:rsid w:val="006073B5"/>
    <w:rsid w:val="0062292B"/>
    <w:rsid w:val="00626B25"/>
    <w:rsid w:val="00631C04"/>
    <w:rsid w:val="006330F8"/>
    <w:rsid w:val="0064260F"/>
    <w:rsid w:val="00645BFA"/>
    <w:rsid w:val="00653CDB"/>
    <w:rsid w:val="00660EE7"/>
    <w:rsid w:val="00665418"/>
    <w:rsid w:val="006672F9"/>
    <w:rsid w:val="00667E47"/>
    <w:rsid w:val="00671394"/>
    <w:rsid w:val="00680F57"/>
    <w:rsid w:val="0069364F"/>
    <w:rsid w:val="006A7838"/>
    <w:rsid w:val="006B60DC"/>
    <w:rsid w:val="006C25A8"/>
    <w:rsid w:val="006C2EDB"/>
    <w:rsid w:val="006C5AB6"/>
    <w:rsid w:val="006C6EA2"/>
    <w:rsid w:val="006C7F60"/>
    <w:rsid w:val="006D1927"/>
    <w:rsid w:val="006D61A9"/>
    <w:rsid w:val="006E54BE"/>
    <w:rsid w:val="006F0537"/>
    <w:rsid w:val="006F05FC"/>
    <w:rsid w:val="006F3C22"/>
    <w:rsid w:val="00721E25"/>
    <w:rsid w:val="00743625"/>
    <w:rsid w:val="00747E7D"/>
    <w:rsid w:val="0075138E"/>
    <w:rsid w:val="00751390"/>
    <w:rsid w:val="00751D60"/>
    <w:rsid w:val="00757752"/>
    <w:rsid w:val="00770902"/>
    <w:rsid w:val="00771DA2"/>
    <w:rsid w:val="00775BDC"/>
    <w:rsid w:val="0078005D"/>
    <w:rsid w:val="0078126A"/>
    <w:rsid w:val="00783B11"/>
    <w:rsid w:val="007847F6"/>
    <w:rsid w:val="007B2B12"/>
    <w:rsid w:val="007B6066"/>
    <w:rsid w:val="007B683D"/>
    <w:rsid w:val="007C0D91"/>
    <w:rsid w:val="007D49B7"/>
    <w:rsid w:val="007D7C39"/>
    <w:rsid w:val="007E593C"/>
    <w:rsid w:val="007F10AE"/>
    <w:rsid w:val="007F6E80"/>
    <w:rsid w:val="0080198A"/>
    <w:rsid w:val="008026A2"/>
    <w:rsid w:val="0081199F"/>
    <w:rsid w:val="00812C07"/>
    <w:rsid w:val="00816090"/>
    <w:rsid w:val="00824E3B"/>
    <w:rsid w:val="008337FD"/>
    <w:rsid w:val="008409BF"/>
    <w:rsid w:val="00851534"/>
    <w:rsid w:val="0085603B"/>
    <w:rsid w:val="008A1E80"/>
    <w:rsid w:val="008A3C09"/>
    <w:rsid w:val="008B5AAF"/>
    <w:rsid w:val="008C2227"/>
    <w:rsid w:val="008C38F5"/>
    <w:rsid w:val="008C79D2"/>
    <w:rsid w:val="008D23AD"/>
    <w:rsid w:val="008D2709"/>
    <w:rsid w:val="008D34FD"/>
    <w:rsid w:val="008E6415"/>
    <w:rsid w:val="008E64E2"/>
    <w:rsid w:val="008F4D25"/>
    <w:rsid w:val="008F6433"/>
    <w:rsid w:val="00900171"/>
    <w:rsid w:val="00904CC5"/>
    <w:rsid w:val="009177E1"/>
    <w:rsid w:val="00922653"/>
    <w:rsid w:val="00935A26"/>
    <w:rsid w:val="009568FE"/>
    <w:rsid w:val="0096428F"/>
    <w:rsid w:val="00973474"/>
    <w:rsid w:val="00981DDD"/>
    <w:rsid w:val="009836D0"/>
    <w:rsid w:val="00984161"/>
    <w:rsid w:val="0098545F"/>
    <w:rsid w:val="00993A32"/>
    <w:rsid w:val="009970EC"/>
    <w:rsid w:val="009A2288"/>
    <w:rsid w:val="009B0904"/>
    <w:rsid w:val="009B2C1D"/>
    <w:rsid w:val="009B6B9B"/>
    <w:rsid w:val="009B7BC4"/>
    <w:rsid w:val="009C0226"/>
    <w:rsid w:val="009C096E"/>
    <w:rsid w:val="009D0412"/>
    <w:rsid w:val="009F7BE5"/>
    <w:rsid w:val="00A003BB"/>
    <w:rsid w:val="00A04FDE"/>
    <w:rsid w:val="00A15200"/>
    <w:rsid w:val="00A17E7D"/>
    <w:rsid w:val="00A27502"/>
    <w:rsid w:val="00A27921"/>
    <w:rsid w:val="00A33872"/>
    <w:rsid w:val="00A36AE3"/>
    <w:rsid w:val="00A37F47"/>
    <w:rsid w:val="00A442DA"/>
    <w:rsid w:val="00A46B81"/>
    <w:rsid w:val="00A47762"/>
    <w:rsid w:val="00A50938"/>
    <w:rsid w:val="00A52140"/>
    <w:rsid w:val="00A57ADD"/>
    <w:rsid w:val="00A62E2E"/>
    <w:rsid w:val="00A671E4"/>
    <w:rsid w:val="00A80542"/>
    <w:rsid w:val="00A80F24"/>
    <w:rsid w:val="00A82A05"/>
    <w:rsid w:val="00A839BE"/>
    <w:rsid w:val="00A8584D"/>
    <w:rsid w:val="00A923C6"/>
    <w:rsid w:val="00AB10E4"/>
    <w:rsid w:val="00AB2166"/>
    <w:rsid w:val="00AB4086"/>
    <w:rsid w:val="00AC7500"/>
    <w:rsid w:val="00AD51BA"/>
    <w:rsid w:val="00AD6CF7"/>
    <w:rsid w:val="00AE3C42"/>
    <w:rsid w:val="00AE40B5"/>
    <w:rsid w:val="00AE5FC4"/>
    <w:rsid w:val="00AE6838"/>
    <w:rsid w:val="00AE7D8D"/>
    <w:rsid w:val="00AF245F"/>
    <w:rsid w:val="00B055F8"/>
    <w:rsid w:val="00B066AA"/>
    <w:rsid w:val="00B13E71"/>
    <w:rsid w:val="00B2529C"/>
    <w:rsid w:val="00B31D21"/>
    <w:rsid w:val="00B41F64"/>
    <w:rsid w:val="00B445CC"/>
    <w:rsid w:val="00B6488B"/>
    <w:rsid w:val="00B72935"/>
    <w:rsid w:val="00B772CB"/>
    <w:rsid w:val="00B80016"/>
    <w:rsid w:val="00B96C74"/>
    <w:rsid w:val="00B97013"/>
    <w:rsid w:val="00BA144B"/>
    <w:rsid w:val="00BA6E89"/>
    <w:rsid w:val="00BC2C9D"/>
    <w:rsid w:val="00BD3D93"/>
    <w:rsid w:val="00BD43D7"/>
    <w:rsid w:val="00BF2C91"/>
    <w:rsid w:val="00BF4A5A"/>
    <w:rsid w:val="00BF5C2C"/>
    <w:rsid w:val="00C141DF"/>
    <w:rsid w:val="00C173B2"/>
    <w:rsid w:val="00C23F90"/>
    <w:rsid w:val="00C314C5"/>
    <w:rsid w:val="00C51856"/>
    <w:rsid w:val="00C535BE"/>
    <w:rsid w:val="00C60671"/>
    <w:rsid w:val="00C62420"/>
    <w:rsid w:val="00C7071C"/>
    <w:rsid w:val="00C76907"/>
    <w:rsid w:val="00C80190"/>
    <w:rsid w:val="00C90A79"/>
    <w:rsid w:val="00C97947"/>
    <w:rsid w:val="00C97DE3"/>
    <w:rsid w:val="00CA6F49"/>
    <w:rsid w:val="00CB248E"/>
    <w:rsid w:val="00CB7D8E"/>
    <w:rsid w:val="00CD1131"/>
    <w:rsid w:val="00CF6A00"/>
    <w:rsid w:val="00CF729C"/>
    <w:rsid w:val="00CF79B6"/>
    <w:rsid w:val="00D01E6F"/>
    <w:rsid w:val="00D02982"/>
    <w:rsid w:val="00D04796"/>
    <w:rsid w:val="00D04C88"/>
    <w:rsid w:val="00D14255"/>
    <w:rsid w:val="00D164A2"/>
    <w:rsid w:val="00D22E06"/>
    <w:rsid w:val="00D44189"/>
    <w:rsid w:val="00D53F8D"/>
    <w:rsid w:val="00D54FD0"/>
    <w:rsid w:val="00D57E1F"/>
    <w:rsid w:val="00D62BF0"/>
    <w:rsid w:val="00D63FD7"/>
    <w:rsid w:val="00D6761E"/>
    <w:rsid w:val="00D67FB7"/>
    <w:rsid w:val="00D75D3A"/>
    <w:rsid w:val="00D76015"/>
    <w:rsid w:val="00D8111F"/>
    <w:rsid w:val="00DA4116"/>
    <w:rsid w:val="00DB7F24"/>
    <w:rsid w:val="00DC4145"/>
    <w:rsid w:val="00DD1911"/>
    <w:rsid w:val="00DD24EC"/>
    <w:rsid w:val="00DD4A25"/>
    <w:rsid w:val="00DE1949"/>
    <w:rsid w:val="00DF7FDE"/>
    <w:rsid w:val="00E17DAF"/>
    <w:rsid w:val="00E20747"/>
    <w:rsid w:val="00E260FC"/>
    <w:rsid w:val="00E42630"/>
    <w:rsid w:val="00E522C2"/>
    <w:rsid w:val="00E52B74"/>
    <w:rsid w:val="00E60419"/>
    <w:rsid w:val="00E70597"/>
    <w:rsid w:val="00E7088A"/>
    <w:rsid w:val="00E709D7"/>
    <w:rsid w:val="00E83CB3"/>
    <w:rsid w:val="00E8576B"/>
    <w:rsid w:val="00E93990"/>
    <w:rsid w:val="00E97585"/>
    <w:rsid w:val="00EC2072"/>
    <w:rsid w:val="00EC2D2A"/>
    <w:rsid w:val="00ED043C"/>
    <w:rsid w:val="00ED3E8D"/>
    <w:rsid w:val="00ED4216"/>
    <w:rsid w:val="00EE04DB"/>
    <w:rsid w:val="00EE11E8"/>
    <w:rsid w:val="00EE444B"/>
    <w:rsid w:val="00EF0744"/>
    <w:rsid w:val="00EF4C95"/>
    <w:rsid w:val="00F00F3C"/>
    <w:rsid w:val="00F01CF9"/>
    <w:rsid w:val="00F1637D"/>
    <w:rsid w:val="00F17577"/>
    <w:rsid w:val="00F27EE2"/>
    <w:rsid w:val="00F3048D"/>
    <w:rsid w:val="00F31175"/>
    <w:rsid w:val="00F3324E"/>
    <w:rsid w:val="00F37634"/>
    <w:rsid w:val="00F43D17"/>
    <w:rsid w:val="00F506BF"/>
    <w:rsid w:val="00F51C83"/>
    <w:rsid w:val="00F51FB4"/>
    <w:rsid w:val="00F61288"/>
    <w:rsid w:val="00F8243D"/>
    <w:rsid w:val="00F9025C"/>
    <w:rsid w:val="00F9203D"/>
    <w:rsid w:val="00F9586B"/>
    <w:rsid w:val="00FA13B2"/>
    <w:rsid w:val="00FC2A36"/>
    <w:rsid w:val="00FE4927"/>
    <w:rsid w:val="01E60C67"/>
    <w:rsid w:val="029739E6"/>
    <w:rsid w:val="029F7439"/>
    <w:rsid w:val="02B72D40"/>
    <w:rsid w:val="02E80D3F"/>
    <w:rsid w:val="035937A7"/>
    <w:rsid w:val="035A578C"/>
    <w:rsid w:val="04821597"/>
    <w:rsid w:val="05B1513F"/>
    <w:rsid w:val="06CB1E59"/>
    <w:rsid w:val="070A2FBC"/>
    <w:rsid w:val="07251353"/>
    <w:rsid w:val="07342884"/>
    <w:rsid w:val="074B3407"/>
    <w:rsid w:val="07723C56"/>
    <w:rsid w:val="07B34F33"/>
    <w:rsid w:val="07BB67DE"/>
    <w:rsid w:val="080F0BC6"/>
    <w:rsid w:val="084631AF"/>
    <w:rsid w:val="094E4921"/>
    <w:rsid w:val="0A061D97"/>
    <w:rsid w:val="0A945772"/>
    <w:rsid w:val="0B0D1782"/>
    <w:rsid w:val="0B203C7A"/>
    <w:rsid w:val="0B221D86"/>
    <w:rsid w:val="0BC65BAF"/>
    <w:rsid w:val="0C263AB1"/>
    <w:rsid w:val="0C85560D"/>
    <w:rsid w:val="0CBB102F"/>
    <w:rsid w:val="0CF34325"/>
    <w:rsid w:val="0D2EC9B3"/>
    <w:rsid w:val="0D3D37F2"/>
    <w:rsid w:val="0D894C8F"/>
    <w:rsid w:val="0DA72ED9"/>
    <w:rsid w:val="0DE00E6C"/>
    <w:rsid w:val="0E2113C4"/>
    <w:rsid w:val="0EF5580E"/>
    <w:rsid w:val="0F146FCE"/>
    <w:rsid w:val="0F4755F4"/>
    <w:rsid w:val="0F566B84"/>
    <w:rsid w:val="0FFD54BA"/>
    <w:rsid w:val="1017657C"/>
    <w:rsid w:val="103B06A5"/>
    <w:rsid w:val="11032FA4"/>
    <w:rsid w:val="11313480"/>
    <w:rsid w:val="11BB24A4"/>
    <w:rsid w:val="11EA56F5"/>
    <w:rsid w:val="121E0096"/>
    <w:rsid w:val="12E16BD3"/>
    <w:rsid w:val="12E806A4"/>
    <w:rsid w:val="15244541"/>
    <w:rsid w:val="15A975EE"/>
    <w:rsid w:val="15F455FB"/>
    <w:rsid w:val="16452722"/>
    <w:rsid w:val="17064076"/>
    <w:rsid w:val="17301194"/>
    <w:rsid w:val="178B326A"/>
    <w:rsid w:val="191731D1"/>
    <w:rsid w:val="192452EA"/>
    <w:rsid w:val="19766DA4"/>
    <w:rsid w:val="19A35324"/>
    <w:rsid w:val="19D92AF4"/>
    <w:rsid w:val="1A2D7821"/>
    <w:rsid w:val="1B257FEA"/>
    <w:rsid w:val="1B8D3FE6"/>
    <w:rsid w:val="1BC307B6"/>
    <w:rsid w:val="1BF87F24"/>
    <w:rsid w:val="1C0F79DD"/>
    <w:rsid w:val="1C275D99"/>
    <w:rsid w:val="1C5841A4"/>
    <w:rsid w:val="1C5F59EC"/>
    <w:rsid w:val="1CA577F9"/>
    <w:rsid w:val="1D361915"/>
    <w:rsid w:val="1DCA2E80"/>
    <w:rsid w:val="1F044388"/>
    <w:rsid w:val="1FCF6795"/>
    <w:rsid w:val="1FD00492"/>
    <w:rsid w:val="20BE2CEA"/>
    <w:rsid w:val="214902A3"/>
    <w:rsid w:val="21B47049"/>
    <w:rsid w:val="21FC51C7"/>
    <w:rsid w:val="23024E6A"/>
    <w:rsid w:val="23694EE9"/>
    <w:rsid w:val="240C4AB6"/>
    <w:rsid w:val="24A10DD2"/>
    <w:rsid w:val="24ED3249"/>
    <w:rsid w:val="253538DB"/>
    <w:rsid w:val="256F6DF9"/>
    <w:rsid w:val="26AD2C2E"/>
    <w:rsid w:val="26AD3FB4"/>
    <w:rsid w:val="27606603"/>
    <w:rsid w:val="27C16F45"/>
    <w:rsid w:val="27E31CB3"/>
    <w:rsid w:val="28A55764"/>
    <w:rsid w:val="28E03E9F"/>
    <w:rsid w:val="292B6AAB"/>
    <w:rsid w:val="2AE03115"/>
    <w:rsid w:val="2B371C2C"/>
    <w:rsid w:val="2BF437BD"/>
    <w:rsid w:val="2C5F0A6C"/>
    <w:rsid w:val="2CED2B60"/>
    <w:rsid w:val="2D6B441F"/>
    <w:rsid w:val="2EE62AF8"/>
    <w:rsid w:val="2EEF138E"/>
    <w:rsid w:val="2F235B82"/>
    <w:rsid w:val="2F450FC9"/>
    <w:rsid w:val="2FBB6CB9"/>
    <w:rsid w:val="30216F4F"/>
    <w:rsid w:val="30295833"/>
    <w:rsid w:val="3076349C"/>
    <w:rsid w:val="313F3796"/>
    <w:rsid w:val="31EA3699"/>
    <w:rsid w:val="321E7A12"/>
    <w:rsid w:val="322272D6"/>
    <w:rsid w:val="32BA12BD"/>
    <w:rsid w:val="33172DFD"/>
    <w:rsid w:val="336F70E4"/>
    <w:rsid w:val="33E85CBD"/>
    <w:rsid w:val="346A1514"/>
    <w:rsid w:val="35594182"/>
    <w:rsid w:val="355D0EC2"/>
    <w:rsid w:val="35610116"/>
    <w:rsid w:val="356C7D8E"/>
    <w:rsid w:val="35733020"/>
    <w:rsid w:val="37160A8C"/>
    <w:rsid w:val="377A726D"/>
    <w:rsid w:val="389A3401"/>
    <w:rsid w:val="394A4E68"/>
    <w:rsid w:val="3DA46E21"/>
    <w:rsid w:val="3DBE2AC1"/>
    <w:rsid w:val="3DC654EF"/>
    <w:rsid w:val="3E041A9A"/>
    <w:rsid w:val="3E266E75"/>
    <w:rsid w:val="3E7F261D"/>
    <w:rsid w:val="3E8A5E03"/>
    <w:rsid w:val="3F8F1FB7"/>
    <w:rsid w:val="405A7913"/>
    <w:rsid w:val="40623E46"/>
    <w:rsid w:val="41AF3FB7"/>
    <w:rsid w:val="421E6F24"/>
    <w:rsid w:val="42F505C1"/>
    <w:rsid w:val="443928E4"/>
    <w:rsid w:val="447D54F2"/>
    <w:rsid w:val="44800789"/>
    <w:rsid w:val="448D4A83"/>
    <w:rsid w:val="44DF6E64"/>
    <w:rsid w:val="45921C25"/>
    <w:rsid w:val="468D766A"/>
    <w:rsid w:val="46AB1577"/>
    <w:rsid w:val="4846683E"/>
    <w:rsid w:val="487429DE"/>
    <w:rsid w:val="48A23DFC"/>
    <w:rsid w:val="49724D1A"/>
    <w:rsid w:val="49957F36"/>
    <w:rsid w:val="4A011E92"/>
    <w:rsid w:val="4A3E2024"/>
    <w:rsid w:val="4A880705"/>
    <w:rsid w:val="4A902354"/>
    <w:rsid w:val="4AD8632C"/>
    <w:rsid w:val="4AF40C8C"/>
    <w:rsid w:val="4B1153FF"/>
    <w:rsid w:val="4B3D45DA"/>
    <w:rsid w:val="4C414B16"/>
    <w:rsid w:val="4C6B4F7E"/>
    <w:rsid w:val="4C7B081E"/>
    <w:rsid w:val="4C930ABA"/>
    <w:rsid w:val="4CC16849"/>
    <w:rsid w:val="4CE36D40"/>
    <w:rsid w:val="4CF66F3E"/>
    <w:rsid w:val="4D3A4754"/>
    <w:rsid w:val="4D714816"/>
    <w:rsid w:val="4DA06D3F"/>
    <w:rsid w:val="4DAB383F"/>
    <w:rsid w:val="4E784119"/>
    <w:rsid w:val="4E977429"/>
    <w:rsid w:val="4F8A7B31"/>
    <w:rsid w:val="4FEF2C05"/>
    <w:rsid w:val="501818FB"/>
    <w:rsid w:val="506B19F1"/>
    <w:rsid w:val="51152B4F"/>
    <w:rsid w:val="51861400"/>
    <w:rsid w:val="51AA52C4"/>
    <w:rsid w:val="52157027"/>
    <w:rsid w:val="528D3EA0"/>
    <w:rsid w:val="52DF2782"/>
    <w:rsid w:val="52F63AE8"/>
    <w:rsid w:val="53530C46"/>
    <w:rsid w:val="538B02C6"/>
    <w:rsid w:val="53AB173F"/>
    <w:rsid w:val="541C17B9"/>
    <w:rsid w:val="551C212A"/>
    <w:rsid w:val="55BA696A"/>
    <w:rsid w:val="561C5C67"/>
    <w:rsid w:val="56375DDD"/>
    <w:rsid w:val="569445CB"/>
    <w:rsid w:val="589B7E1A"/>
    <w:rsid w:val="59BD43A9"/>
    <w:rsid w:val="5A0479DB"/>
    <w:rsid w:val="5AD41397"/>
    <w:rsid w:val="5B0B7984"/>
    <w:rsid w:val="5B1E5986"/>
    <w:rsid w:val="5D5307A7"/>
    <w:rsid w:val="5D574CDB"/>
    <w:rsid w:val="5EE11118"/>
    <w:rsid w:val="5EE32E88"/>
    <w:rsid w:val="5F0E4AE1"/>
    <w:rsid w:val="5FBF311E"/>
    <w:rsid w:val="604C6EF1"/>
    <w:rsid w:val="60551CAF"/>
    <w:rsid w:val="60E979CE"/>
    <w:rsid w:val="618A52CC"/>
    <w:rsid w:val="619C15E7"/>
    <w:rsid w:val="619C1919"/>
    <w:rsid w:val="61DB1F0F"/>
    <w:rsid w:val="624A299B"/>
    <w:rsid w:val="625F73F8"/>
    <w:rsid w:val="62FC4876"/>
    <w:rsid w:val="63431904"/>
    <w:rsid w:val="63E37905"/>
    <w:rsid w:val="64635DFB"/>
    <w:rsid w:val="648C6533"/>
    <w:rsid w:val="655D0942"/>
    <w:rsid w:val="65D8322D"/>
    <w:rsid w:val="65E2296E"/>
    <w:rsid w:val="660B32C5"/>
    <w:rsid w:val="667110E7"/>
    <w:rsid w:val="66BE0674"/>
    <w:rsid w:val="68C17B35"/>
    <w:rsid w:val="69286385"/>
    <w:rsid w:val="69C97A5C"/>
    <w:rsid w:val="6B495684"/>
    <w:rsid w:val="6B4D3F9A"/>
    <w:rsid w:val="6BDD7DBA"/>
    <w:rsid w:val="6C2E3BA6"/>
    <w:rsid w:val="6C5A4303"/>
    <w:rsid w:val="6C727073"/>
    <w:rsid w:val="6C780C29"/>
    <w:rsid w:val="6CA43E69"/>
    <w:rsid w:val="6CAE59A6"/>
    <w:rsid w:val="6CC04E53"/>
    <w:rsid w:val="6D1C2401"/>
    <w:rsid w:val="6D5835D1"/>
    <w:rsid w:val="6DA50B82"/>
    <w:rsid w:val="6DD14317"/>
    <w:rsid w:val="6F75243E"/>
    <w:rsid w:val="6F834B25"/>
    <w:rsid w:val="6F8D6E36"/>
    <w:rsid w:val="70253512"/>
    <w:rsid w:val="70357162"/>
    <w:rsid w:val="70C71D41"/>
    <w:rsid w:val="71453E6C"/>
    <w:rsid w:val="714E24D0"/>
    <w:rsid w:val="71AD17EA"/>
    <w:rsid w:val="72233A82"/>
    <w:rsid w:val="722F68CA"/>
    <w:rsid w:val="730E4732"/>
    <w:rsid w:val="7319387A"/>
    <w:rsid w:val="73231F38"/>
    <w:rsid w:val="73415C12"/>
    <w:rsid w:val="734168B5"/>
    <w:rsid w:val="736A58F3"/>
    <w:rsid w:val="73C372CA"/>
    <w:rsid w:val="73D771A6"/>
    <w:rsid w:val="73EB856E"/>
    <w:rsid w:val="73F55E69"/>
    <w:rsid w:val="751E0EED"/>
    <w:rsid w:val="75804DB2"/>
    <w:rsid w:val="75A11D71"/>
    <w:rsid w:val="75EF1E12"/>
    <w:rsid w:val="75F05B41"/>
    <w:rsid w:val="762D45B4"/>
    <w:rsid w:val="772E13B8"/>
    <w:rsid w:val="78114DA2"/>
    <w:rsid w:val="7A207B19"/>
    <w:rsid w:val="7AEA4E52"/>
    <w:rsid w:val="7B0E1240"/>
    <w:rsid w:val="7B3C0A9C"/>
    <w:rsid w:val="7B734FEA"/>
    <w:rsid w:val="7BE42D84"/>
    <w:rsid w:val="7D5EF1E6"/>
    <w:rsid w:val="7DAD466D"/>
    <w:rsid w:val="7DC728FC"/>
    <w:rsid w:val="7EB51F05"/>
    <w:rsid w:val="7EDB66E2"/>
    <w:rsid w:val="7FCD1237"/>
    <w:rsid w:val="7FEB7BB0"/>
    <w:rsid w:val="96E603FC"/>
    <w:rsid w:val="AFFEE07E"/>
    <w:rsid w:val="DFFBAC8E"/>
    <w:rsid w:val="E7F71730"/>
    <w:rsid w:val="FB67B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iPriority="0" w:semiHidden="0" w:name="header"/>
    <w:lsdException w:qFormat="1" w:uiPriority="0" w:semiHidden="0" w:name="footer"/>
    <w:lsdException w:qFormat="1" w:unhideWhenUsed="0" w:uiPriority="0" w:name="index heading"/>
    <w:lsdException w:qFormat="1" w:unhideWhenUsed="0" w:uiPriority="0" w:semiHidden="0"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uiPriority="99" w:name="List Bullet 4"/>
    <w:lsdException w:uiPriority="99" w:name="List Bullet 5"/>
    <w:lsdException w:uiPriority="99"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name="Body Text First Indent"/>
    <w:lsdException w:qFormat="1" w:uiPriority="99"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G Times" w:hAnsi="CG Times" w:eastAsia="宋体" w:cs="CG Times"/>
      <w:kern w:val="2"/>
      <w:sz w:val="21"/>
      <w:szCs w:val="24"/>
      <w:lang w:val="en-US" w:eastAsia="zh-CN" w:bidi="ar-SA"/>
    </w:rPr>
  </w:style>
  <w:style w:type="paragraph" w:styleId="2">
    <w:name w:val="heading 1"/>
    <w:basedOn w:val="1"/>
    <w:next w:val="1"/>
    <w:link w:val="7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72"/>
    <w:autoRedefine/>
    <w:qFormat/>
    <w:uiPriority w:val="0"/>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73"/>
    <w:qFormat/>
    <w:uiPriority w:val="0"/>
    <w:pPr>
      <w:keepNext/>
      <w:keepLines/>
      <w:spacing w:before="260" w:after="260" w:line="416" w:lineRule="auto"/>
      <w:outlineLvl w:val="2"/>
    </w:pPr>
    <w:rPr>
      <w:b/>
      <w:bCs/>
      <w:sz w:val="32"/>
      <w:szCs w:val="32"/>
    </w:rPr>
  </w:style>
  <w:style w:type="paragraph" w:styleId="5">
    <w:name w:val="heading 4"/>
    <w:basedOn w:val="1"/>
    <w:next w:val="1"/>
    <w:link w:val="74"/>
    <w:qFormat/>
    <w:uiPriority w:val="0"/>
    <w:pPr>
      <w:keepNext/>
      <w:keepLines/>
      <w:spacing w:before="280" w:after="290" w:line="376" w:lineRule="auto"/>
      <w:outlineLvl w:val="3"/>
    </w:pPr>
    <w:rPr>
      <w:rFonts w:ascii="Arial" w:hAnsi="Arial" w:eastAsia="黑体" w:cs="Times New Roman"/>
      <w:b/>
      <w:bCs/>
      <w:sz w:val="28"/>
      <w:szCs w:val="28"/>
    </w:rPr>
  </w:style>
  <w:style w:type="paragraph" w:styleId="6">
    <w:name w:val="heading 5"/>
    <w:basedOn w:val="1"/>
    <w:next w:val="1"/>
    <w:link w:val="75"/>
    <w:autoRedefine/>
    <w:qFormat/>
    <w:uiPriority w:val="0"/>
    <w:pPr>
      <w:keepNext/>
      <w:keepLines/>
      <w:spacing w:before="280" w:after="290" w:line="376" w:lineRule="auto"/>
      <w:outlineLvl w:val="4"/>
    </w:pPr>
    <w:rPr>
      <w:rFonts w:cs="Times New Roman"/>
      <w:b/>
      <w:bCs/>
      <w:sz w:val="28"/>
      <w:szCs w:val="28"/>
    </w:rPr>
  </w:style>
  <w:style w:type="paragraph" w:styleId="7">
    <w:name w:val="heading 6"/>
    <w:basedOn w:val="1"/>
    <w:next w:val="8"/>
    <w:link w:val="76"/>
    <w:autoRedefine/>
    <w:qFormat/>
    <w:uiPriority w:val="0"/>
    <w:pPr>
      <w:keepNext/>
      <w:keepLines/>
      <w:adjustRightInd w:val="0"/>
      <w:spacing w:before="240" w:after="64" w:line="320" w:lineRule="auto"/>
      <w:textAlignment w:val="baseline"/>
      <w:outlineLvl w:val="5"/>
    </w:pPr>
    <w:rPr>
      <w:rFonts w:ascii="Arial" w:hAnsi="Arial" w:eastAsia="黑体" w:cs="Times New Roman"/>
      <w:b/>
      <w:kern w:val="0"/>
      <w:sz w:val="24"/>
      <w:szCs w:val="20"/>
    </w:rPr>
  </w:style>
  <w:style w:type="paragraph" w:styleId="9">
    <w:name w:val="heading 7"/>
    <w:basedOn w:val="1"/>
    <w:next w:val="8"/>
    <w:link w:val="77"/>
    <w:autoRedefine/>
    <w:qFormat/>
    <w:uiPriority w:val="0"/>
    <w:pPr>
      <w:keepNext/>
      <w:keepLines/>
      <w:adjustRightInd w:val="0"/>
      <w:spacing w:before="240" w:after="64" w:line="320" w:lineRule="auto"/>
      <w:textAlignment w:val="baseline"/>
      <w:outlineLvl w:val="6"/>
    </w:pPr>
    <w:rPr>
      <w:rFonts w:ascii="Times New Roman" w:hAnsi="Times New Roman" w:cs="Times New Roman"/>
      <w:b/>
      <w:kern w:val="0"/>
      <w:sz w:val="24"/>
      <w:szCs w:val="20"/>
    </w:rPr>
  </w:style>
  <w:style w:type="paragraph" w:styleId="10">
    <w:name w:val="heading 8"/>
    <w:basedOn w:val="1"/>
    <w:next w:val="8"/>
    <w:link w:val="78"/>
    <w:autoRedefine/>
    <w:qFormat/>
    <w:uiPriority w:val="0"/>
    <w:pPr>
      <w:keepNext/>
      <w:keepLines/>
      <w:adjustRightInd w:val="0"/>
      <w:spacing w:before="240" w:after="64" w:line="320" w:lineRule="auto"/>
      <w:textAlignment w:val="baseline"/>
      <w:outlineLvl w:val="7"/>
    </w:pPr>
    <w:rPr>
      <w:rFonts w:ascii="Arial" w:hAnsi="Arial" w:eastAsia="黑体" w:cs="Times New Roman"/>
      <w:kern w:val="0"/>
      <w:sz w:val="24"/>
      <w:szCs w:val="20"/>
    </w:rPr>
  </w:style>
  <w:style w:type="paragraph" w:styleId="11">
    <w:name w:val="heading 9"/>
    <w:basedOn w:val="1"/>
    <w:next w:val="1"/>
    <w:link w:val="79"/>
    <w:autoRedefine/>
    <w:qFormat/>
    <w:uiPriority w:val="0"/>
    <w:pPr>
      <w:keepNext/>
      <w:keepLines/>
      <w:spacing w:before="240" w:after="64" w:line="320" w:lineRule="auto"/>
      <w:outlineLvl w:val="8"/>
    </w:pPr>
    <w:rPr>
      <w:rFonts w:ascii="Arial" w:hAnsi="Arial" w:eastAsia="黑体" w:cs="Times New Roman"/>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8">
    <w:name w:val="Normal Indent"/>
    <w:basedOn w:val="1"/>
    <w:autoRedefine/>
    <w:qFormat/>
    <w:uiPriority w:val="0"/>
    <w:pPr>
      <w:ind w:firstLine="420" w:firstLineChars="200"/>
    </w:pPr>
    <w:rPr>
      <w:rFonts w:ascii="Times New Roman" w:hAnsi="Times New Roman" w:cs="Times New Roman"/>
    </w:rPr>
  </w:style>
  <w:style w:type="paragraph" w:styleId="12">
    <w:name w:val="List 3"/>
    <w:basedOn w:val="1"/>
    <w:autoRedefine/>
    <w:qFormat/>
    <w:uiPriority w:val="0"/>
    <w:pPr>
      <w:ind w:left="100" w:leftChars="400" w:hanging="200" w:hangingChars="200"/>
    </w:pPr>
    <w:rPr>
      <w:rFonts w:ascii="Times New Roman" w:hAnsi="Times New Roman" w:cs="Times New Roman"/>
    </w:rPr>
  </w:style>
  <w:style w:type="paragraph" w:styleId="13">
    <w:name w:val="toc 7"/>
    <w:basedOn w:val="1"/>
    <w:next w:val="1"/>
    <w:autoRedefine/>
    <w:unhideWhenUsed/>
    <w:qFormat/>
    <w:uiPriority w:val="39"/>
    <w:pPr>
      <w:ind w:left="2520" w:leftChars="1200"/>
    </w:pPr>
    <w:rPr>
      <w:rFonts w:asciiTheme="minorHAnsi" w:hAnsiTheme="minorHAnsi" w:eastAsiaTheme="minorEastAsia" w:cstheme="minorBidi"/>
      <w:szCs w:val="22"/>
    </w:rPr>
  </w:style>
  <w:style w:type="paragraph" w:styleId="14">
    <w:name w:val="Note Heading"/>
    <w:basedOn w:val="1"/>
    <w:next w:val="1"/>
    <w:link w:val="124"/>
    <w:autoRedefine/>
    <w:qFormat/>
    <w:uiPriority w:val="0"/>
    <w:pPr>
      <w:jc w:val="center"/>
    </w:pPr>
    <w:rPr>
      <w:rFonts w:ascii="宋体" w:hAnsi="Times New Roman"/>
      <w:sz w:val="28"/>
      <w:szCs w:val="20"/>
    </w:rPr>
  </w:style>
  <w:style w:type="paragraph" w:styleId="15">
    <w:name w:val="List Number"/>
    <w:basedOn w:val="1"/>
    <w:autoRedefine/>
    <w:qFormat/>
    <w:uiPriority w:val="0"/>
    <w:pPr>
      <w:tabs>
        <w:tab w:val="left" w:pos="360"/>
      </w:tabs>
      <w:ind w:left="360" w:hanging="360" w:hangingChars="200"/>
    </w:pPr>
    <w:rPr>
      <w:rFonts w:ascii="仿宋_GB2312" w:hAnsi="Times New Roman" w:eastAsia="仿宋_GB2312" w:cs="Times New Roman"/>
      <w:sz w:val="28"/>
    </w:rPr>
  </w:style>
  <w:style w:type="paragraph" w:styleId="16">
    <w:name w:val="caption"/>
    <w:basedOn w:val="1"/>
    <w:next w:val="1"/>
    <w:autoRedefine/>
    <w:qFormat/>
    <w:uiPriority w:val="0"/>
    <w:rPr>
      <w:rFonts w:ascii="Cambria" w:hAnsi="Cambria" w:eastAsia="黑体"/>
      <w:sz w:val="20"/>
    </w:rPr>
  </w:style>
  <w:style w:type="paragraph" w:styleId="17">
    <w:name w:val="List Bullet"/>
    <w:basedOn w:val="1"/>
    <w:autoRedefine/>
    <w:qFormat/>
    <w:uiPriority w:val="0"/>
    <w:pPr>
      <w:tabs>
        <w:tab w:val="left" w:pos="360"/>
      </w:tabs>
      <w:ind w:left="360" w:hanging="360" w:hangingChars="200"/>
    </w:pPr>
    <w:rPr>
      <w:rFonts w:ascii="Times New Roman" w:hAnsi="Times New Roman" w:cs="Times New Roman"/>
      <w:szCs w:val="20"/>
    </w:rPr>
  </w:style>
  <w:style w:type="paragraph" w:styleId="18">
    <w:name w:val="Document Map"/>
    <w:basedOn w:val="1"/>
    <w:link w:val="94"/>
    <w:autoRedefine/>
    <w:semiHidden/>
    <w:unhideWhenUsed/>
    <w:qFormat/>
    <w:uiPriority w:val="0"/>
    <w:rPr>
      <w:rFonts w:ascii="宋体"/>
      <w:sz w:val="18"/>
      <w:szCs w:val="18"/>
    </w:rPr>
  </w:style>
  <w:style w:type="paragraph" w:styleId="19">
    <w:name w:val="annotation text"/>
    <w:basedOn w:val="1"/>
    <w:link w:val="112"/>
    <w:autoRedefine/>
    <w:qFormat/>
    <w:uiPriority w:val="0"/>
    <w:pPr>
      <w:jc w:val="left"/>
    </w:pPr>
    <w:rPr>
      <w:rFonts w:ascii="Times New Roman" w:hAnsi="Times New Roman" w:cs="Times New Roman"/>
    </w:rPr>
  </w:style>
  <w:style w:type="paragraph" w:styleId="20">
    <w:name w:val="Salutation"/>
    <w:basedOn w:val="1"/>
    <w:next w:val="1"/>
    <w:link w:val="666"/>
    <w:autoRedefine/>
    <w:qFormat/>
    <w:uiPriority w:val="0"/>
    <w:rPr>
      <w:rFonts w:ascii="Times New Roman" w:hAnsi="Times New Roman" w:eastAsia="楷体_GB2312" w:cs="Times New Roman"/>
      <w:szCs w:val="20"/>
    </w:rPr>
  </w:style>
  <w:style w:type="paragraph" w:styleId="21">
    <w:name w:val="Body Text 3"/>
    <w:basedOn w:val="1"/>
    <w:link w:val="163"/>
    <w:autoRedefine/>
    <w:qFormat/>
    <w:uiPriority w:val="0"/>
    <w:pPr>
      <w:spacing w:after="120"/>
    </w:pPr>
    <w:rPr>
      <w:rFonts w:ascii="Times New Roman" w:hAnsi="Times New Roman" w:cs="Times New Roman"/>
      <w:sz w:val="16"/>
      <w:szCs w:val="16"/>
    </w:rPr>
  </w:style>
  <w:style w:type="paragraph" w:styleId="22">
    <w:name w:val="List Bullet 3"/>
    <w:basedOn w:val="1"/>
    <w:autoRedefine/>
    <w:qFormat/>
    <w:uiPriority w:val="0"/>
    <w:pPr>
      <w:tabs>
        <w:tab w:val="left" w:pos="1200"/>
      </w:tabs>
      <w:ind w:left="1200" w:leftChars="400" w:hanging="360" w:hangingChars="200"/>
    </w:pPr>
    <w:rPr>
      <w:rFonts w:ascii="Times New Roman" w:hAnsi="Times New Roman" w:cs="Times New Roman"/>
      <w:szCs w:val="20"/>
    </w:rPr>
  </w:style>
  <w:style w:type="paragraph" w:styleId="23">
    <w:name w:val="Body Text"/>
    <w:basedOn w:val="1"/>
    <w:next w:val="24"/>
    <w:link w:val="122"/>
    <w:autoRedefine/>
    <w:qFormat/>
    <w:uiPriority w:val="0"/>
    <w:pPr>
      <w:spacing w:after="120"/>
    </w:pPr>
    <w:rPr>
      <w:rFonts w:ascii="Times New Roman" w:hAnsi="Times New Roman" w:cs="Times New Roman"/>
    </w:rPr>
  </w:style>
  <w:style w:type="paragraph" w:styleId="24">
    <w:name w:val="Body Text First Indent"/>
    <w:basedOn w:val="23"/>
    <w:next w:val="1"/>
    <w:link w:val="188"/>
    <w:autoRedefine/>
    <w:semiHidden/>
    <w:unhideWhenUsed/>
    <w:qFormat/>
    <w:uiPriority w:val="99"/>
    <w:pPr>
      <w:ind w:firstLine="420" w:firstLineChars="100"/>
    </w:pPr>
    <w:rPr>
      <w:rFonts w:ascii="CG Times" w:hAnsi="CG Times" w:cs="CG Times"/>
    </w:rPr>
  </w:style>
  <w:style w:type="paragraph" w:styleId="25">
    <w:name w:val="Body Text Indent"/>
    <w:basedOn w:val="1"/>
    <w:next w:val="8"/>
    <w:link w:val="118"/>
    <w:autoRedefine/>
    <w:qFormat/>
    <w:uiPriority w:val="0"/>
    <w:pPr>
      <w:spacing w:after="120"/>
      <w:ind w:left="420" w:leftChars="200"/>
    </w:pPr>
    <w:rPr>
      <w:rFonts w:ascii="Times New Roman" w:hAnsi="Times New Roman" w:cs="Times New Roman"/>
    </w:rPr>
  </w:style>
  <w:style w:type="paragraph" w:styleId="26">
    <w:name w:val="List Number 3"/>
    <w:basedOn w:val="1"/>
    <w:autoRedefine/>
    <w:qFormat/>
    <w:uiPriority w:val="0"/>
    <w:pPr>
      <w:tabs>
        <w:tab w:val="left" w:pos="1200"/>
      </w:tabs>
      <w:autoSpaceDE w:val="0"/>
      <w:autoSpaceDN w:val="0"/>
      <w:adjustRightInd w:val="0"/>
      <w:ind w:left="1200" w:leftChars="400" w:hanging="360" w:hangingChars="200"/>
      <w:textAlignment w:val="baseline"/>
    </w:pPr>
    <w:rPr>
      <w:rFonts w:ascii="Times New Roman" w:hAnsi="Times New Roman" w:cs="Times New Roman"/>
      <w:kern w:val="0"/>
      <w:sz w:val="28"/>
      <w:szCs w:val="20"/>
    </w:rPr>
  </w:style>
  <w:style w:type="paragraph" w:styleId="27">
    <w:name w:val="List 2"/>
    <w:basedOn w:val="1"/>
    <w:autoRedefine/>
    <w:qFormat/>
    <w:uiPriority w:val="0"/>
    <w:pPr>
      <w:spacing w:line="360" w:lineRule="exact"/>
      <w:jc w:val="center"/>
    </w:pPr>
    <w:rPr>
      <w:rFonts w:ascii="仿宋_GB2312" w:hAnsi="Times New Roman" w:eastAsia="仿宋_GB2312" w:cs="Times New Roman"/>
      <w:sz w:val="28"/>
      <w:szCs w:val="20"/>
    </w:rPr>
  </w:style>
  <w:style w:type="paragraph" w:styleId="28">
    <w:name w:val="Block Text"/>
    <w:basedOn w:val="1"/>
    <w:autoRedefine/>
    <w:qFormat/>
    <w:uiPriority w:val="0"/>
    <w:pPr>
      <w:spacing w:after="120" w:line="500" w:lineRule="exact"/>
      <w:ind w:left="1440" w:leftChars="700" w:right="1440" w:rightChars="700"/>
    </w:pPr>
    <w:rPr>
      <w:rFonts w:ascii="Times New Roman" w:hAnsi="Times New Roman" w:eastAsia="仿宋_GB2312" w:cs="Times New Roman"/>
      <w:sz w:val="28"/>
    </w:rPr>
  </w:style>
  <w:style w:type="paragraph" w:styleId="29">
    <w:name w:val="List Bullet 2"/>
    <w:basedOn w:val="1"/>
    <w:autoRedefine/>
    <w:qFormat/>
    <w:uiPriority w:val="0"/>
    <w:pPr>
      <w:tabs>
        <w:tab w:val="left" w:pos="780"/>
      </w:tabs>
      <w:ind w:left="780" w:leftChars="200" w:hanging="360" w:hangingChars="200"/>
    </w:pPr>
    <w:rPr>
      <w:rFonts w:ascii="Times New Roman" w:hAnsi="Times New Roman" w:cs="Times New Roman"/>
      <w:szCs w:val="20"/>
    </w:rPr>
  </w:style>
  <w:style w:type="paragraph" w:styleId="30">
    <w:name w:val="HTML Address"/>
    <w:basedOn w:val="1"/>
    <w:link w:val="650"/>
    <w:autoRedefine/>
    <w:qFormat/>
    <w:uiPriority w:val="0"/>
    <w:rPr>
      <w:rFonts w:ascii="Times New Roman" w:hAnsi="Times New Roman" w:cs="Times New Roman"/>
      <w:i/>
      <w:iCs/>
      <w:sz w:val="24"/>
      <w:szCs w:val="20"/>
    </w:rPr>
  </w:style>
  <w:style w:type="paragraph" w:styleId="31">
    <w:name w:val="toc 5"/>
    <w:basedOn w:val="1"/>
    <w:next w:val="1"/>
    <w:autoRedefine/>
    <w:unhideWhenUsed/>
    <w:qFormat/>
    <w:uiPriority w:val="39"/>
    <w:pPr>
      <w:ind w:left="1680" w:leftChars="800"/>
    </w:pPr>
    <w:rPr>
      <w:rFonts w:asciiTheme="minorHAnsi" w:hAnsiTheme="minorHAnsi" w:eastAsiaTheme="minorEastAsia" w:cstheme="minorBidi"/>
      <w:szCs w:val="22"/>
    </w:rPr>
  </w:style>
  <w:style w:type="paragraph" w:styleId="32">
    <w:name w:val="toc 3"/>
    <w:basedOn w:val="1"/>
    <w:next w:val="1"/>
    <w:autoRedefine/>
    <w:unhideWhenUsed/>
    <w:qFormat/>
    <w:uiPriority w:val="39"/>
    <w:pPr>
      <w:ind w:left="840" w:leftChars="400"/>
    </w:pPr>
  </w:style>
  <w:style w:type="paragraph" w:styleId="33">
    <w:name w:val="Plain Text"/>
    <w:basedOn w:val="1"/>
    <w:link w:val="110"/>
    <w:autoRedefine/>
    <w:qFormat/>
    <w:uiPriority w:val="0"/>
    <w:rPr>
      <w:rFonts w:ascii="宋体" w:hAnsi="Courier New" w:cs="Times New Roman"/>
      <w:szCs w:val="20"/>
    </w:rPr>
  </w:style>
  <w:style w:type="paragraph" w:styleId="34">
    <w:name w:val="toc 8"/>
    <w:basedOn w:val="1"/>
    <w:next w:val="1"/>
    <w:autoRedefine/>
    <w:unhideWhenUsed/>
    <w:qFormat/>
    <w:uiPriority w:val="39"/>
    <w:pPr>
      <w:ind w:left="2940" w:leftChars="1400"/>
    </w:pPr>
    <w:rPr>
      <w:rFonts w:asciiTheme="minorHAnsi" w:hAnsiTheme="minorHAnsi" w:eastAsiaTheme="minorEastAsia" w:cstheme="minorBidi"/>
      <w:szCs w:val="22"/>
    </w:rPr>
  </w:style>
  <w:style w:type="paragraph" w:styleId="35">
    <w:name w:val="Date"/>
    <w:basedOn w:val="1"/>
    <w:next w:val="1"/>
    <w:link w:val="119"/>
    <w:autoRedefine/>
    <w:qFormat/>
    <w:uiPriority w:val="0"/>
    <w:pPr>
      <w:ind w:left="100" w:leftChars="2500"/>
    </w:pPr>
    <w:rPr>
      <w:rFonts w:ascii="Times New Roman" w:hAnsi="Times New Roman" w:cs="Times New Roman"/>
    </w:rPr>
  </w:style>
  <w:style w:type="paragraph" w:styleId="36">
    <w:name w:val="Body Text Indent 2"/>
    <w:basedOn w:val="1"/>
    <w:link w:val="116"/>
    <w:autoRedefine/>
    <w:qFormat/>
    <w:uiPriority w:val="0"/>
    <w:pPr>
      <w:spacing w:after="120" w:line="480" w:lineRule="auto"/>
      <w:ind w:left="420" w:leftChars="200"/>
    </w:pPr>
    <w:rPr>
      <w:rFonts w:ascii="Times New Roman" w:hAnsi="Times New Roman" w:cs="Times New Roman"/>
    </w:rPr>
  </w:style>
  <w:style w:type="paragraph" w:styleId="37">
    <w:name w:val="Balloon Text"/>
    <w:basedOn w:val="1"/>
    <w:link w:val="95"/>
    <w:autoRedefine/>
    <w:semiHidden/>
    <w:unhideWhenUsed/>
    <w:qFormat/>
    <w:uiPriority w:val="0"/>
    <w:rPr>
      <w:sz w:val="18"/>
      <w:szCs w:val="18"/>
    </w:rPr>
  </w:style>
  <w:style w:type="paragraph" w:styleId="38">
    <w:name w:val="footer"/>
    <w:basedOn w:val="1"/>
    <w:link w:val="81"/>
    <w:autoRedefine/>
    <w:unhideWhenUsed/>
    <w:qFormat/>
    <w:uiPriority w:val="0"/>
    <w:pPr>
      <w:tabs>
        <w:tab w:val="center" w:pos="4153"/>
        <w:tab w:val="right" w:pos="8306"/>
      </w:tabs>
      <w:snapToGrid w:val="0"/>
      <w:jc w:val="left"/>
    </w:pPr>
    <w:rPr>
      <w:sz w:val="18"/>
      <w:szCs w:val="18"/>
    </w:rPr>
  </w:style>
  <w:style w:type="paragraph" w:styleId="39">
    <w:name w:val="envelope return"/>
    <w:basedOn w:val="1"/>
    <w:autoRedefine/>
    <w:qFormat/>
    <w:uiPriority w:val="0"/>
    <w:pPr>
      <w:snapToGrid w:val="0"/>
    </w:pPr>
    <w:rPr>
      <w:rFonts w:ascii="Arial" w:hAnsi="Arial" w:cs="Times New Roman"/>
      <w:szCs w:val="20"/>
    </w:rPr>
  </w:style>
  <w:style w:type="paragraph" w:styleId="40">
    <w:name w:val="header"/>
    <w:basedOn w:val="1"/>
    <w:link w:val="80"/>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41">
    <w:name w:val="toc 1"/>
    <w:basedOn w:val="1"/>
    <w:next w:val="1"/>
    <w:autoRedefine/>
    <w:unhideWhenUsed/>
    <w:qFormat/>
    <w:uiPriority w:val="39"/>
    <w:pPr>
      <w:tabs>
        <w:tab w:val="right" w:leader="dot" w:pos="9174"/>
      </w:tabs>
      <w:spacing w:line="360" w:lineRule="auto"/>
      <w:jc w:val="center"/>
    </w:pPr>
    <w:rPr>
      <w:rFonts w:ascii="黑体" w:hAnsi="黑体" w:eastAsia="黑体" w:cs="Times New Roman"/>
      <w:b/>
      <w:sz w:val="32"/>
      <w:szCs w:val="32"/>
    </w:rPr>
  </w:style>
  <w:style w:type="paragraph" w:styleId="42">
    <w:name w:val="toc 4"/>
    <w:basedOn w:val="1"/>
    <w:next w:val="1"/>
    <w:autoRedefine/>
    <w:unhideWhenUsed/>
    <w:qFormat/>
    <w:uiPriority w:val="39"/>
    <w:pPr>
      <w:ind w:left="1260" w:leftChars="600"/>
    </w:pPr>
    <w:rPr>
      <w:rFonts w:asciiTheme="minorHAnsi" w:hAnsiTheme="minorHAnsi" w:eastAsiaTheme="minorEastAsia" w:cstheme="minorBidi"/>
      <w:szCs w:val="22"/>
    </w:rPr>
  </w:style>
  <w:style w:type="paragraph" w:styleId="43">
    <w:name w:val="index heading"/>
    <w:basedOn w:val="1"/>
    <w:next w:val="44"/>
    <w:autoRedefine/>
    <w:semiHidden/>
    <w:qFormat/>
    <w:uiPriority w:val="0"/>
    <w:rPr>
      <w:rFonts w:ascii="宋体" w:hAnsi="宋体" w:cs="Times New Roman"/>
      <w:sz w:val="28"/>
    </w:rPr>
  </w:style>
  <w:style w:type="paragraph" w:styleId="44">
    <w:name w:val="index 1"/>
    <w:basedOn w:val="1"/>
    <w:next w:val="1"/>
    <w:autoRedefine/>
    <w:qFormat/>
    <w:uiPriority w:val="0"/>
  </w:style>
  <w:style w:type="paragraph" w:styleId="45">
    <w:name w:val="Subtitle"/>
    <w:basedOn w:val="1"/>
    <w:link w:val="413"/>
    <w:autoRedefine/>
    <w:qFormat/>
    <w:uiPriority w:val="0"/>
    <w:pPr>
      <w:spacing w:before="240" w:after="60" w:line="312" w:lineRule="auto"/>
      <w:jc w:val="center"/>
      <w:outlineLvl w:val="1"/>
    </w:pPr>
    <w:rPr>
      <w:rFonts w:ascii="Arial" w:hAnsi="Arial" w:cs="Times New Roman"/>
      <w:b/>
      <w:bCs/>
      <w:kern w:val="28"/>
      <w:sz w:val="32"/>
      <w:szCs w:val="32"/>
    </w:rPr>
  </w:style>
  <w:style w:type="paragraph" w:styleId="46">
    <w:name w:val="List"/>
    <w:basedOn w:val="1"/>
    <w:link w:val="131"/>
    <w:autoRedefine/>
    <w:qFormat/>
    <w:uiPriority w:val="0"/>
    <w:pPr>
      <w:widowControl/>
      <w:overflowPunct w:val="0"/>
      <w:autoSpaceDE w:val="0"/>
      <w:autoSpaceDN w:val="0"/>
      <w:adjustRightInd w:val="0"/>
      <w:spacing w:line="360" w:lineRule="auto"/>
      <w:jc w:val="center"/>
      <w:textAlignment w:val="baseline"/>
    </w:pPr>
    <w:rPr>
      <w:rFonts w:ascii="Times New Roman" w:hAnsi="Times New Roman" w:cs="Times New Roman"/>
      <w:kern w:val="0"/>
      <w:szCs w:val="20"/>
      <w:lang w:val="en-GB"/>
    </w:rPr>
  </w:style>
  <w:style w:type="paragraph" w:styleId="47">
    <w:name w:val="footnote text"/>
    <w:basedOn w:val="1"/>
    <w:link w:val="559"/>
    <w:autoRedefine/>
    <w:semiHidden/>
    <w:qFormat/>
    <w:uiPriority w:val="0"/>
    <w:pPr>
      <w:snapToGrid w:val="0"/>
      <w:jc w:val="left"/>
    </w:pPr>
    <w:rPr>
      <w:rFonts w:ascii="Times New Roman" w:hAnsi="Times New Roman" w:cs="Times New Roman"/>
      <w:sz w:val="18"/>
      <w:szCs w:val="18"/>
    </w:rPr>
  </w:style>
  <w:style w:type="paragraph" w:styleId="48">
    <w:name w:val="toc 6"/>
    <w:basedOn w:val="1"/>
    <w:next w:val="1"/>
    <w:autoRedefine/>
    <w:unhideWhenUsed/>
    <w:qFormat/>
    <w:uiPriority w:val="39"/>
    <w:pPr>
      <w:ind w:left="2100" w:leftChars="1000"/>
    </w:pPr>
    <w:rPr>
      <w:rFonts w:asciiTheme="minorHAnsi" w:hAnsiTheme="minorHAnsi" w:eastAsiaTheme="minorEastAsia" w:cstheme="minorBidi"/>
      <w:szCs w:val="22"/>
    </w:rPr>
  </w:style>
  <w:style w:type="paragraph" w:styleId="49">
    <w:name w:val="List 5"/>
    <w:basedOn w:val="1"/>
    <w:autoRedefine/>
    <w:qFormat/>
    <w:uiPriority w:val="0"/>
    <w:pPr>
      <w:ind w:left="100" w:leftChars="800" w:hanging="200" w:hangingChars="200"/>
    </w:pPr>
    <w:rPr>
      <w:rFonts w:ascii="Times New Roman" w:hAnsi="Times New Roman" w:cs="Times New Roman"/>
    </w:rPr>
  </w:style>
  <w:style w:type="paragraph" w:styleId="50">
    <w:name w:val="Body Text Indent 3"/>
    <w:basedOn w:val="1"/>
    <w:link w:val="120"/>
    <w:autoRedefine/>
    <w:qFormat/>
    <w:uiPriority w:val="0"/>
    <w:pPr>
      <w:spacing w:after="120"/>
      <w:ind w:left="420" w:leftChars="200"/>
    </w:pPr>
    <w:rPr>
      <w:rFonts w:ascii="Times New Roman" w:hAnsi="Times New Roman" w:cs="Times New Roman"/>
      <w:sz w:val="16"/>
      <w:szCs w:val="16"/>
    </w:rPr>
  </w:style>
  <w:style w:type="paragraph" w:styleId="51">
    <w:name w:val="table of figures"/>
    <w:basedOn w:val="1"/>
    <w:next w:val="1"/>
    <w:autoRedefine/>
    <w:qFormat/>
    <w:uiPriority w:val="0"/>
    <w:pPr>
      <w:spacing w:line="360" w:lineRule="auto"/>
    </w:pPr>
    <w:rPr>
      <w:rFonts w:ascii="楷体_GB2312" w:hAnsi="宋体" w:eastAsia="楷体_GB2312" w:cs="Times New Roman"/>
      <w:b/>
      <w:bCs/>
      <w:snapToGrid w:val="0"/>
      <w:kern w:val="0"/>
      <w:sz w:val="28"/>
      <w:szCs w:val="23"/>
      <w:lang w:val="zh-CN"/>
    </w:rPr>
  </w:style>
  <w:style w:type="paragraph" w:styleId="52">
    <w:name w:val="toc 2"/>
    <w:basedOn w:val="1"/>
    <w:next w:val="1"/>
    <w:autoRedefine/>
    <w:unhideWhenUsed/>
    <w:qFormat/>
    <w:uiPriority w:val="39"/>
    <w:pPr>
      <w:ind w:left="420" w:leftChars="200"/>
    </w:pPr>
  </w:style>
  <w:style w:type="paragraph" w:styleId="53">
    <w:name w:val="toc 9"/>
    <w:basedOn w:val="1"/>
    <w:next w:val="1"/>
    <w:autoRedefine/>
    <w:unhideWhenUsed/>
    <w:qFormat/>
    <w:uiPriority w:val="39"/>
    <w:pPr>
      <w:ind w:left="3360" w:leftChars="1600"/>
    </w:pPr>
    <w:rPr>
      <w:rFonts w:asciiTheme="minorHAnsi" w:hAnsiTheme="minorHAnsi" w:eastAsiaTheme="minorEastAsia" w:cstheme="minorBidi"/>
      <w:szCs w:val="22"/>
    </w:rPr>
  </w:style>
  <w:style w:type="paragraph" w:styleId="54">
    <w:name w:val="Body Text 2"/>
    <w:basedOn w:val="1"/>
    <w:link w:val="82"/>
    <w:autoRedefine/>
    <w:qFormat/>
    <w:uiPriority w:val="0"/>
    <w:pPr>
      <w:spacing w:after="120" w:line="480" w:lineRule="auto"/>
    </w:pPr>
  </w:style>
  <w:style w:type="paragraph" w:styleId="55">
    <w:name w:val="List 4"/>
    <w:basedOn w:val="1"/>
    <w:autoRedefine/>
    <w:qFormat/>
    <w:uiPriority w:val="0"/>
    <w:pPr>
      <w:ind w:left="100" w:leftChars="600" w:hanging="200" w:hangingChars="200"/>
    </w:pPr>
    <w:rPr>
      <w:rFonts w:ascii="Times New Roman" w:hAnsi="Times New Roman" w:cs="Times New Roman"/>
    </w:rPr>
  </w:style>
  <w:style w:type="paragraph" w:styleId="56">
    <w:name w:val="HTML Preformatted"/>
    <w:basedOn w:val="1"/>
    <w:link w:val="300"/>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pPr>
    <w:rPr>
      <w:rFonts w:ascii="黑体" w:hAnsi="Courier New" w:eastAsia="黑体" w:cs="Courier New"/>
      <w:kern w:val="0"/>
      <w:sz w:val="20"/>
      <w:szCs w:val="20"/>
    </w:rPr>
  </w:style>
  <w:style w:type="paragraph" w:styleId="5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58">
    <w:name w:val="Title"/>
    <w:basedOn w:val="1"/>
    <w:link w:val="411"/>
    <w:autoRedefine/>
    <w:qFormat/>
    <w:uiPriority w:val="0"/>
    <w:pPr>
      <w:spacing w:before="240" w:after="60"/>
      <w:jc w:val="center"/>
      <w:outlineLvl w:val="0"/>
    </w:pPr>
    <w:rPr>
      <w:rFonts w:ascii="Arial" w:hAnsi="Arial" w:cs="Times New Roman"/>
      <w:b/>
      <w:bCs/>
      <w:sz w:val="32"/>
      <w:szCs w:val="32"/>
    </w:rPr>
  </w:style>
  <w:style w:type="paragraph" w:styleId="59">
    <w:name w:val="annotation subject"/>
    <w:basedOn w:val="19"/>
    <w:next w:val="19"/>
    <w:link w:val="139"/>
    <w:autoRedefine/>
    <w:qFormat/>
    <w:uiPriority w:val="0"/>
    <w:rPr>
      <w:rFonts w:ascii="CG Times" w:hAnsi="CG Times"/>
      <w:b/>
      <w:bCs/>
    </w:rPr>
  </w:style>
  <w:style w:type="paragraph" w:styleId="60">
    <w:name w:val="Body Text First Indent 2"/>
    <w:basedOn w:val="25"/>
    <w:next w:val="1"/>
    <w:link w:val="716"/>
    <w:autoRedefine/>
    <w:semiHidden/>
    <w:unhideWhenUsed/>
    <w:qFormat/>
    <w:uiPriority w:val="99"/>
    <w:pPr>
      <w:ind w:firstLine="420" w:firstLineChars="200"/>
    </w:pPr>
    <w:rPr>
      <w:rFonts w:ascii="CG Times" w:hAnsi="CG Times" w:cs="CG Times"/>
    </w:rPr>
  </w:style>
  <w:style w:type="table" w:styleId="62">
    <w:name w:val="Table Grid"/>
    <w:basedOn w:val="61"/>
    <w:autoRedefine/>
    <w:qFormat/>
    <w:uiPriority w:val="59"/>
    <w:pPr>
      <w:widowControl w:val="0"/>
      <w:jc w:val="both"/>
    </w:pPr>
    <w:rPr>
      <w:rFonts w:ascii="CG Times" w:hAnsi="CG Times" w:eastAsia="宋体" w:cs="CG Times"/>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4">
    <w:name w:val="Strong"/>
    <w:autoRedefine/>
    <w:qFormat/>
    <w:uiPriority w:val="0"/>
    <w:rPr>
      <w:b/>
      <w:bCs/>
    </w:rPr>
  </w:style>
  <w:style w:type="character" w:styleId="65">
    <w:name w:val="page number"/>
    <w:basedOn w:val="63"/>
    <w:autoRedefine/>
    <w:unhideWhenUsed/>
    <w:qFormat/>
    <w:uiPriority w:val="0"/>
  </w:style>
  <w:style w:type="character" w:styleId="66">
    <w:name w:val="FollowedHyperlink"/>
    <w:autoRedefine/>
    <w:qFormat/>
    <w:uiPriority w:val="0"/>
    <w:rPr>
      <w:color w:val="800080"/>
      <w:u w:val="single"/>
    </w:rPr>
  </w:style>
  <w:style w:type="character" w:styleId="67">
    <w:name w:val="Emphasis"/>
    <w:autoRedefine/>
    <w:qFormat/>
    <w:uiPriority w:val="20"/>
    <w:rPr>
      <w:color w:val="CC0033"/>
    </w:rPr>
  </w:style>
  <w:style w:type="character" w:styleId="68">
    <w:name w:val="Hyperlink"/>
    <w:autoRedefine/>
    <w:qFormat/>
    <w:uiPriority w:val="99"/>
    <w:rPr>
      <w:color w:val="0000FF"/>
      <w:u w:val="single"/>
    </w:rPr>
  </w:style>
  <w:style w:type="character" w:styleId="69">
    <w:name w:val="annotation reference"/>
    <w:autoRedefine/>
    <w:qFormat/>
    <w:uiPriority w:val="0"/>
    <w:rPr>
      <w:sz w:val="21"/>
      <w:szCs w:val="21"/>
    </w:rPr>
  </w:style>
  <w:style w:type="character" w:customStyle="1" w:styleId="70">
    <w:name w:val="标题 2 字符"/>
    <w:basedOn w:val="63"/>
    <w:autoRedefine/>
    <w:semiHidden/>
    <w:qFormat/>
    <w:uiPriority w:val="9"/>
    <w:rPr>
      <w:rFonts w:asciiTheme="majorHAnsi" w:hAnsiTheme="majorHAnsi" w:eastAsiaTheme="majorEastAsia" w:cstheme="majorBidi"/>
      <w:b/>
      <w:bCs/>
      <w:sz w:val="32"/>
      <w:szCs w:val="32"/>
    </w:rPr>
  </w:style>
  <w:style w:type="character" w:customStyle="1" w:styleId="71">
    <w:name w:val="标题 1 Char2"/>
    <w:basedOn w:val="63"/>
    <w:link w:val="2"/>
    <w:autoRedefine/>
    <w:qFormat/>
    <w:uiPriority w:val="0"/>
    <w:rPr>
      <w:rFonts w:ascii="CG Times" w:hAnsi="CG Times" w:eastAsia="宋体" w:cs="CG Times"/>
      <w:b/>
      <w:bCs/>
      <w:kern w:val="44"/>
      <w:sz w:val="44"/>
      <w:szCs w:val="44"/>
    </w:rPr>
  </w:style>
  <w:style w:type="character" w:customStyle="1" w:styleId="72">
    <w:name w:val="标题 2 Char1"/>
    <w:link w:val="3"/>
    <w:autoRedefine/>
    <w:qFormat/>
    <w:uiPriority w:val="0"/>
    <w:rPr>
      <w:rFonts w:ascii="Arial" w:hAnsi="Arial" w:eastAsia="黑体" w:cs="Times New Roman"/>
      <w:b/>
      <w:bCs/>
      <w:sz w:val="32"/>
      <w:szCs w:val="32"/>
    </w:rPr>
  </w:style>
  <w:style w:type="character" w:customStyle="1" w:styleId="73">
    <w:name w:val="标题 3 Char"/>
    <w:link w:val="4"/>
    <w:autoRedefine/>
    <w:qFormat/>
    <w:uiPriority w:val="0"/>
    <w:rPr>
      <w:rFonts w:ascii="CG Times" w:hAnsi="CG Times" w:eastAsia="宋体" w:cs="CG Times"/>
      <w:b/>
      <w:bCs/>
      <w:sz w:val="32"/>
      <w:szCs w:val="32"/>
    </w:rPr>
  </w:style>
  <w:style w:type="character" w:customStyle="1" w:styleId="74">
    <w:name w:val="标题 4 Char2"/>
    <w:link w:val="5"/>
    <w:autoRedefine/>
    <w:qFormat/>
    <w:uiPriority w:val="0"/>
    <w:rPr>
      <w:rFonts w:ascii="Arial" w:hAnsi="Arial" w:eastAsia="黑体" w:cs="Times New Roman"/>
      <w:b/>
      <w:bCs/>
      <w:sz w:val="28"/>
      <w:szCs w:val="28"/>
    </w:rPr>
  </w:style>
  <w:style w:type="character" w:customStyle="1" w:styleId="75">
    <w:name w:val="标题 5 Char1"/>
    <w:link w:val="6"/>
    <w:autoRedefine/>
    <w:qFormat/>
    <w:uiPriority w:val="0"/>
    <w:rPr>
      <w:rFonts w:ascii="CG Times" w:hAnsi="CG Times" w:eastAsia="宋体" w:cs="Times New Roman"/>
      <w:b/>
      <w:bCs/>
      <w:sz w:val="28"/>
      <w:szCs w:val="28"/>
    </w:rPr>
  </w:style>
  <w:style w:type="character" w:customStyle="1" w:styleId="76">
    <w:name w:val="标题 6 Char"/>
    <w:link w:val="7"/>
    <w:autoRedefine/>
    <w:qFormat/>
    <w:uiPriority w:val="0"/>
    <w:rPr>
      <w:rFonts w:ascii="Arial" w:hAnsi="Arial" w:eastAsia="黑体" w:cs="Times New Roman"/>
      <w:b/>
      <w:kern w:val="0"/>
      <w:sz w:val="24"/>
      <w:szCs w:val="20"/>
    </w:rPr>
  </w:style>
  <w:style w:type="character" w:customStyle="1" w:styleId="77">
    <w:name w:val="标题 7 Char"/>
    <w:link w:val="9"/>
    <w:autoRedefine/>
    <w:qFormat/>
    <w:uiPriority w:val="0"/>
    <w:rPr>
      <w:rFonts w:ascii="Times New Roman" w:hAnsi="Times New Roman" w:eastAsia="宋体" w:cs="Times New Roman"/>
      <w:b/>
      <w:kern w:val="0"/>
      <w:sz w:val="24"/>
      <w:szCs w:val="20"/>
    </w:rPr>
  </w:style>
  <w:style w:type="character" w:customStyle="1" w:styleId="78">
    <w:name w:val="标题 8 Char"/>
    <w:link w:val="10"/>
    <w:qFormat/>
    <w:uiPriority w:val="0"/>
    <w:rPr>
      <w:rFonts w:ascii="Arial" w:hAnsi="Arial" w:eastAsia="黑体" w:cs="Times New Roman"/>
      <w:kern w:val="0"/>
      <w:sz w:val="24"/>
      <w:szCs w:val="20"/>
    </w:rPr>
  </w:style>
  <w:style w:type="character" w:customStyle="1" w:styleId="79">
    <w:name w:val="标题 9 Char"/>
    <w:link w:val="11"/>
    <w:autoRedefine/>
    <w:qFormat/>
    <w:uiPriority w:val="0"/>
    <w:rPr>
      <w:rFonts w:ascii="Arial" w:hAnsi="Arial" w:eastAsia="黑体" w:cs="Times New Roman"/>
      <w:szCs w:val="21"/>
    </w:rPr>
  </w:style>
  <w:style w:type="character" w:customStyle="1" w:styleId="80">
    <w:name w:val="页眉 Char1"/>
    <w:basedOn w:val="63"/>
    <w:link w:val="40"/>
    <w:autoRedefine/>
    <w:qFormat/>
    <w:uiPriority w:val="99"/>
    <w:rPr>
      <w:sz w:val="18"/>
      <w:szCs w:val="18"/>
    </w:rPr>
  </w:style>
  <w:style w:type="character" w:customStyle="1" w:styleId="81">
    <w:name w:val="页脚 Char1"/>
    <w:basedOn w:val="63"/>
    <w:link w:val="38"/>
    <w:qFormat/>
    <w:uiPriority w:val="99"/>
    <w:rPr>
      <w:sz w:val="18"/>
      <w:szCs w:val="18"/>
    </w:rPr>
  </w:style>
  <w:style w:type="character" w:customStyle="1" w:styleId="82">
    <w:name w:val="正文文本 2 Char"/>
    <w:basedOn w:val="63"/>
    <w:link w:val="54"/>
    <w:qFormat/>
    <w:uiPriority w:val="0"/>
    <w:rPr>
      <w:rFonts w:ascii="CG Times" w:hAnsi="CG Times" w:eastAsia="宋体" w:cs="CG Times"/>
    </w:rPr>
  </w:style>
  <w:style w:type="paragraph" w:customStyle="1" w:styleId="83">
    <w:name w:val="样式2"/>
    <w:basedOn w:val="1"/>
    <w:autoRedefine/>
    <w:qFormat/>
    <w:uiPriority w:val="0"/>
    <w:pPr>
      <w:adjustRightInd w:val="0"/>
      <w:snapToGrid w:val="0"/>
      <w:spacing w:line="0" w:lineRule="atLeast"/>
      <w:jc w:val="center"/>
    </w:pPr>
    <w:rPr>
      <w:rFonts w:ascii="宋体" w:hAnsi="Times New Roman" w:cs="Times New Roman"/>
      <w:szCs w:val="20"/>
    </w:rPr>
  </w:style>
  <w:style w:type="character" w:customStyle="1" w:styleId="84">
    <w:name w:val="页眉 Char"/>
    <w:qFormat/>
    <w:uiPriority w:val="0"/>
    <w:rPr>
      <w:rFonts w:eastAsia="宋体"/>
      <w:kern w:val="2"/>
      <w:sz w:val="18"/>
      <w:szCs w:val="18"/>
      <w:lang w:val="en-US" w:eastAsia="zh-CN" w:bidi="ar-SA"/>
    </w:rPr>
  </w:style>
  <w:style w:type="character" w:customStyle="1" w:styleId="85">
    <w:name w:val="页脚 Char"/>
    <w:qFormat/>
    <w:uiPriority w:val="0"/>
    <w:rPr>
      <w:kern w:val="2"/>
      <w:sz w:val="18"/>
      <w:szCs w:val="18"/>
    </w:rPr>
  </w:style>
  <w:style w:type="paragraph" w:customStyle="1" w:styleId="86">
    <w:name w:val="目录"/>
    <w:basedOn w:val="1"/>
    <w:next w:val="1"/>
    <w:qFormat/>
    <w:uiPriority w:val="39"/>
    <w:pPr>
      <w:spacing w:line="360" w:lineRule="auto"/>
      <w:ind w:left="400" w:leftChars="400"/>
    </w:pPr>
    <w:rPr>
      <w:sz w:val="24"/>
    </w:rPr>
  </w:style>
  <w:style w:type="paragraph" w:customStyle="1" w:styleId="87">
    <w:name w:val="3级标题"/>
    <w:basedOn w:val="1"/>
    <w:link w:val="88"/>
    <w:qFormat/>
    <w:uiPriority w:val="0"/>
    <w:pPr>
      <w:spacing w:beforeLines="50" w:afterLines="50" w:line="560" w:lineRule="exact"/>
      <w:outlineLvl w:val="2"/>
    </w:pPr>
    <w:rPr>
      <w:rFonts w:ascii="Times New Roman" w:hAnsi="Times New Roman" w:cs="Times New Roman"/>
      <w:b/>
      <w:sz w:val="28"/>
      <w:szCs w:val="28"/>
    </w:rPr>
  </w:style>
  <w:style w:type="character" w:customStyle="1" w:styleId="88">
    <w:name w:val="3级标题 Char"/>
    <w:link w:val="87"/>
    <w:qFormat/>
    <w:uiPriority w:val="0"/>
    <w:rPr>
      <w:rFonts w:ascii="Times New Roman" w:hAnsi="Times New Roman" w:eastAsia="宋体" w:cs="Times New Roman"/>
      <w:b/>
      <w:sz w:val="28"/>
      <w:szCs w:val="28"/>
    </w:rPr>
  </w:style>
  <w:style w:type="paragraph" w:customStyle="1" w:styleId="89">
    <w:name w:val="2级标题"/>
    <w:basedOn w:val="1"/>
    <w:link w:val="90"/>
    <w:qFormat/>
    <w:uiPriority w:val="0"/>
    <w:pPr>
      <w:spacing w:beforeLines="100" w:afterLines="100" w:line="560" w:lineRule="exact"/>
      <w:jc w:val="center"/>
      <w:outlineLvl w:val="1"/>
    </w:pPr>
    <w:rPr>
      <w:rFonts w:ascii="Times New Roman" w:hAnsi="Times New Roman" w:eastAsia="楷体_GB2312" w:cs="Times New Roman"/>
      <w:b/>
      <w:sz w:val="32"/>
      <w:szCs w:val="32"/>
    </w:rPr>
  </w:style>
  <w:style w:type="character" w:customStyle="1" w:styleId="90">
    <w:name w:val="2级标题 Char"/>
    <w:link w:val="89"/>
    <w:autoRedefine/>
    <w:qFormat/>
    <w:uiPriority w:val="0"/>
    <w:rPr>
      <w:rFonts w:ascii="Times New Roman" w:hAnsi="Times New Roman" w:eastAsia="楷体_GB2312" w:cs="Times New Roman"/>
      <w:b/>
      <w:sz w:val="32"/>
      <w:szCs w:val="32"/>
    </w:rPr>
  </w:style>
  <w:style w:type="paragraph" w:customStyle="1" w:styleId="91">
    <w:name w:val="报告正文"/>
    <w:basedOn w:val="1"/>
    <w:link w:val="92"/>
    <w:qFormat/>
    <w:uiPriority w:val="0"/>
    <w:pPr>
      <w:spacing w:line="560" w:lineRule="exact"/>
      <w:ind w:firstLine="560" w:firstLineChars="200"/>
    </w:pPr>
    <w:rPr>
      <w:rFonts w:ascii="Times New Roman" w:hAnsi="Times New Roman" w:cs="Times New Roman"/>
      <w:sz w:val="28"/>
      <w:szCs w:val="28"/>
    </w:rPr>
  </w:style>
  <w:style w:type="character" w:customStyle="1" w:styleId="92">
    <w:name w:val="报告正文 Char"/>
    <w:link w:val="91"/>
    <w:autoRedefine/>
    <w:qFormat/>
    <w:uiPriority w:val="0"/>
    <w:rPr>
      <w:rFonts w:ascii="Times New Roman" w:hAnsi="Times New Roman" w:eastAsia="宋体" w:cs="Times New Roman"/>
      <w:sz w:val="28"/>
      <w:szCs w:val="28"/>
    </w:rPr>
  </w:style>
  <w:style w:type="paragraph" w:styleId="93">
    <w:name w:val="List Paragraph"/>
    <w:basedOn w:val="1"/>
    <w:autoRedefine/>
    <w:qFormat/>
    <w:uiPriority w:val="99"/>
    <w:pPr>
      <w:ind w:firstLine="420" w:firstLineChars="200"/>
    </w:pPr>
  </w:style>
  <w:style w:type="character" w:customStyle="1" w:styleId="94">
    <w:name w:val="文档结构图 Char"/>
    <w:basedOn w:val="63"/>
    <w:link w:val="18"/>
    <w:semiHidden/>
    <w:qFormat/>
    <w:uiPriority w:val="99"/>
    <w:rPr>
      <w:rFonts w:ascii="宋体" w:hAnsi="CG Times" w:eastAsia="宋体" w:cs="CG Times"/>
      <w:sz w:val="18"/>
      <w:szCs w:val="18"/>
    </w:rPr>
  </w:style>
  <w:style w:type="character" w:customStyle="1" w:styleId="95">
    <w:name w:val="批注框文本 Char"/>
    <w:basedOn w:val="63"/>
    <w:link w:val="37"/>
    <w:semiHidden/>
    <w:qFormat/>
    <w:uiPriority w:val="99"/>
    <w:rPr>
      <w:rFonts w:ascii="CG Times" w:hAnsi="CG Times" w:eastAsia="宋体" w:cs="CG Times"/>
      <w:sz w:val="18"/>
      <w:szCs w:val="18"/>
    </w:rPr>
  </w:style>
  <w:style w:type="paragraph" w:customStyle="1" w:styleId="96">
    <w:name w:val="正文2"/>
    <w:basedOn w:val="1"/>
    <w:link w:val="97"/>
    <w:qFormat/>
    <w:uiPriority w:val="0"/>
    <w:pPr>
      <w:adjustRightInd w:val="0"/>
      <w:snapToGrid w:val="0"/>
      <w:spacing w:line="560" w:lineRule="exact"/>
      <w:ind w:firstLine="200" w:firstLineChars="200"/>
    </w:pPr>
    <w:rPr>
      <w:rFonts w:ascii="Times New Roman" w:hAnsi="Times New Roman" w:cs="Times New Roman"/>
      <w:sz w:val="28"/>
      <w:szCs w:val="28"/>
    </w:rPr>
  </w:style>
  <w:style w:type="character" w:customStyle="1" w:styleId="97">
    <w:name w:val="正文 Char"/>
    <w:link w:val="96"/>
    <w:autoRedefine/>
    <w:qFormat/>
    <w:uiPriority w:val="0"/>
    <w:rPr>
      <w:rFonts w:ascii="Times New Roman" w:hAnsi="Times New Roman" w:eastAsia="宋体" w:cs="Times New Roman"/>
      <w:sz w:val="28"/>
      <w:szCs w:val="28"/>
    </w:rPr>
  </w:style>
  <w:style w:type="paragraph" w:customStyle="1" w:styleId="98">
    <w:name w:val="1级标题"/>
    <w:basedOn w:val="1"/>
    <w:link w:val="99"/>
    <w:qFormat/>
    <w:uiPriority w:val="0"/>
    <w:pPr>
      <w:pageBreakBefore/>
      <w:adjustRightInd w:val="0"/>
      <w:snapToGrid w:val="0"/>
      <w:spacing w:beforeLines="100" w:afterLines="100" w:line="560" w:lineRule="exact"/>
      <w:jc w:val="center"/>
      <w:outlineLvl w:val="0"/>
    </w:pPr>
    <w:rPr>
      <w:rFonts w:ascii="Times New Roman" w:hAnsi="Times New Roman" w:eastAsia="黑体" w:cs="Times New Roman"/>
      <w:b/>
      <w:sz w:val="32"/>
      <w:szCs w:val="32"/>
    </w:rPr>
  </w:style>
  <w:style w:type="character" w:customStyle="1" w:styleId="99">
    <w:name w:val="1级标题 Char"/>
    <w:link w:val="98"/>
    <w:autoRedefine/>
    <w:qFormat/>
    <w:uiPriority w:val="0"/>
    <w:rPr>
      <w:rFonts w:ascii="Times New Roman" w:hAnsi="Times New Roman" w:eastAsia="黑体" w:cs="Times New Roman"/>
      <w:b/>
      <w:sz w:val="32"/>
      <w:szCs w:val="32"/>
    </w:rPr>
  </w:style>
  <w:style w:type="paragraph" w:customStyle="1" w:styleId="100">
    <w:name w:val="图表格式"/>
    <w:basedOn w:val="1"/>
    <w:link w:val="101"/>
    <w:autoRedefine/>
    <w:qFormat/>
    <w:uiPriority w:val="0"/>
    <w:pPr>
      <w:spacing w:line="560" w:lineRule="exact"/>
      <w:ind w:firstLine="480"/>
      <w:jc w:val="center"/>
    </w:pPr>
    <w:rPr>
      <w:rFonts w:ascii="Times New Roman" w:hAnsi="Times New Roman" w:cs="Times New Roman"/>
      <w:sz w:val="28"/>
      <w:szCs w:val="28"/>
    </w:rPr>
  </w:style>
  <w:style w:type="character" w:customStyle="1" w:styleId="101">
    <w:name w:val="图表格式 Char"/>
    <w:link w:val="100"/>
    <w:autoRedefine/>
    <w:qFormat/>
    <w:uiPriority w:val="0"/>
    <w:rPr>
      <w:rFonts w:ascii="Times New Roman" w:hAnsi="Times New Roman" w:eastAsia="宋体" w:cs="Times New Roman"/>
      <w:sz w:val="28"/>
      <w:szCs w:val="28"/>
    </w:rPr>
  </w:style>
  <w:style w:type="character" w:customStyle="1" w:styleId="102">
    <w:name w:val="标题 3 字符"/>
    <w:basedOn w:val="63"/>
    <w:semiHidden/>
    <w:qFormat/>
    <w:uiPriority w:val="9"/>
    <w:rPr>
      <w:rFonts w:ascii="CG Times" w:hAnsi="CG Times" w:eastAsia="宋体" w:cs="CG Times"/>
      <w:b/>
      <w:bCs/>
      <w:sz w:val="32"/>
      <w:szCs w:val="32"/>
    </w:rPr>
  </w:style>
  <w:style w:type="character" w:customStyle="1" w:styleId="103">
    <w:name w:val="标题 4 字符"/>
    <w:basedOn w:val="63"/>
    <w:autoRedefine/>
    <w:semiHidden/>
    <w:qFormat/>
    <w:uiPriority w:val="9"/>
    <w:rPr>
      <w:rFonts w:asciiTheme="majorHAnsi" w:hAnsiTheme="majorHAnsi" w:eastAsiaTheme="majorEastAsia" w:cstheme="majorBidi"/>
      <w:b/>
      <w:bCs/>
      <w:sz w:val="28"/>
      <w:szCs w:val="28"/>
    </w:rPr>
  </w:style>
  <w:style w:type="character" w:customStyle="1" w:styleId="104">
    <w:name w:val="标题 5 字符"/>
    <w:basedOn w:val="63"/>
    <w:semiHidden/>
    <w:qFormat/>
    <w:uiPriority w:val="9"/>
    <w:rPr>
      <w:rFonts w:ascii="CG Times" w:hAnsi="CG Times" w:eastAsia="宋体" w:cs="CG Times"/>
      <w:b/>
      <w:bCs/>
      <w:sz w:val="28"/>
      <w:szCs w:val="28"/>
    </w:rPr>
  </w:style>
  <w:style w:type="character" w:customStyle="1" w:styleId="105">
    <w:name w:val="标题 6 字符"/>
    <w:basedOn w:val="63"/>
    <w:semiHidden/>
    <w:qFormat/>
    <w:uiPriority w:val="9"/>
    <w:rPr>
      <w:rFonts w:asciiTheme="majorHAnsi" w:hAnsiTheme="majorHAnsi" w:eastAsiaTheme="majorEastAsia" w:cstheme="majorBidi"/>
      <w:b/>
      <w:bCs/>
      <w:sz w:val="24"/>
    </w:rPr>
  </w:style>
  <w:style w:type="character" w:customStyle="1" w:styleId="106">
    <w:name w:val="标题 7 字符"/>
    <w:basedOn w:val="63"/>
    <w:autoRedefine/>
    <w:semiHidden/>
    <w:qFormat/>
    <w:uiPriority w:val="9"/>
    <w:rPr>
      <w:rFonts w:ascii="CG Times" w:hAnsi="CG Times" w:eastAsia="宋体" w:cs="CG Times"/>
      <w:b/>
      <w:bCs/>
      <w:sz w:val="24"/>
    </w:rPr>
  </w:style>
  <w:style w:type="character" w:customStyle="1" w:styleId="107">
    <w:name w:val="标题 8 字符"/>
    <w:basedOn w:val="63"/>
    <w:semiHidden/>
    <w:qFormat/>
    <w:uiPriority w:val="9"/>
    <w:rPr>
      <w:rFonts w:asciiTheme="majorHAnsi" w:hAnsiTheme="majorHAnsi" w:eastAsiaTheme="majorEastAsia" w:cstheme="majorBidi"/>
      <w:sz w:val="24"/>
    </w:rPr>
  </w:style>
  <w:style w:type="character" w:customStyle="1" w:styleId="108">
    <w:name w:val="标题 9 字符"/>
    <w:basedOn w:val="63"/>
    <w:semiHidden/>
    <w:qFormat/>
    <w:uiPriority w:val="9"/>
    <w:rPr>
      <w:rFonts w:asciiTheme="majorHAnsi" w:hAnsiTheme="majorHAnsi" w:eastAsiaTheme="majorEastAsia" w:cstheme="majorBidi"/>
      <w:szCs w:val="21"/>
    </w:rPr>
  </w:style>
  <w:style w:type="paragraph" w:customStyle="1" w:styleId="109">
    <w:name w:val="Char Char"/>
    <w:basedOn w:val="1"/>
    <w:autoRedefine/>
    <w:semiHidden/>
    <w:qFormat/>
    <w:uiPriority w:val="0"/>
    <w:pPr>
      <w:tabs>
        <w:tab w:val="left" w:pos="426"/>
      </w:tabs>
      <w:ind w:left="426" w:hanging="420"/>
    </w:pPr>
    <w:rPr>
      <w:rFonts w:ascii="Times New Roman" w:hAnsi="Times New Roman" w:cs="Times New Roman"/>
      <w:sz w:val="24"/>
    </w:rPr>
  </w:style>
  <w:style w:type="character" w:customStyle="1" w:styleId="110">
    <w:name w:val="纯文本 Char"/>
    <w:link w:val="33"/>
    <w:autoRedefine/>
    <w:qFormat/>
    <w:uiPriority w:val="0"/>
    <w:rPr>
      <w:rFonts w:ascii="宋体" w:hAnsi="Courier New" w:eastAsia="宋体" w:cs="Times New Roman"/>
      <w:szCs w:val="20"/>
    </w:rPr>
  </w:style>
  <w:style w:type="character" w:customStyle="1" w:styleId="111">
    <w:name w:val="纯文本 字符"/>
    <w:basedOn w:val="63"/>
    <w:autoRedefine/>
    <w:semiHidden/>
    <w:qFormat/>
    <w:uiPriority w:val="99"/>
    <w:rPr>
      <w:rFonts w:hAnsi="Courier New" w:cs="Courier New" w:asciiTheme="minorEastAsia"/>
    </w:rPr>
  </w:style>
  <w:style w:type="character" w:customStyle="1" w:styleId="112">
    <w:name w:val="批注文字 Char"/>
    <w:link w:val="19"/>
    <w:autoRedefine/>
    <w:qFormat/>
    <w:uiPriority w:val="0"/>
    <w:rPr>
      <w:rFonts w:ascii="Times New Roman" w:hAnsi="Times New Roman" w:eastAsia="宋体" w:cs="Times New Roman"/>
    </w:rPr>
  </w:style>
  <w:style w:type="character" w:customStyle="1" w:styleId="113">
    <w:name w:val="批注文字 字符"/>
    <w:basedOn w:val="63"/>
    <w:autoRedefine/>
    <w:semiHidden/>
    <w:qFormat/>
    <w:uiPriority w:val="99"/>
    <w:rPr>
      <w:rFonts w:ascii="CG Times" w:hAnsi="CG Times" w:eastAsia="宋体" w:cs="CG Times"/>
    </w:rPr>
  </w:style>
  <w:style w:type="character" w:customStyle="1" w:styleId="114">
    <w:name w:val="表图1 Char"/>
    <w:link w:val="115"/>
    <w:autoRedefine/>
    <w:qFormat/>
    <w:uiPriority w:val="0"/>
    <w:rPr>
      <w:rFonts w:eastAsia="宋体"/>
    </w:rPr>
  </w:style>
  <w:style w:type="paragraph" w:customStyle="1" w:styleId="115">
    <w:name w:val="表图1"/>
    <w:basedOn w:val="1"/>
    <w:link w:val="114"/>
    <w:autoRedefine/>
    <w:qFormat/>
    <w:uiPriority w:val="0"/>
    <w:pPr>
      <w:spacing w:line="500" w:lineRule="exact"/>
    </w:pPr>
    <w:rPr>
      <w:rFonts w:asciiTheme="minorHAnsi" w:hAnsiTheme="minorHAnsi" w:cstheme="minorBidi"/>
    </w:rPr>
  </w:style>
  <w:style w:type="character" w:customStyle="1" w:styleId="116">
    <w:name w:val="正文文本缩进 2 Char"/>
    <w:basedOn w:val="63"/>
    <w:link w:val="36"/>
    <w:qFormat/>
    <w:uiPriority w:val="0"/>
    <w:rPr>
      <w:rFonts w:ascii="Times New Roman" w:hAnsi="Times New Roman" w:eastAsia="宋体" w:cs="Times New Roman"/>
    </w:rPr>
  </w:style>
  <w:style w:type="character" w:customStyle="1" w:styleId="117">
    <w:name w:val="label1"/>
    <w:basedOn w:val="63"/>
    <w:autoRedefine/>
    <w:qFormat/>
    <w:uiPriority w:val="0"/>
  </w:style>
  <w:style w:type="character" w:customStyle="1" w:styleId="118">
    <w:name w:val="正文文本缩进 Char1"/>
    <w:basedOn w:val="63"/>
    <w:link w:val="25"/>
    <w:autoRedefine/>
    <w:qFormat/>
    <w:uiPriority w:val="0"/>
    <w:rPr>
      <w:rFonts w:ascii="Times New Roman" w:hAnsi="Times New Roman" w:eastAsia="宋体" w:cs="Times New Roman"/>
    </w:rPr>
  </w:style>
  <w:style w:type="character" w:customStyle="1" w:styleId="119">
    <w:name w:val="日期 Char"/>
    <w:basedOn w:val="63"/>
    <w:link w:val="35"/>
    <w:autoRedefine/>
    <w:qFormat/>
    <w:uiPriority w:val="0"/>
    <w:rPr>
      <w:rFonts w:ascii="Times New Roman" w:hAnsi="Times New Roman" w:eastAsia="宋体" w:cs="Times New Roman"/>
    </w:rPr>
  </w:style>
  <w:style w:type="character" w:customStyle="1" w:styleId="120">
    <w:name w:val="正文文本缩进 3 Char"/>
    <w:basedOn w:val="63"/>
    <w:link w:val="50"/>
    <w:qFormat/>
    <w:uiPriority w:val="0"/>
    <w:rPr>
      <w:rFonts w:ascii="Times New Roman" w:hAnsi="Times New Roman" w:eastAsia="宋体" w:cs="Times New Roman"/>
      <w:sz w:val="16"/>
      <w:szCs w:val="16"/>
    </w:rPr>
  </w:style>
  <w:style w:type="character" w:customStyle="1" w:styleId="121">
    <w:name w:val="t_tag"/>
    <w:basedOn w:val="63"/>
    <w:autoRedefine/>
    <w:qFormat/>
    <w:uiPriority w:val="0"/>
  </w:style>
  <w:style w:type="character" w:customStyle="1" w:styleId="122">
    <w:name w:val="正文文本 Char1"/>
    <w:basedOn w:val="63"/>
    <w:link w:val="23"/>
    <w:autoRedefine/>
    <w:qFormat/>
    <w:uiPriority w:val="0"/>
    <w:rPr>
      <w:rFonts w:ascii="Times New Roman" w:hAnsi="Times New Roman" w:eastAsia="宋体" w:cs="Times New Roman"/>
    </w:rPr>
  </w:style>
  <w:style w:type="paragraph" w:customStyle="1" w:styleId="123">
    <w:name w:val="1"/>
    <w:basedOn w:val="1"/>
    <w:next w:val="93"/>
    <w:autoRedefine/>
    <w:qFormat/>
    <w:uiPriority w:val="34"/>
    <w:pPr>
      <w:ind w:firstLine="420" w:firstLineChars="200"/>
    </w:pPr>
    <w:rPr>
      <w:rFonts w:ascii="Calibri" w:hAnsi="Calibri" w:cs="Times New Roman"/>
      <w:szCs w:val="22"/>
    </w:rPr>
  </w:style>
  <w:style w:type="character" w:customStyle="1" w:styleId="124">
    <w:name w:val="注释标题 Char"/>
    <w:link w:val="14"/>
    <w:autoRedefine/>
    <w:qFormat/>
    <w:uiPriority w:val="0"/>
    <w:rPr>
      <w:rFonts w:ascii="宋体" w:hAnsi="Times New Roman" w:eastAsia="宋体" w:cs="CG Times"/>
      <w:sz w:val="28"/>
      <w:szCs w:val="20"/>
    </w:rPr>
  </w:style>
  <w:style w:type="character" w:customStyle="1" w:styleId="125">
    <w:name w:val="注释标题 字符"/>
    <w:basedOn w:val="63"/>
    <w:autoRedefine/>
    <w:semiHidden/>
    <w:qFormat/>
    <w:uiPriority w:val="99"/>
    <w:rPr>
      <w:rFonts w:ascii="CG Times" w:hAnsi="CG Times" w:eastAsia="宋体" w:cs="CG Times"/>
    </w:rPr>
  </w:style>
  <w:style w:type="paragraph" w:customStyle="1" w:styleId="126">
    <w:name w:val="样式4"/>
    <w:basedOn w:val="1"/>
    <w:autoRedefine/>
    <w:qFormat/>
    <w:uiPriority w:val="0"/>
    <w:rPr>
      <w:rFonts w:ascii="Times New Roman" w:hAnsi="Times New Roman" w:cs="Times New Roman"/>
      <w:szCs w:val="20"/>
    </w:rPr>
  </w:style>
  <w:style w:type="paragraph" w:customStyle="1" w:styleId="127">
    <w:name w:val="wtext"/>
    <w:basedOn w:val="1"/>
    <w:qFormat/>
    <w:uiPriority w:val="0"/>
    <w:pPr>
      <w:widowControl/>
      <w:spacing w:before="100" w:beforeAutospacing="1" w:after="100" w:afterAutospacing="1"/>
      <w:ind w:firstLine="480"/>
      <w:jc w:val="left"/>
    </w:pPr>
    <w:rPr>
      <w:rFonts w:cs="Times New Roman"/>
      <w:color w:val="000000"/>
      <w:kern w:val="0"/>
      <w:sz w:val="22"/>
      <w:szCs w:val="20"/>
    </w:rPr>
  </w:style>
  <w:style w:type="character" w:customStyle="1" w:styleId="128">
    <w:name w:val="text1"/>
    <w:basedOn w:val="63"/>
    <w:qFormat/>
    <w:uiPriority w:val="0"/>
  </w:style>
  <w:style w:type="paragraph" w:customStyle="1" w:styleId="129">
    <w:name w:val="样式 标题 3 +"/>
    <w:basedOn w:val="4"/>
    <w:autoRedefine/>
    <w:qFormat/>
    <w:uiPriority w:val="0"/>
    <w:pPr>
      <w:spacing w:before="0" w:after="0" w:line="500" w:lineRule="exact"/>
    </w:pPr>
    <w:rPr>
      <w:rFonts w:ascii="Times New Roman" w:hAnsi="Times New Roman" w:cs="Times New Roman"/>
      <w:bCs w:val="0"/>
      <w:color w:val="FF0000"/>
      <w:sz w:val="28"/>
      <w:szCs w:val="20"/>
    </w:rPr>
  </w:style>
  <w:style w:type="paragraph" w:customStyle="1" w:styleId="130">
    <w:name w:val="表格"/>
    <w:basedOn w:val="1"/>
    <w:qFormat/>
    <w:uiPriority w:val="0"/>
    <w:pPr>
      <w:autoSpaceDE w:val="0"/>
      <w:autoSpaceDN w:val="0"/>
      <w:adjustRightInd w:val="0"/>
      <w:snapToGrid w:val="0"/>
      <w:jc w:val="center"/>
    </w:pPr>
    <w:rPr>
      <w:rFonts w:ascii="仿宋_GB2312" w:hAnsi="Times New Roman" w:eastAsia="仿宋_GB2312" w:cs="Times New Roman"/>
      <w:kern w:val="0"/>
      <w:sz w:val="24"/>
      <w:szCs w:val="20"/>
    </w:rPr>
  </w:style>
  <w:style w:type="character" w:customStyle="1" w:styleId="131">
    <w:name w:val="列表 Char"/>
    <w:link w:val="46"/>
    <w:autoRedefine/>
    <w:qFormat/>
    <w:uiPriority w:val="0"/>
    <w:rPr>
      <w:rFonts w:ascii="Times New Roman" w:hAnsi="Times New Roman" w:eastAsia="宋体" w:cs="Times New Roman"/>
      <w:kern w:val="0"/>
      <w:szCs w:val="20"/>
      <w:lang w:val="en-GB"/>
    </w:rPr>
  </w:style>
  <w:style w:type="paragraph" w:customStyle="1" w:styleId="132">
    <w:name w:val="样式10"/>
    <w:basedOn w:val="1"/>
    <w:qFormat/>
    <w:uiPriority w:val="0"/>
    <w:pPr>
      <w:spacing w:line="360" w:lineRule="auto"/>
    </w:pPr>
    <w:rPr>
      <w:rFonts w:ascii="宋体" w:hAnsi="宋体" w:cs="Times New Roman"/>
      <w:color w:val="000000"/>
      <w:sz w:val="28"/>
      <w:szCs w:val="28"/>
    </w:rPr>
  </w:style>
  <w:style w:type="paragraph" w:customStyle="1" w:styleId="133">
    <w:name w:val="Char"/>
    <w:basedOn w:val="1"/>
    <w:qFormat/>
    <w:uiPriority w:val="0"/>
    <w:pPr>
      <w:spacing w:line="360" w:lineRule="auto"/>
      <w:ind w:firstLine="200" w:firstLineChars="200"/>
    </w:pPr>
    <w:rPr>
      <w:rFonts w:ascii="宋体" w:hAnsi="宋体" w:cs="宋体"/>
      <w:sz w:val="24"/>
    </w:rPr>
  </w:style>
  <w:style w:type="paragraph" w:customStyle="1" w:styleId="134">
    <w:name w:val="Char Char Char"/>
    <w:basedOn w:val="1"/>
    <w:qFormat/>
    <w:uiPriority w:val="0"/>
    <w:pPr>
      <w:spacing w:line="360" w:lineRule="auto"/>
      <w:ind w:firstLine="200" w:firstLineChars="200"/>
    </w:pPr>
    <w:rPr>
      <w:rFonts w:ascii="宋体" w:hAnsi="宋体" w:cs="宋体"/>
      <w:sz w:val="24"/>
    </w:rPr>
  </w:style>
  <w:style w:type="paragraph" w:customStyle="1" w:styleId="135">
    <w:name w:val="正文表标题"/>
    <w:next w:val="1"/>
    <w:qFormat/>
    <w:uiPriority w:val="0"/>
    <w:pPr>
      <w:jc w:val="center"/>
    </w:pPr>
    <w:rPr>
      <w:rFonts w:ascii="黑体" w:hAnsi="Times New Roman" w:eastAsia="黑体" w:cs="Times New Roman"/>
      <w:kern w:val="0"/>
      <w:sz w:val="21"/>
      <w:szCs w:val="20"/>
      <w:lang w:val="en-US" w:eastAsia="zh-CN" w:bidi="ar-SA"/>
    </w:rPr>
  </w:style>
  <w:style w:type="paragraph" w:customStyle="1" w:styleId="136">
    <w:name w:val="样式1"/>
    <w:basedOn w:val="1"/>
    <w:link w:val="137"/>
    <w:autoRedefine/>
    <w:qFormat/>
    <w:uiPriority w:val="0"/>
    <w:pPr>
      <w:snapToGrid w:val="0"/>
      <w:spacing w:line="360" w:lineRule="auto"/>
      <w:jc w:val="center"/>
    </w:pPr>
    <w:rPr>
      <w:rFonts w:ascii="黑体" w:hAnsi="黑体" w:eastAsia="黑体"/>
      <w:b/>
      <w:color w:val="000000" w:themeColor="text1"/>
      <w:sz w:val="28"/>
      <w:szCs w:val="28"/>
      <w:lang w:val="en-GB"/>
    </w:rPr>
  </w:style>
  <w:style w:type="character" w:customStyle="1" w:styleId="137">
    <w:name w:val="样式1 Char"/>
    <w:link w:val="136"/>
    <w:autoRedefine/>
    <w:qFormat/>
    <w:uiPriority w:val="0"/>
    <w:rPr>
      <w:rFonts w:ascii="黑体" w:hAnsi="黑体" w:eastAsia="黑体" w:cs="CG Times"/>
      <w:b/>
      <w:color w:val="000000" w:themeColor="text1"/>
      <w:sz w:val="28"/>
      <w:szCs w:val="28"/>
      <w:lang w:val="en-GB"/>
    </w:rPr>
  </w:style>
  <w:style w:type="character" w:customStyle="1" w:styleId="138">
    <w:name w:val="正文1"/>
    <w:autoRedefine/>
    <w:qFormat/>
    <w:uiPriority w:val="0"/>
    <w:rPr>
      <w:rFonts w:hint="eastAsia" w:ascii="宋体" w:hAnsi="宋体" w:eastAsia="宋体"/>
      <w:sz w:val="22"/>
      <w:szCs w:val="22"/>
    </w:rPr>
  </w:style>
  <w:style w:type="character" w:customStyle="1" w:styleId="139">
    <w:name w:val="批注主题 Char"/>
    <w:link w:val="59"/>
    <w:autoRedefine/>
    <w:qFormat/>
    <w:uiPriority w:val="0"/>
    <w:rPr>
      <w:rFonts w:ascii="CG Times" w:hAnsi="CG Times" w:eastAsia="宋体" w:cs="Times New Roman"/>
      <w:b/>
      <w:bCs/>
    </w:rPr>
  </w:style>
  <w:style w:type="character" w:customStyle="1" w:styleId="140">
    <w:name w:val="批注主题 字符"/>
    <w:basedOn w:val="113"/>
    <w:autoRedefine/>
    <w:semiHidden/>
    <w:qFormat/>
    <w:uiPriority w:val="99"/>
    <w:rPr>
      <w:rFonts w:ascii="CG Times" w:hAnsi="CG Times" w:eastAsia="宋体" w:cs="CG Times"/>
      <w:b/>
      <w:bCs/>
    </w:rPr>
  </w:style>
  <w:style w:type="character" w:customStyle="1" w:styleId="141">
    <w:name w:val="标题 3 Char1"/>
    <w:autoRedefine/>
    <w:qFormat/>
    <w:uiPriority w:val="0"/>
    <w:rPr>
      <w:rFonts w:ascii="CG Times" w:hAnsi="CG Times" w:eastAsia="宋体" w:cs="CG Times"/>
      <w:b/>
      <w:bCs/>
      <w:kern w:val="2"/>
      <w:sz w:val="32"/>
      <w:szCs w:val="32"/>
      <w:lang w:val="en-US" w:eastAsia="zh-CN" w:bidi="ar-SA"/>
    </w:rPr>
  </w:style>
  <w:style w:type="character" w:customStyle="1" w:styleId="142">
    <w:name w:val="样式 四号"/>
    <w:qFormat/>
    <w:uiPriority w:val="0"/>
    <w:rPr>
      <w:rFonts w:ascii="Batang" w:hAnsi="Batang" w:eastAsia="宋体"/>
      <w:color w:val="000000"/>
      <w:sz w:val="28"/>
      <w:szCs w:val="28"/>
    </w:rPr>
  </w:style>
  <w:style w:type="paragraph" w:customStyle="1" w:styleId="143">
    <w:name w:val="Char2"/>
    <w:basedOn w:val="1"/>
    <w:autoRedefine/>
    <w:qFormat/>
    <w:uiPriority w:val="0"/>
    <w:pPr>
      <w:spacing w:line="360" w:lineRule="auto"/>
      <w:ind w:firstLine="200" w:firstLineChars="200"/>
    </w:pPr>
    <w:rPr>
      <w:rFonts w:ascii="宋体" w:hAnsi="宋体" w:cs="宋体"/>
      <w:sz w:val="24"/>
    </w:rPr>
  </w:style>
  <w:style w:type="paragraph" w:customStyle="1" w:styleId="144">
    <w:name w:val="默认段落字体 Para Char Char Char Char"/>
    <w:basedOn w:val="1"/>
    <w:autoRedefine/>
    <w:qFormat/>
    <w:uiPriority w:val="0"/>
    <w:rPr>
      <w:rFonts w:ascii="Times New Roman" w:hAnsi="Times New Roman" w:cs="Times New Roman"/>
      <w:sz w:val="24"/>
    </w:rPr>
  </w:style>
  <w:style w:type="paragraph" w:customStyle="1" w:styleId="145">
    <w:name w:val="样式 标题 2 + 楷体_GB2312 居中 段前: 12 磅 段后: 12 磅 行距: 1.5 倍行距"/>
    <w:basedOn w:val="2"/>
    <w:qFormat/>
    <w:uiPriority w:val="0"/>
    <w:pPr>
      <w:spacing w:before="240" w:after="240" w:line="360" w:lineRule="auto"/>
      <w:jc w:val="center"/>
    </w:pPr>
    <w:rPr>
      <w:rFonts w:ascii="楷体_GB2312" w:eastAsia="黑体"/>
      <w:b w:val="0"/>
      <w:sz w:val="32"/>
      <w:szCs w:val="20"/>
    </w:rPr>
  </w:style>
  <w:style w:type="paragraph" w:customStyle="1" w:styleId="146">
    <w:name w:val="HTML Bottom of Form"/>
    <w:basedOn w:val="1"/>
    <w:next w:val="1"/>
    <w:link w:val="147"/>
    <w:autoRedefine/>
    <w:qFormat/>
    <w:uiPriority w:val="0"/>
    <w:pPr>
      <w:pBdr>
        <w:top w:val="single" w:color="auto" w:sz="6" w:space="1"/>
      </w:pBdr>
      <w:jc w:val="center"/>
    </w:pPr>
    <w:rPr>
      <w:rFonts w:ascii="Arial" w:hAnsi="Arial" w:cs="Arial"/>
      <w:vanish/>
      <w:sz w:val="16"/>
      <w:szCs w:val="16"/>
    </w:rPr>
  </w:style>
  <w:style w:type="character" w:customStyle="1" w:styleId="147">
    <w:name w:val="z-窗体底端 Char"/>
    <w:basedOn w:val="63"/>
    <w:link w:val="146"/>
    <w:autoRedefine/>
    <w:qFormat/>
    <w:uiPriority w:val="0"/>
    <w:rPr>
      <w:rFonts w:ascii="Arial" w:hAnsi="Arial" w:eastAsia="宋体" w:cs="Arial"/>
      <w:vanish/>
      <w:sz w:val="16"/>
      <w:szCs w:val="16"/>
    </w:rPr>
  </w:style>
  <w:style w:type="paragraph" w:customStyle="1" w:styleId="148">
    <w:name w:val="图"/>
    <w:basedOn w:val="8"/>
    <w:next w:val="1"/>
    <w:qFormat/>
    <w:uiPriority w:val="0"/>
    <w:pPr>
      <w:ind w:firstLine="0" w:firstLineChars="0"/>
      <w:jc w:val="center"/>
    </w:pPr>
    <w:rPr>
      <w:rFonts w:ascii="宋体" w:hAnsi="宋体" w:cs="CG Times"/>
      <w:szCs w:val="20"/>
    </w:rPr>
  </w:style>
  <w:style w:type="paragraph" w:customStyle="1" w:styleId="149">
    <w:name w:val="图名"/>
    <w:basedOn w:val="1"/>
    <w:autoRedefine/>
    <w:qFormat/>
    <w:uiPriority w:val="0"/>
    <w:pPr>
      <w:jc w:val="center"/>
    </w:pPr>
    <w:rPr>
      <w:rFonts w:ascii="宋体" w:hAnsi="宋体"/>
    </w:rPr>
  </w:style>
  <w:style w:type="paragraph" w:customStyle="1" w:styleId="150">
    <w:name w:val="BIG BOLD"/>
    <w:basedOn w:val="1"/>
    <w:autoRedefine/>
    <w:qFormat/>
    <w:uiPriority w:val="0"/>
    <w:pPr>
      <w:tabs>
        <w:tab w:val="left" w:leader="underscore" w:pos="1134"/>
      </w:tabs>
    </w:pPr>
    <w:rPr>
      <w:rFonts w:ascii="Times New Roman" w:hAnsi="Times New Roman" w:cs="Times New Roman"/>
      <w:sz w:val="28"/>
      <w:szCs w:val="20"/>
    </w:rPr>
  </w:style>
  <w:style w:type="paragraph" w:customStyle="1" w:styleId="151">
    <w:name w:val="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152">
    <w:name w:val="批注框文本 Char Char"/>
    <w:basedOn w:val="1"/>
    <w:autoRedefine/>
    <w:qFormat/>
    <w:uiPriority w:val="0"/>
    <w:rPr>
      <w:rFonts w:ascii="Times New Roman" w:hAnsi="Times New Roman" w:cs="Times New Roman"/>
      <w:sz w:val="18"/>
      <w:szCs w:val="20"/>
    </w:rPr>
  </w:style>
  <w:style w:type="character" w:customStyle="1" w:styleId="153">
    <w:name w:val="basic-green"/>
    <w:basedOn w:val="63"/>
    <w:autoRedefine/>
    <w:qFormat/>
    <w:uiPriority w:val="0"/>
  </w:style>
  <w:style w:type="paragraph" w:customStyle="1" w:styleId="154">
    <w:name w:val="xl30"/>
    <w:basedOn w:val="1"/>
    <w:autoRedefine/>
    <w:qFormat/>
    <w:uiPriority w:val="0"/>
    <w:pPr>
      <w:keepNext/>
      <w:widowControl/>
      <w:pBdr>
        <w:bottom w:val="single" w:color="auto" w:sz="4" w:space="0"/>
        <w:right w:val="single" w:color="auto" w:sz="4" w:space="0"/>
      </w:pBdr>
      <w:spacing w:before="100" w:beforeAutospacing="1" w:after="100" w:afterAutospacing="1" w:line="400" w:lineRule="exact"/>
      <w:jc w:val="center"/>
      <w:textAlignment w:val="center"/>
    </w:pPr>
    <w:rPr>
      <w:rFonts w:ascii="宋体" w:hAnsi="宋体" w:cs="Times New Roman"/>
      <w:spacing w:val="8"/>
      <w:kern w:val="0"/>
      <w:sz w:val="24"/>
      <w:szCs w:val="20"/>
    </w:rPr>
  </w:style>
  <w:style w:type="paragraph" w:customStyle="1" w:styleId="155">
    <w:name w:val="Char1"/>
    <w:basedOn w:val="1"/>
    <w:autoRedefine/>
    <w:qFormat/>
    <w:uiPriority w:val="0"/>
    <w:pPr>
      <w:spacing w:line="360" w:lineRule="auto"/>
      <w:ind w:firstLine="200" w:firstLineChars="200"/>
    </w:pPr>
    <w:rPr>
      <w:rFonts w:ascii="宋体" w:hAnsi="宋体" w:cs="宋体"/>
      <w:sz w:val="24"/>
    </w:rPr>
  </w:style>
  <w:style w:type="paragraph" w:customStyle="1" w:styleId="156">
    <w:name w:val="Char11"/>
    <w:basedOn w:val="1"/>
    <w:autoRedefine/>
    <w:qFormat/>
    <w:uiPriority w:val="0"/>
    <w:pPr>
      <w:spacing w:line="360" w:lineRule="auto"/>
      <w:ind w:firstLine="200" w:firstLineChars="200"/>
    </w:pPr>
    <w:rPr>
      <w:rFonts w:ascii="宋体" w:hAnsi="宋体" w:cs="宋体"/>
      <w:sz w:val="24"/>
    </w:rPr>
  </w:style>
  <w:style w:type="paragraph" w:customStyle="1" w:styleId="157">
    <w:name w:val="简单回函地址"/>
    <w:basedOn w:val="1"/>
    <w:autoRedefine/>
    <w:qFormat/>
    <w:uiPriority w:val="0"/>
    <w:rPr>
      <w:rFonts w:ascii="Times New Roman" w:hAnsi="Times New Roman" w:cs="Times New Roman"/>
      <w:szCs w:val="20"/>
    </w:rPr>
  </w:style>
  <w:style w:type="character" w:customStyle="1" w:styleId="158">
    <w:name w:val="ont1"/>
    <w:autoRedefine/>
    <w:qFormat/>
    <w:uiPriority w:val="0"/>
    <w:rPr>
      <w:sz w:val="18"/>
    </w:rPr>
  </w:style>
  <w:style w:type="paragraph" w:customStyle="1" w:styleId="159">
    <w:name w:val="Char Char Char Char Char Char Char1"/>
    <w:basedOn w:val="1"/>
    <w:autoRedefine/>
    <w:qFormat/>
    <w:uiPriority w:val="0"/>
    <w:pPr>
      <w:spacing w:line="360" w:lineRule="auto"/>
      <w:ind w:firstLine="200" w:firstLineChars="200"/>
    </w:pPr>
    <w:rPr>
      <w:rFonts w:ascii="宋体" w:hAnsi="宋体" w:cs="宋体"/>
      <w:sz w:val="24"/>
    </w:rPr>
  </w:style>
  <w:style w:type="paragraph" w:customStyle="1" w:styleId="160">
    <w:name w:val="默认段落字体 Para Char Char Char Char Char Char Char"/>
    <w:basedOn w:val="1"/>
    <w:autoRedefine/>
    <w:qFormat/>
    <w:uiPriority w:val="0"/>
    <w:rPr>
      <w:rFonts w:ascii="Arial" w:hAnsi="Arial" w:cs="Arial"/>
      <w:sz w:val="20"/>
      <w:szCs w:val="20"/>
    </w:rPr>
  </w:style>
  <w:style w:type="paragraph" w:customStyle="1" w:styleId="161">
    <w:name w:val="正文表格"/>
    <w:basedOn w:val="1"/>
    <w:qFormat/>
    <w:uiPriority w:val="0"/>
    <w:pPr>
      <w:keepNext/>
      <w:keepLines/>
      <w:overflowPunct w:val="0"/>
      <w:adjustRightInd w:val="0"/>
      <w:spacing w:before="80"/>
      <w:jc w:val="center"/>
      <w:textAlignment w:val="bottom"/>
    </w:pPr>
    <w:rPr>
      <w:rFonts w:ascii="Times New Roman" w:hAnsi="Times New Roman" w:cs="Times New Roman"/>
      <w:kern w:val="0"/>
      <w:sz w:val="28"/>
      <w:szCs w:val="20"/>
    </w:rPr>
  </w:style>
  <w:style w:type="character" w:customStyle="1" w:styleId="162">
    <w:name w:val="unnamed11"/>
    <w:autoRedefine/>
    <w:qFormat/>
    <w:uiPriority w:val="0"/>
    <w:rPr>
      <w:sz w:val="24"/>
      <w:szCs w:val="24"/>
    </w:rPr>
  </w:style>
  <w:style w:type="character" w:customStyle="1" w:styleId="163">
    <w:name w:val="正文文本 3 Char"/>
    <w:basedOn w:val="63"/>
    <w:link w:val="21"/>
    <w:autoRedefine/>
    <w:qFormat/>
    <w:uiPriority w:val="0"/>
    <w:rPr>
      <w:rFonts w:ascii="Times New Roman" w:hAnsi="Times New Roman" w:eastAsia="宋体" w:cs="Times New Roman"/>
      <w:sz w:val="16"/>
      <w:szCs w:val="16"/>
    </w:rPr>
  </w:style>
  <w:style w:type="paragraph" w:customStyle="1" w:styleId="164">
    <w:name w:val="文本正文"/>
    <w:basedOn w:val="1"/>
    <w:autoRedefine/>
    <w:qFormat/>
    <w:uiPriority w:val="0"/>
    <w:pPr>
      <w:spacing w:line="360" w:lineRule="auto"/>
      <w:ind w:firstLine="560" w:firstLineChars="200"/>
    </w:pPr>
    <w:rPr>
      <w:rFonts w:ascii="Times New Roman" w:hAnsi="Times New Roman" w:cs="Times New Roman"/>
      <w:sz w:val="28"/>
      <w:szCs w:val="20"/>
    </w:rPr>
  </w:style>
  <w:style w:type="paragraph" w:customStyle="1" w:styleId="165">
    <w:name w:val="宋体 13 磅 行距: 固定值 24 磅"/>
    <w:basedOn w:val="1"/>
    <w:autoRedefine/>
    <w:qFormat/>
    <w:uiPriority w:val="0"/>
    <w:pPr>
      <w:spacing w:line="480" w:lineRule="exact"/>
      <w:ind w:firstLine="520" w:firstLineChars="200"/>
    </w:pPr>
    <w:rPr>
      <w:rFonts w:ascii="宋体" w:hAnsi="宋体" w:cs="宋体"/>
      <w:sz w:val="26"/>
      <w:szCs w:val="20"/>
    </w:rPr>
  </w:style>
  <w:style w:type="character" w:customStyle="1" w:styleId="166">
    <w:name w:val="zhenwen141"/>
    <w:autoRedefine/>
    <w:qFormat/>
    <w:uiPriority w:val="0"/>
    <w:rPr>
      <w:rFonts w:hint="default" w:ascii="ˎ̥" w:hAnsi="ˎ̥"/>
      <w:sz w:val="21"/>
      <w:szCs w:val="21"/>
    </w:rPr>
  </w:style>
  <w:style w:type="paragraph" w:customStyle="1" w:styleId="167">
    <w:name w:val="标题2"/>
    <w:basedOn w:val="1"/>
    <w:autoRedefine/>
    <w:qFormat/>
    <w:uiPriority w:val="0"/>
    <w:pPr>
      <w:spacing w:line="500" w:lineRule="exact"/>
    </w:pPr>
    <w:rPr>
      <w:rFonts w:ascii="宋体" w:hAnsi="宋体" w:cs="Times New Roman"/>
      <w:snapToGrid w:val="0"/>
      <w:color w:val="000000"/>
      <w:kern w:val="52"/>
      <w:sz w:val="28"/>
      <w:szCs w:val="28"/>
    </w:rPr>
  </w:style>
  <w:style w:type="paragraph" w:customStyle="1" w:styleId="168">
    <w:name w:val="xl27"/>
    <w:basedOn w:val="1"/>
    <w:qFormat/>
    <w:uiPriority w:val="0"/>
    <w:pPr>
      <w:widowControl/>
      <w:pBdr>
        <w:bottom w:val="single" w:color="auto" w:sz="12" w:space="0"/>
      </w:pBdr>
      <w:spacing w:before="100" w:after="100"/>
      <w:jc w:val="center"/>
    </w:pPr>
    <w:rPr>
      <w:rFonts w:ascii="宋体" w:hAnsi="宋体" w:cs="Times New Roman"/>
      <w:kern w:val="0"/>
      <w:szCs w:val="20"/>
    </w:rPr>
  </w:style>
  <w:style w:type="paragraph" w:customStyle="1" w:styleId="169">
    <w:name w:val="新正文样式"/>
    <w:basedOn w:val="1"/>
    <w:autoRedefine/>
    <w:qFormat/>
    <w:uiPriority w:val="0"/>
    <w:pPr>
      <w:tabs>
        <w:tab w:val="left" w:pos="567"/>
      </w:tabs>
      <w:spacing w:line="360" w:lineRule="auto"/>
      <w:ind w:firstLine="567"/>
    </w:pPr>
    <w:rPr>
      <w:rFonts w:ascii="Times New Roman" w:hAnsi="Times New Roman" w:cs="Times New Roman"/>
      <w:spacing w:val="20"/>
      <w:sz w:val="24"/>
      <w:szCs w:val="20"/>
    </w:rPr>
  </w:style>
  <w:style w:type="paragraph" w:customStyle="1" w:styleId="170">
    <w:name w:val="节以下标题样式"/>
    <w:basedOn w:val="169"/>
    <w:autoRedefine/>
    <w:qFormat/>
    <w:uiPriority w:val="0"/>
    <w:pPr>
      <w:ind w:firstLine="0"/>
    </w:pPr>
  </w:style>
  <w:style w:type="paragraph" w:customStyle="1" w:styleId="171">
    <w:name w:val="表格后正文"/>
    <w:basedOn w:val="169"/>
    <w:autoRedefine/>
    <w:qFormat/>
    <w:uiPriority w:val="0"/>
    <w:pPr>
      <w:spacing w:before="200"/>
    </w:pPr>
  </w:style>
  <w:style w:type="paragraph" w:customStyle="1" w:styleId="172">
    <w:name w:val="样式 首行缩进:  2 字符"/>
    <w:basedOn w:val="1"/>
    <w:link w:val="173"/>
    <w:autoRedefine/>
    <w:qFormat/>
    <w:uiPriority w:val="0"/>
    <w:pPr>
      <w:spacing w:line="440" w:lineRule="exact"/>
      <w:ind w:firstLine="200" w:firstLineChars="200"/>
    </w:pPr>
    <w:rPr>
      <w:rFonts w:ascii="Times New Roman" w:hAnsi="Times New Roman" w:eastAsia="楷体_GB2312" w:cs="宋体"/>
      <w:spacing w:val="6"/>
      <w:kern w:val="0"/>
      <w:sz w:val="28"/>
      <w:szCs w:val="28"/>
    </w:rPr>
  </w:style>
  <w:style w:type="character" w:customStyle="1" w:styleId="173">
    <w:name w:val="样式 首行缩进:  2 字符 Char"/>
    <w:link w:val="172"/>
    <w:autoRedefine/>
    <w:qFormat/>
    <w:uiPriority w:val="0"/>
    <w:rPr>
      <w:rFonts w:ascii="Times New Roman" w:hAnsi="Times New Roman" w:eastAsia="楷体_GB2312" w:cs="宋体"/>
      <w:spacing w:val="6"/>
      <w:kern w:val="0"/>
      <w:sz w:val="28"/>
      <w:szCs w:val="28"/>
    </w:rPr>
  </w:style>
  <w:style w:type="paragraph" w:customStyle="1" w:styleId="174">
    <w:name w:val="表格标题"/>
    <w:basedOn w:val="1"/>
    <w:autoRedefine/>
    <w:qFormat/>
    <w:uiPriority w:val="0"/>
    <w:pPr>
      <w:adjustRightInd w:val="0"/>
      <w:spacing w:before="120" w:line="360" w:lineRule="auto"/>
      <w:ind w:firstLine="200" w:firstLineChars="200"/>
      <w:jc w:val="center"/>
      <w:textAlignment w:val="baseline"/>
    </w:pPr>
    <w:rPr>
      <w:rFonts w:ascii="Times New Roman" w:hAnsi="Times New Roman" w:eastAsia="文鼎CS中宋" w:cs="Times New Roman"/>
      <w:kern w:val="0"/>
      <w:sz w:val="24"/>
      <w:szCs w:val="20"/>
    </w:rPr>
  </w:style>
  <w:style w:type="character" w:customStyle="1" w:styleId="175">
    <w:name w:val="height1901"/>
    <w:autoRedefine/>
    <w:qFormat/>
    <w:uiPriority w:val="0"/>
  </w:style>
  <w:style w:type="paragraph" w:customStyle="1" w:styleId="176">
    <w:name w:val="封面标准文稿类别"/>
    <w:autoRedefine/>
    <w:qFormat/>
    <w:uiPriority w:val="0"/>
    <w:pPr>
      <w:spacing w:before="440" w:line="400" w:lineRule="exact"/>
      <w:jc w:val="center"/>
    </w:pPr>
    <w:rPr>
      <w:rFonts w:ascii="宋体" w:hAnsi="Times New Roman" w:eastAsia="宋体" w:cs="Times New Roman"/>
      <w:kern w:val="0"/>
      <w:sz w:val="24"/>
      <w:szCs w:val="20"/>
      <w:lang w:val="en-US" w:eastAsia="zh-CN" w:bidi="ar-SA"/>
    </w:rPr>
  </w:style>
  <w:style w:type="paragraph" w:customStyle="1" w:styleId="177">
    <w:name w:val="段"/>
    <w:autoRedefine/>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character" w:customStyle="1" w:styleId="178">
    <w:name w:val="px141"/>
    <w:autoRedefine/>
    <w:qFormat/>
    <w:uiPriority w:val="0"/>
    <w:rPr>
      <w:sz w:val="21"/>
      <w:szCs w:val="21"/>
    </w:rPr>
  </w:style>
  <w:style w:type="paragraph" w:customStyle="1" w:styleId="179">
    <w:name w:val="段－宋小四"/>
    <w:basedOn w:val="1"/>
    <w:qFormat/>
    <w:uiPriority w:val="0"/>
    <w:pPr>
      <w:autoSpaceDE w:val="0"/>
      <w:autoSpaceDN w:val="0"/>
      <w:spacing w:line="360" w:lineRule="auto"/>
      <w:ind w:firstLine="480" w:firstLineChars="200"/>
      <w:textAlignment w:val="center"/>
    </w:pPr>
    <w:rPr>
      <w:rFonts w:ascii="宋体" w:hAnsi="宋体" w:cs="宋体"/>
      <w:sz w:val="24"/>
    </w:rPr>
  </w:style>
  <w:style w:type="character" w:customStyle="1" w:styleId="180">
    <w:name w:val="Char Char4"/>
    <w:autoRedefine/>
    <w:qFormat/>
    <w:uiPriority w:val="0"/>
    <w:rPr>
      <w:rFonts w:ascii="宋体" w:hAnsi="Courier New" w:eastAsia="宋体" w:cs="Courier New"/>
      <w:kern w:val="2"/>
      <w:sz w:val="21"/>
      <w:szCs w:val="21"/>
      <w:lang w:val="en-US" w:eastAsia="zh-CN" w:bidi="ar-SA"/>
    </w:rPr>
  </w:style>
  <w:style w:type="paragraph" w:customStyle="1" w:styleId="181">
    <w:name w:val="15"/>
    <w:basedOn w:val="1"/>
    <w:autoRedefine/>
    <w:qFormat/>
    <w:uiPriority w:val="0"/>
    <w:pPr>
      <w:widowControl/>
      <w:snapToGrid w:val="0"/>
      <w:spacing w:before="100" w:beforeAutospacing="1" w:after="100" w:afterAutospacing="1" w:line="300" w:lineRule="auto"/>
    </w:pPr>
    <w:rPr>
      <w:rFonts w:ascii="宋体" w:hAnsi="宋体" w:cs="Times New Roman"/>
      <w:kern w:val="0"/>
      <w:sz w:val="24"/>
      <w:szCs w:val="20"/>
    </w:rPr>
  </w:style>
  <w:style w:type="paragraph" w:customStyle="1" w:styleId="182">
    <w:name w:val="正文4-"/>
    <w:basedOn w:val="1"/>
    <w:autoRedefine/>
    <w:qFormat/>
    <w:uiPriority w:val="0"/>
    <w:pPr>
      <w:spacing w:line="300" w:lineRule="auto"/>
      <w:ind w:firstLine="461" w:firstLineChars="192"/>
    </w:pPr>
    <w:rPr>
      <w:rFonts w:ascii="宋体" w:hAnsi="宋体" w:cs="Times New Roman"/>
      <w:sz w:val="24"/>
      <w:szCs w:val="20"/>
    </w:rPr>
  </w:style>
  <w:style w:type="paragraph" w:customStyle="1" w:styleId="183">
    <w:name w:val="设计文本"/>
    <w:basedOn w:val="1"/>
    <w:autoRedefine/>
    <w:qFormat/>
    <w:uiPriority w:val="0"/>
    <w:pPr>
      <w:tabs>
        <w:tab w:val="left" w:pos="180"/>
      </w:tabs>
      <w:spacing w:line="360" w:lineRule="auto"/>
      <w:ind w:firstLine="549" w:firstLineChars="196"/>
    </w:pPr>
    <w:rPr>
      <w:rFonts w:ascii="宋体" w:hAnsi="宋体" w:cs="宋体"/>
      <w:bCs/>
      <w:spacing w:val="20"/>
      <w:kern w:val="0"/>
      <w:sz w:val="24"/>
    </w:rPr>
  </w:style>
  <w:style w:type="paragraph" w:customStyle="1" w:styleId="184">
    <w:name w:val="表格1"/>
    <w:basedOn w:val="1"/>
    <w:autoRedefine/>
    <w:qFormat/>
    <w:uiPriority w:val="0"/>
    <w:pPr>
      <w:adjustRightInd w:val="0"/>
      <w:jc w:val="center"/>
      <w:textAlignment w:val="baseline"/>
    </w:pPr>
    <w:rPr>
      <w:rFonts w:ascii="宋体" w:hAnsi="Times New Roman" w:cs="Times New Roman"/>
      <w:kern w:val="0"/>
      <w:sz w:val="24"/>
    </w:rPr>
  </w:style>
  <w:style w:type="paragraph" w:customStyle="1" w:styleId="185">
    <w:name w:val="In Table"/>
    <w:basedOn w:val="1"/>
    <w:autoRedefine/>
    <w:qFormat/>
    <w:uiPriority w:val="0"/>
    <w:pPr>
      <w:tabs>
        <w:tab w:val="left" w:pos="2200"/>
        <w:tab w:val="left" w:pos="3960"/>
        <w:tab w:val="left" w:pos="5280"/>
      </w:tabs>
      <w:spacing w:beforeLines="40" w:afterLines="40" w:line="0" w:lineRule="atLeast"/>
      <w:jc w:val="center"/>
    </w:pPr>
    <w:rPr>
      <w:rFonts w:ascii="Tahoma" w:hAnsi="Tahoma" w:eastAsia="华文中宋" w:cs="Times New Roman"/>
      <w:szCs w:val="20"/>
    </w:rPr>
  </w:style>
  <w:style w:type="paragraph" w:customStyle="1" w:styleId="186">
    <w:name w:val="xl54"/>
    <w:basedOn w:val="1"/>
    <w:autoRedefine/>
    <w:qFormat/>
    <w:uiPriority w:val="0"/>
    <w:pPr>
      <w:widowControl/>
      <w:spacing w:before="100" w:beforeAutospacing="1" w:after="100" w:afterAutospacing="1"/>
      <w:jc w:val="center"/>
      <w:textAlignment w:val="center"/>
    </w:pPr>
    <w:rPr>
      <w:rFonts w:ascii="宋体" w:hAnsi="宋体" w:cs="Times New Roman"/>
      <w:kern w:val="0"/>
      <w:sz w:val="24"/>
    </w:rPr>
  </w:style>
  <w:style w:type="paragraph" w:customStyle="1" w:styleId="187">
    <w:name w:val="表格文字居中"/>
    <w:basedOn w:val="1"/>
    <w:next w:val="24"/>
    <w:link w:val="189"/>
    <w:autoRedefine/>
    <w:qFormat/>
    <w:uiPriority w:val="0"/>
    <w:pPr>
      <w:keepNext/>
      <w:tabs>
        <w:tab w:val="left" w:pos="628"/>
        <w:tab w:val="left" w:pos="1727"/>
        <w:tab w:val="left" w:pos="1884"/>
      </w:tabs>
      <w:adjustRightInd w:val="0"/>
      <w:snapToGrid w:val="0"/>
      <w:jc w:val="center"/>
    </w:pPr>
    <w:rPr>
      <w:rFonts w:ascii="宋体" w:hAnsi="宋体" w:cs="Arial"/>
      <w:bCs/>
      <w:color w:val="000000"/>
      <w:kern w:val="0"/>
      <w:sz w:val="24"/>
      <w:szCs w:val="21"/>
    </w:rPr>
  </w:style>
  <w:style w:type="character" w:customStyle="1" w:styleId="188">
    <w:name w:val="正文首行缩进 Char1"/>
    <w:basedOn w:val="122"/>
    <w:link w:val="24"/>
    <w:autoRedefine/>
    <w:semiHidden/>
    <w:qFormat/>
    <w:uiPriority w:val="99"/>
    <w:rPr>
      <w:rFonts w:ascii="Times New Roman" w:hAnsi="Times New Roman" w:eastAsia="宋体" w:cs="Times New Roman"/>
    </w:rPr>
  </w:style>
  <w:style w:type="character" w:customStyle="1" w:styleId="189">
    <w:name w:val="表格文字居中 Char"/>
    <w:link w:val="187"/>
    <w:autoRedefine/>
    <w:qFormat/>
    <w:uiPriority w:val="0"/>
    <w:rPr>
      <w:rFonts w:ascii="宋体" w:hAnsi="宋体" w:eastAsia="宋体" w:cs="Arial"/>
      <w:bCs/>
      <w:color w:val="000000"/>
      <w:kern w:val="0"/>
      <w:sz w:val="24"/>
      <w:szCs w:val="21"/>
    </w:rPr>
  </w:style>
  <w:style w:type="paragraph" w:customStyle="1" w:styleId="190">
    <w:name w:val="表格2"/>
    <w:basedOn w:val="1"/>
    <w:autoRedefine/>
    <w:qFormat/>
    <w:uiPriority w:val="0"/>
    <w:pPr>
      <w:adjustRightInd w:val="0"/>
      <w:jc w:val="center"/>
      <w:textAlignment w:val="baseline"/>
    </w:pPr>
    <w:rPr>
      <w:rFonts w:ascii="宋体" w:hAnsi="Times New Roman" w:cs="Times New Roman"/>
      <w:kern w:val="0"/>
      <w:szCs w:val="21"/>
    </w:rPr>
  </w:style>
  <w:style w:type="paragraph" w:customStyle="1" w:styleId="191">
    <w:name w:val="xl29"/>
    <w:basedOn w:val="1"/>
    <w:qFormat/>
    <w:uiPriority w:val="0"/>
    <w:pPr>
      <w:widowControl/>
      <w:spacing w:before="100" w:beforeAutospacing="1" w:after="100" w:afterAutospacing="1"/>
      <w:jc w:val="center"/>
    </w:pPr>
    <w:rPr>
      <w:rFonts w:ascii="宋体" w:hAnsi="宋体" w:cs="Times New Roman"/>
      <w:kern w:val="0"/>
      <w:sz w:val="24"/>
    </w:rPr>
  </w:style>
  <w:style w:type="paragraph" w:customStyle="1" w:styleId="192">
    <w:name w:val="样式 样式1 + 首行缩进:  2 字符1"/>
    <w:basedOn w:val="136"/>
    <w:qFormat/>
    <w:uiPriority w:val="0"/>
    <w:pPr>
      <w:snapToGrid/>
      <w:ind w:firstLine="480" w:firstLineChars="200"/>
      <w:jc w:val="both"/>
    </w:pPr>
    <w:rPr>
      <w:rFonts w:cs="Arial"/>
      <w:sz w:val="24"/>
      <w:szCs w:val="20"/>
      <w:lang w:val="en-US"/>
    </w:rPr>
  </w:style>
  <w:style w:type="paragraph" w:customStyle="1" w:styleId="193">
    <w:name w:val="font0"/>
    <w:basedOn w:val="1"/>
    <w:autoRedefine/>
    <w:qFormat/>
    <w:uiPriority w:val="0"/>
    <w:pPr>
      <w:widowControl/>
      <w:spacing w:before="100" w:beforeAutospacing="1" w:after="100" w:afterAutospacing="1"/>
      <w:jc w:val="left"/>
    </w:pPr>
    <w:rPr>
      <w:rFonts w:hint="eastAsia" w:ascii="宋体" w:hAnsi="宋体" w:cs="Times New Roman"/>
      <w:kern w:val="0"/>
      <w:sz w:val="24"/>
    </w:rPr>
  </w:style>
  <w:style w:type="paragraph" w:customStyle="1" w:styleId="194">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cs="Times New Roman"/>
      <w:color w:val="000000"/>
      <w:kern w:val="0"/>
      <w:sz w:val="24"/>
    </w:rPr>
  </w:style>
  <w:style w:type="paragraph" w:customStyle="1" w:styleId="195">
    <w:name w:val="xl40"/>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cs="Times New Roman"/>
      <w:kern w:val="0"/>
      <w:sz w:val="16"/>
      <w:szCs w:val="16"/>
    </w:rPr>
  </w:style>
  <w:style w:type="paragraph" w:customStyle="1" w:styleId="196">
    <w:name w:val="表格备注"/>
    <w:basedOn w:val="9"/>
    <w:next w:val="24"/>
    <w:qFormat/>
    <w:uiPriority w:val="0"/>
    <w:pPr>
      <w:keepLines w:val="0"/>
      <w:tabs>
        <w:tab w:val="left" w:pos="560"/>
      </w:tabs>
      <w:adjustRightInd/>
      <w:spacing w:before="0" w:after="0" w:line="336" w:lineRule="auto"/>
      <w:jc w:val="center"/>
      <w:textAlignment w:val="auto"/>
    </w:pPr>
    <w:rPr>
      <w:rFonts w:ascii="黑体"/>
      <w:b w:val="0"/>
      <w:kern w:val="2"/>
      <w:sz w:val="21"/>
      <w:szCs w:val="21"/>
    </w:rPr>
  </w:style>
  <w:style w:type="paragraph" w:customStyle="1" w:styleId="197">
    <w:name w:val="Heading3(1.)"/>
    <w:basedOn w:val="1"/>
    <w:autoRedefine/>
    <w:qFormat/>
    <w:uiPriority w:val="0"/>
    <w:pPr>
      <w:keepLines/>
      <w:widowControl/>
      <w:tabs>
        <w:tab w:val="left" w:pos="510"/>
        <w:tab w:val="left" w:pos="1440"/>
      </w:tabs>
      <w:ind w:left="990"/>
      <w:jc w:val="left"/>
    </w:pPr>
    <w:rPr>
      <w:rFonts w:ascii="Times New Roman" w:hAnsi="Times New Roman" w:cs="Times New Roman"/>
      <w:kern w:val="0"/>
      <w:sz w:val="20"/>
      <w:szCs w:val="20"/>
      <w:lang w:eastAsia="en-US"/>
    </w:rPr>
  </w:style>
  <w:style w:type="paragraph" w:customStyle="1" w:styleId="198">
    <w:name w:val="WPS Plain"/>
    <w:autoRedefine/>
    <w:qFormat/>
    <w:uiPriority w:val="0"/>
    <w:rPr>
      <w:rFonts w:ascii="Times New Roman" w:hAnsi="Times New Roman" w:eastAsia="宋体" w:cs="Times New Roman"/>
      <w:kern w:val="0"/>
      <w:sz w:val="20"/>
      <w:szCs w:val="20"/>
      <w:lang w:val="en-US" w:eastAsia="zh-CN" w:bidi="ar-SA"/>
    </w:rPr>
  </w:style>
  <w:style w:type="paragraph" w:customStyle="1" w:styleId="199">
    <w:name w:val="?(??)3"/>
    <w:basedOn w:val="3"/>
    <w:next w:val="1"/>
    <w:autoRedefine/>
    <w:qFormat/>
    <w:uiPriority w:val="0"/>
    <w:pPr>
      <w:autoSpaceDE w:val="0"/>
      <w:autoSpaceDN w:val="0"/>
      <w:adjustRightInd w:val="0"/>
      <w:spacing w:before="0" w:after="0" w:line="536870452" w:lineRule="auto"/>
      <w:jc w:val="left"/>
      <w:outlineLvl w:val="9"/>
    </w:pPr>
    <w:rPr>
      <w:rFonts w:ascii="Times New Roman" w:hAnsi="Times New Roman" w:eastAsia="宋体"/>
      <w:bCs w:val="0"/>
      <w:spacing w:val="3"/>
      <w:kern w:val="24"/>
      <w:sz w:val="24"/>
      <w:szCs w:val="20"/>
    </w:rPr>
  </w:style>
  <w:style w:type="paragraph" w:customStyle="1" w:styleId="200">
    <w:name w:val="页号"/>
    <w:basedOn w:val="38"/>
    <w:autoRedefine/>
    <w:qFormat/>
    <w:uiPriority w:val="0"/>
    <w:pPr>
      <w:tabs>
        <w:tab w:val="center" w:pos="4320"/>
        <w:tab w:val="right" w:pos="8640"/>
        <w:tab w:val="clear" w:pos="4153"/>
        <w:tab w:val="clear" w:pos="8306"/>
      </w:tabs>
      <w:adjustRightInd w:val="0"/>
      <w:snapToGrid/>
      <w:jc w:val="center"/>
      <w:textAlignment w:val="baseline"/>
    </w:pPr>
    <w:rPr>
      <w:rFonts w:ascii="宋体" w:hAnsi="Arial" w:cs="Times New Roman"/>
      <w:spacing w:val="3"/>
      <w:kern w:val="24"/>
      <w:sz w:val="24"/>
      <w:szCs w:val="20"/>
    </w:rPr>
  </w:style>
  <w:style w:type="paragraph" w:customStyle="1" w:styleId="201">
    <w:name w:val="Char Char Char Char"/>
    <w:basedOn w:val="1"/>
    <w:autoRedefine/>
    <w:qFormat/>
    <w:uiPriority w:val="0"/>
    <w:rPr>
      <w:rFonts w:ascii="Times New Roman" w:hAnsi="Times New Roman" w:cs="Times New Roman"/>
      <w:szCs w:val="21"/>
    </w:rPr>
  </w:style>
  <w:style w:type="paragraph" w:customStyle="1" w:styleId="202">
    <w:name w:val="font5"/>
    <w:basedOn w:val="1"/>
    <w:autoRedefine/>
    <w:qFormat/>
    <w:uiPriority w:val="0"/>
    <w:pPr>
      <w:widowControl/>
      <w:spacing w:before="100" w:beforeAutospacing="1" w:after="100" w:afterAutospacing="1"/>
      <w:jc w:val="left"/>
    </w:pPr>
    <w:rPr>
      <w:rFonts w:ascii="Times New Roman" w:hAnsi="Times New Roman" w:cs="Times New Roman"/>
      <w:kern w:val="0"/>
      <w:sz w:val="20"/>
      <w:szCs w:val="20"/>
    </w:rPr>
  </w:style>
  <w:style w:type="paragraph" w:customStyle="1" w:styleId="203">
    <w:name w:val="font6"/>
    <w:basedOn w:val="1"/>
    <w:autoRedefine/>
    <w:qFormat/>
    <w:uiPriority w:val="0"/>
    <w:pPr>
      <w:widowControl/>
      <w:spacing w:before="100" w:beforeAutospacing="1" w:after="100" w:afterAutospacing="1"/>
      <w:jc w:val="left"/>
    </w:pPr>
    <w:rPr>
      <w:rFonts w:hint="eastAsia" w:ascii="宋体" w:hAnsi="宋体" w:cs="Times New Roman"/>
      <w:kern w:val="0"/>
      <w:sz w:val="20"/>
      <w:szCs w:val="20"/>
    </w:rPr>
  </w:style>
  <w:style w:type="paragraph" w:customStyle="1" w:styleId="204">
    <w:name w:val="font7"/>
    <w:basedOn w:val="1"/>
    <w:autoRedefine/>
    <w:qFormat/>
    <w:uiPriority w:val="0"/>
    <w:pPr>
      <w:widowControl/>
      <w:spacing w:before="100" w:beforeAutospacing="1" w:after="100" w:afterAutospacing="1"/>
      <w:jc w:val="left"/>
    </w:pPr>
    <w:rPr>
      <w:rFonts w:hint="eastAsia" w:ascii="宋体" w:hAnsi="宋体" w:cs="Times New Roman"/>
      <w:kern w:val="0"/>
      <w:sz w:val="18"/>
      <w:szCs w:val="18"/>
    </w:rPr>
  </w:style>
  <w:style w:type="paragraph" w:customStyle="1" w:styleId="205">
    <w:name w:val="font8"/>
    <w:basedOn w:val="1"/>
    <w:autoRedefine/>
    <w:qFormat/>
    <w:uiPriority w:val="0"/>
    <w:pPr>
      <w:widowControl/>
      <w:spacing w:before="100" w:beforeAutospacing="1" w:after="100" w:afterAutospacing="1"/>
      <w:jc w:val="left"/>
    </w:pPr>
    <w:rPr>
      <w:rFonts w:ascii="Times New Roman" w:hAnsi="Times New Roman" w:cs="Times New Roman"/>
      <w:kern w:val="0"/>
      <w:sz w:val="20"/>
      <w:szCs w:val="20"/>
    </w:rPr>
  </w:style>
  <w:style w:type="paragraph" w:customStyle="1" w:styleId="206">
    <w:name w:val="font9"/>
    <w:basedOn w:val="1"/>
    <w:autoRedefine/>
    <w:qFormat/>
    <w:uiPriority w:val="0"/>
    <w:pPr>
      <w:widowControl/>
      <w:spacing w:before="100" w:beforeAutospacing="1" w:after="100" w:afterAutospacing="1"/>
      <w:jc w:val="left"/>
    </w:pPr>
    <w:rPr>
      <w:rFonts w:hint="eastAsia" w:ascii="宋体" w:hAnsi="宋体" w:cs="Times New Roman"/>
      <w:kern w:val="0"/>
      <w:sz w:val="28"/>
      <w:szCs w:val="28"/>
    </w:rPr>
  </w:style>
  <w:style w:type="paragraph" w:customStyle="1" w:styleId="207">
    <w:name w:val="font10"/>
    <w:basedOn w:val="1"/>
    <w:autoRedefine/>
    <w:qFormat/>
    <w:uiPriority w:val="0"/>
    <w:pPr>
      <w:widowControl/>
      <w:spacing w:before="100" w:beforeAutospacing="1" w:after="100" w:afterAutospacing="1"/>
      <w:jc w:val="left"/>
    </w:pPr>
    <w:rPr>
      <w:rFonts w:ascii="Times New Roman" w:hAnsi="Times New Roman" w:cs="Times New Roman"/>
      <w:kern w:val="0"/>
      <w:sz w:val="28"/>
      <w:szCs w:val="28"/>
    </w:rPr>
  </w:style>
  <w:style w:type="paragraph" w:customStyle="1" w:styleId="2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kern w:val="0"/>
      <w:sz w:val="20"/>
      <w:szCs w:val="20"/>
    </w:rPr>
  </w:style>
  <w:style w:type="paragraph" w:customStyle="1" w:styleId="209">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kern w:val="0"/>
      <w:sz w:val="24"/>
    </w:rPr>
  </w:style>
  <w:style w:type="paragraph" w:customStyle="1" w:styleId="210">
    <w:name w:val="xl26"/>
    <w:basedOn w:val="1"/>
    <w:autoRedefine/>
    <w:qFormat/>
    <w:uiPriority w:val="0"/>
    <w:pPr>
      <w:widowControl/>
      <w:spacing w:before="100" w:beforeAutospacing="1" w:after="100" w:afterAutospacing="1"/>
      <w:jc w:val="left"/>
    </w:pPr>
    <w:rPr>
      <w:rFonts w:hint="eastAsia" w:ascii="宋体" w:hAnsi="宋体" w:cs="Times New Roman"/>
      <w:color w:val="0000FF"/>
      <w:kern w:val="0"/>
      <w:sz w:val="20"/>
      <w:szCs w:val="20"/>
    </w:rPr>
  </w:style>
  <w:style w:type="paragraph" w:customStyle="1" w:styleId="211">
    <w:name w:val="xl2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hint="eastAsia" w:ascii="宋体" w:hAnsi="宋体" w:cs="Times New Roman"/>
      <w:color w:val="000000"/>
      <w:kern w:val="0"/>
      <w:sz w:val="20"/>
      <w:szCs w:val="20"/>
    </w:rPr>
  </w:style>
  <w:style w:type="paragraph" w:customStyle="1" w:styleId="21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int="eastAsia" w:ascii="宋体" w:hAnsi="宋体" w:cs="Times New Roman"/>
      <w:color w:val="FF0000"/>
      <w:kern w:val="0"/>
      <w:sz w:val="20"/>
      <w:szCs w:val="20"/>
    </w:rPr>
  </w:style>
  <w:style w:type="paragraph" w:customStyle="1" w:styleId="213">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color w:val="FF0000"/>
      <w:kern w:val="0"/>
      <w:sz w:val="20"/>
      <w:szCs w:val="20"/>
    </w:rPr>
  </w:style>
  <w:style w:type="paragraph" w:customStyle="1" w:styleId="214">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color w:val="0000FF"/>
      <w:kern w:val="0"/>
      <w:sz w:val="24"/>
    </w:rPr>
  </w:style>
  <w:style w:type="paragraph" w:customStyle="1" w:styleId="215">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int="eastAsia" w:ascii="宋体" w:hAnsi="宋体" w:cs="Times New Roman"/>
      <w:color w:val="0000FF"/>
      <w:kern w:val="0"/>
      <w:sz w:val="20"/>
      <w:szCs w:val="20"/>
    </w:rPr>
  </w:style>
  <w:style w:type="paragraph" w:customStyle="1" w:styleId="216">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int="eastAsia" w:ascii="宋体" w:hAnsi="宋体" w:cs="Times New Roman"/>
      <w:color w:val="FF6600"/>
      <w:kern w:val="0"/>
      <w:sz w:val="20"/>
      <w:szCs w:val="20"/>
    </w:rPr>
  </w:style>
  <w:style w:type="paragraph" w:customStyle="1" w:styleId="21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color w:val="FF6600"/>
      <w:kern w:val="0"/>
      <w:sz w:val="24"/>
    </w:rPr>
  </w:style>
  <w:style w:type="paragraph" w:customStyle="1" w:styleId="218">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color w:val="FF6600"/>
      <w:kern w:val="0"/>
      <w:sz w:val="20"/>
      <w:szCs w:val="20"/>
    </w:rPr>
  </w:style>
  <w:style w:type="paragraph" w:customStyle="1" w:styleId="219">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color w:val="000000"/>
      <w:kern w:val="0"/>
      <w:sz w:val="20"/>
      <w:szCs w:val="20"/>
    </w:rPr>
  </w:style>
  <w:style w:type="paragraph" w:customStyle="1" w:styleId="22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kern w:val="0"/>
      <w:sz w:val="24"/>
    </w:rPr>
  </w:style>
  <w:style w:type="paragraph" w:customStyle="1" w:styleId="221">
    <w:name w:val="xl42"/>
    <w:basedOn w:val="1"/>
    <w:autoRedefine/>
    <w:qFormat/>
    <w:uiPriority w:val="0"/>
    <w:pPr>
      <w:widowControl/>
      <w:spacing w:before="100" w:beforeAutospacing="1" w:after="100" w:afterAutospacing="1"/>
      <w:jc w:val="center"/>
    </w:pPr>
    <w:rPr>
      <w:rFonts w:hint="eastAsia" w:ascii="宋体" w:hAnsi="宋体" w:cs="Times New Roman"/>
      <w:kern w:val="0"/>
      <w:sz w:val="28"/>
      <w:szCs w:val="28"/>
    </w:rPr>
  </w:style>
  <w:style w:type="paragraph" w:customStyle="1" w:styleId="222">
    <w:name w:val="xl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kern w:val="0"/>
      <w:sz w:val="24"/>
    </w:rPr>
  </w:style>
  <w:style w:type="paragraph" w:customStyle="1" w:styleId="223">
    <w:name w:val="xl44"/>
    <w:basedOn w:val="1"/>
    <w:autoRedefine/>
    <w:qFormat/>
    <w:uiPriority w:val="0"/>
    <w:pPr>
      <w:widowControl/>
      <w:spacing w:before="100" w:beforeAutospacing="1" w:after="100" w:afterAutospacing="1"/>
      <w:jc w:val="center"/>
    </w:pPr>
    <w:rPr>
      <w:rFonts w:hint="eastAsia" w:ascii="宋体" w:hAnsi="宋体" w:cs="Times New Roman"/>
      <w:kern w:val="0"/>
      <w:sz w:val="28"/>
      <w:szCs w:val="28"/>
    </w:rPr>
  </w:style>
  <w:style w:type="paragraph" w:customStyle="1" w:styleId="224">
    <w:name w:val="gb1"/>
    <w:basedOn w:val="1"/>
    <w:autoRedefine/>
    <w:qFormat/>
    <w:uiPriority w:val="0"/>
    <w:pPr>
      <w:widowControl/>
      <w:tabs>
        <w:tab w:val="left" w:pos="227"/>
      </w:tabs>
      <w:overflowPunct w:val="0"/>
      <w:autoSpaceDE w:val="0"/>
      <w:autoSpaceDN w:val="0"/>
      <w:adjustRightInd w:val="0"/>
      <w:spacing w:before="120" w:after="120"/>
      <w:textAlignment w:val="baseline"/>
    </w:pPr>
    <w:rPr>
      <w:rFonts w:ascii="Arial" w:hAnsi="Arial" w:eastAsia="仿宋体" w:cs="Times New Roman"/>
      <w:kern w:val="0"/>
      <w:szCs w:val="20"/>
    </w:rPr>
  </w:style>
  <w:style w:type="paragraph" w:customStyle="1" w:styleId="225">
    <w:name w:val="xl8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bottom"/>
    </w:pPr>
    <w:rPr>
      <w:rFonts w:ascii="Arial Unicode MS" w:hAnsi="Arial Unicode MS" w:cs="Times New Roman"/>
      <w:kern w:val="0"/>
      <w:sz w:val="20"/>
      <w:szCs w:val="20"/>
    </w:rPr>
  </w:style>
  <w:style w:type="paragraph" w:customStyle="1" w:styleId="226">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bottom"/>
    </w:pPr>
    <w:rPr>
      <w:rFonts w:ascii="Arial Unicode MS" w:hAnsi="Arial Unicode MS" w:cs="Times New Roman"/>
      <w:kern w:val="0"/>
      <w:sz w:val="20"/>
      <w:szCs w:val="20"/>
    </w:rPr>
  </w:style>
  <w:style w:type="paragraph" w:customStyle="1" w:styleId="227">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Unicode MS" w:hAnsi="Arial Unicode MS" w:cs="Times New Roman"/>
      <w:kern w:val="0"/>
      <w:sz w:val="20"/>
      <w:szCs w:val="20"/>
    </w:rPr>
  </w:style>
  <w:style w:type="paragraph" w:customStyle="1" w:styleId="228">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w:hAnsi="Arial" w:cs="Arial"/>
      <w:kern w:val="0"/>
      <w:sz w:val="20"/>
      <w:szCs w:val="20"/>
    </w:rPr>
  </w:style>
  <w:style w:type="paragraph" w:customStyle="1" w:styleId="229">
    <w:name w:val="xl9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bottom"/>
    </w:pPr>
    <w:rPr>
      <w:rFonts w:ascii="Arial" w:hAnsi="Arial" w:cs="Arial"/>
      <w:kern w:val="0"/>
      <w:sz w:val="20"/>
      <w:szCs w:val="20"/>
    </w:rPr>
  </w:style>
  <w:style w:type="paragraph" w:customStyle="1" w:styleId="230">
    <w:name w:val="xl9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bottom"/>
    </w:pPr>
    <w:rPr>
      <w:rFonts w:ascii="Arial Unicode MS" w:hAnsi="Arial Unicode MS" w:cs="Times New Roman"/>
      <w:kern w:val="0"/>
      <w:sz w:val="20"/>
      <w:szCs w:val="20"/>
    </w:rPr>
  </w:style>
  <w:style w:type="paragraph" w:customStyle="1" w:styleId="231">
    <w:name w:val="xl92"/>
    <w:basedOn w:val="1"/>
    <w:autoRedefine/>
    <w:qFormat/>
    <w:uiPriority w:val="0"/>
    <w:pPr>
      <w:widowControl/>
      <w:pBdr>
        <w:top w:val="single" w:color="auto" w:sz="4" w:space="0"/>
        <w:left w:val="single" w:color="auto" w:sz="4" w:space="0"/>
        <w:bottom w:val="single" w:color="auto" w:sz="4" w:space="0"/>
      </w:pBdr>
      <w:shd w:val="clear" w:color="auto" w:fill="CCFFFF"/>
      <w:spacing w:before="100" w:beforeAutospacing="1" w:after="100" w:afterAutospacing="1"/>
      <w:jc w:val="left"/>
      <w:textAlignment w:val="bottom"/>
    </w:pPr>
    <w:rPr>
      <w:rFonts w:ascii="Arial Unicode MS" w:hAnsi="Arial Unicode MS" w:cs="Times New Roman"/>
      <w:kern w:val="0"/>
      <w:sz w:val="20"/>
      <w:szCs w:val="20"/>
    </w:rPr>
  </w:style>
  <w:style w:type="paragraph" w:customStyle="1" w:styleId="232">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bottom"/>
    </w:pPr>
    <w:rPr>
      <w:rFonts w:ascii="Times New Roman" w:hAnsi="Times New Roman" w:cs="Times New Roman"/>
      <w:kern w:val="0"/>
      <w:sz w:val="20"/>
      <w:szCs w:val="20"/>
    </w:rPr>
  </w:style>
  <w:style w:type="paragraph" w:customStyle="1" w:styleId="233">
    <w:name w:val="xl9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bottom"/>
    </w:pPr>
    <w:rPr>
      <w:rFonts w:ascii="Arial Unicode MS" w:hAnsi="Arial Unicode MS" w:cs="Times New Roman"/>
      <w:kern w:val="0"/>
      <w:sz w:val="20"/>
      <w:szCs w:val="20"/>
    </w:rPr>
  </w:style>
  <w:style w:type="paragraph" w:customStyle="1" w:styleId="234">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Times New Roman" w:hAnsi="Times New Roman" w:cs="Times New Roman"/>
      <w:kern w:val="0"/>
      <w:sz w:val="20"/>
      <w:szCs w:val="20"/>
    </w:rPr>
  </w:style>
  <w:style w:type="paragraph" w:customStyle="1" w:styleId="235">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Times New Roman" w:hAnsi="Times New Roman" w:cs="Times New Roman"/>
      <w:kern w:val="0"/>
      <w:sz w:val="20"/>
      <w:szCs w:val="20"/>
    </w:rPr>
  </w:style>
  <w:style w:type="paragraph" w:customStyle="1" w:styleId="236">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left"/>
      <w:textAlignment w:val="bottom"/>
    </w:pPr>
    <w:rPr>
      <w:rFonts w:ascii="Times New Roman" w:hAnsi="Times New Roman" w:cs="Times New Roman"/>
      <w:kern w:val="0"/>
      <w:sz w:val="20"/>
      <w:szCs w:val="20"/>
    </w:rPr>
  </w:style>
  <w:style w:type="paragraph" w:customStyle="1" w:styleId="237">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rFonts w:ascii="Arial Unicode MS" w:hAnsi="Arial Unicode MS" w:cs="Times New Roman"/>
      <w:b/>
      <w:bCs/>
      <w:kern w:val="0"/>
      <w:sz w:val="18"/>
      <w:szCs w:val="18"/>
    </w:rPr>
  </w:style>
  <w:style w:type="paragraph" w:customStyle="1" w:styleId="238">
    <w:name w:val="xl9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rFonts w:ascii="Times New Roman" w:hAnsi="Times New Roman" w:cs="Times New Roman"/>
      <w:b/>
      <w:bCs/>
      <w:kern w:val="0"/>
      <w:sz w:val="20"/>
      <w:szCs w:val="20"/>
    </w:rPr>
  </w:style>
  <w:style w:type="paragraph" w:customStyle="1" w:styleId="239">
    <w:name w:val="xl10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bottom"/>
    </w:pPr>
    <w:rPr>
      <w:rFonts w:ascii="Arial Unicode MS" w:hAnsi="Arial Unicode MS" w:cs="Times New Roman"/>
      <w:kern w:val="0"/>
      <w:sz w:val="18"/>
      <w:szCs w:val="18"/>
    </w:rPr>
  </w:style>
  <w:style w:type="paragraph" w:customStyle="1" w:styleId="240">
    <w:name w:val="xl10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left"/>
      <w:textAlignment w:val="bottom"/>
    </w:pPr>
    <w:rPr>
      <w:rFonts w:ascii="Arial Unicode MS" w:hAnsi="Arial Unicode MS" w:cs="Times New Roman"/>
      <w:kern w:val="0"/>
      <w:sz w:val="20"/>
      <w:szCs w:val="20"/>
    </w:rPr>
  </w:style>
  <w:style w:type="paragraph" w:customStyle="1" w:styleId="241">
    <w:name w:val="xl102"/>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bottom"/>
    </w:pPr>
    <w:rPr>
      <w:rFonts w:ascii="Times New Roman" w:hAnsi="Times New Roman" w:cs="Times New Roman"/>
      <w:kern w:val="0"/>
      <w:sz w:val="20"/>
      <w:szCs w:val="20"/>
    </w:rPr>
  </w:style>
  <w:style w:type="paragraph" w:customStyle="1" w:styleId="242">
    <w:name w:val="xl10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rFonts w:ascii="Arial Unicode MS" w:hAnsi="Arial Unicode MS" w:cs="Times New Roman"/>
      <w:kern w:val="0"/>
      <w:sz w:val="18"/>
      <w:szCs w:val="18"/>
    </w:rPr>
  </w:style>
  <w:style w:type="paragraph" w:customStyle="1" w:styleId="243">
    <w:name w:val="xl104"/>
    <w:basedOn w:val="1"/>
    <w:autoRedefine/>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textAlignment w:val="bottom"/>
    </w:pPr>
    <w:rPr>
      <w:rFonts w:ascii="Arial Unicode MS" w:hAnsi="Arial Unicode MS" w:cs="Times New Roman"/>
      <w:kern w:val="0"/>
      <w:sz w:val="20"/>
      <w:szCs w:val="20"/>
    </w:rPr>
  </w:style>
  <w:style w:type="paragraph" w:customStyle="1" w:styleId="244">
    <w:name w:val="xl10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rFonts w:ascii="Times New Roman" w:hAnsi="Times New Roman" w:cs="Times New Roman"/>
      <w:kern w:val="0"/>
      <w:sz w:val="20"/>
      <w:szCs w:val="20"/>
    </w:rPr>
  </w:style>
  <w:style w:type="paragraph" w:customStyle="1" w:styleId="245">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bottom"/>
    </w:pPr>
    <w:rPr>
      <w:rFonts w:ascii="Times New Roman" w:hAnsi="Times New Roman" w:cs="Times New Roman"/>
      <w:kern w:val="0"/>
      <w:sz w:val="20"/>
      <w:szCs w:val="20"/>
    </w:rPr>
  </w:style>
  <w:style w:type="paragraph" w:customStyle="1" w:styleId="246">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Unicode MS" w:hAnsi="Arial Unicode MS" w:cs="Times New Roman"/>
      <w:kern w:val="0"/>
      <w:sz w:val="18"/>
      <w:szCs w:val="18"/>
    </w:rPr>
  </w:style>
  <w:style w:type="paragraph" w:customStyle="1" w:styleId="247">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cs="Times New Roman"/>
      <w:kern w:val="0"/>
      <w:sz w:val="20"/>
      <w:szCs w:val="20"/>
    </w:rPr>
  </w:style>
  <w:style w:type="paragraph" w:customStyle="1" w:styleId="248">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Unicode MS" w:hAnsi="Arial Unicode MS" w:cs="Times New Roman"/>
      <w:color w:val="000000"/>
      <w:kern w:val="0"/>
      <w:sz w:val="18"/>
      <w:szCs w:val="18"/>
    </w:rPr>
  </w:style>
  <w:style w:type="paragraph" w:customStyle="1" w:styleId="249">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cs="Times New Roman"/>
      <w:kern w:val="0"/>
      <w:sz w:val="20"/>
      <w:szCs w:val="20"/>
    </w:rPr>
  </w:style>
  <w:style w:type="paragraph" w:customStyle="1" w:styleId="250">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Times New Roman" w:hAnsi="Times New Roman" w:cs="Times New Roman"/>
      <w:b/>
      <w:bCs/>
      <w:kern w:val="0"/>
      <w:sz w:val="20"/>
      <w:szCs w:val="20"/>
    </w:rPr>
  </w:style>
  <w:style w:type="paragraph" w:customStyle="1" w:styleId="251">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Times New Roman" w:hAnsi="Times New Roman" w:cs="Times New Roman"/>
      <w:b/>
      <w:bCs/>
      <w:kern w:val="0"/>
      <w:sz w:val="20"/>
      <w:szCs w:val="20"/>
    </w:rPr>
  </w:style>
  <w:style w:type="paragraph" w:customStyle="1" w:styleId="252">
    <w:name w:val="xl11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bottom"/>
    </w:pPr>
    <w:rPr>
      <w:rFonts w:ascii="Arial Unicode MS" w:hAnsi="Arial Unicode MS" w:cs="Times New Roman"/>
      <w:color w:val="000000"/>
      <w:kern w:val="0"/>
      <w:sz w:val="18"/>
      <w:szCs w:val="18"/>
    </w:rPr>
  </w:style>
  <w:style w:type="paragraph" w:customStyle="1" w:styleId="253">
    <w:name w:val="xl11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bottom"/>
    </w:pPr>
    <w:rPr>
      <w:rFonts w:ascii="Arial Unicode MS" w:hAnsi="Arial Unicode MS" w:cs="Times New Roman"/>
      <w:kern w:val="0"/>
      <w:sz w:val="20"/>
      <w:szCs w:val="20"/>
    </w:rPr>
  </w:style>
  <w:style w:type="paragraph" w:customStyle="1" w:styleId="254">
    <w:name w:val="xl11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bottom"/>
    </w:pPr>
    <w:rPr>
      <w:rFonts w:ascii="Arial Unicode MS" w:hAnsi="Arial Unicode MS" w:cs="Times New Roman"/>
      <w:b/>
      <w:bCs/>
      <w:kern w:val="0"/>
      <w:sz w:val="18"/>
      <w:szCs w:val="18"/>
    </w:rPr>
  </w:style>
  <w:style w:type="paragraph" w:customStyle="1" w:styleId="255">
    <w:name w:val="xl116"/>
    <w:basedOn w:val="1"/>
    <w:autoRedefine/>
    <w:qFormat/>
    <w:uiPriority w:val="0"/>
    <w:pPr>
      <w:widowControl/>
      <w:pBdr>
        <w:top w:val="single" w:color="auto" w:sz="4" w:space="0"/>
        <w:left w:val="single" w:color="auto" w:sz="4" w:space="0"/>
        <w:right w:val="single" w:color="auto" w:sz="4" w:space="0"/>
      </w:pBdr>
      <w:shd w:val="clear" w:color="auto" w:fill="FFFF99"/>
      <w:spacing w:before="100" w:beforeAutospacing="1" w:after="100" w:afterAutospacing="1"/>
      <w:jc w:val="left"/>
      <w:textAlignment w:val="bottom"/>
    </w:pPr>
    <w:rPr>
      <w:rFonts w:ascii="Arial Unicode MS" w:hAnsi="Arial Unicode MS" w:cs="Times New Roman"/>
      <w:b/>
      <w:bCs/>
      <w:kern w:val="0"/>
      <w:sz w:val="20"/>
      <w:szCs w:val="20"/>
    </w:rPr>
  </w:style>
  <w:style w:type="paragraph" w:customStyle="1" w:styleId="256">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ascii="Arial" w:hAnsi="Arial" w:cs="Arial"/>
      <w:kern w:val="0"/>
      <w:sz w:val="18"/>
      <w:szCs w:val="18"/>
    </w:rPr>
  </w:style>
  <w:style w:type="paragraph" w:customStyle="1" w:styleId="257">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w:hAnsi="Arial" w:cs="Arial"/>
      <w:kern w:val="0"/>
      <w:sz w:val="18"/>
      <w:szCs w:val="18"/>
    </w:rPr>
  </w:style>
  <w:style w:type="paragraph" w:customStyle="1" w:styleId="258">
    <w:name w:val="xl11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rFonts w:ascii="Times New Roman" w:hAnsi="Times New Roman" w:cs="Times New Roman"/>
      <w:kern w:val="0"/>
      <w:sz w:val="20"/>
      <w:szCs w:val="20"/>
    </w:rPr>
  </w:style>
  <w:style w:type="paragraph" w:customStyle="1" w:styleId="259">
    <w:name w:val="xl12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bottom"/>
    </w:pPr>
    <w:rPr>
      <w:rFonts w:ascii="Times New Roman" w:hAnsi="Times New Roman" w:cs="Times New Roman"/>
      <w:kern w:val="0"/>
      <w:sz w:val="20"/>
      <w:szCs w:val="20"/>
    </w:rPr>
  </w:style>
  <w:style w:type="paragraph" w:customStyle="1" w:styleId="260">
    <w:name w:val="xl121"/>
    <w:basedOn w:val="1"/>
    <w:autoRedefine/>
    <w:qFormat/>
    <w:uiPriority w:val="0"/>
    <w:pPr>
      <w:widowControl/>
      <w:pBdr>
        <w:left w:val="single" w:color="auto" w:sz="4" w:space="0"/>
        <w:right w:val="single" w:color="auto" w:sz="4" w:space="0"/>
      </w:pBdr>
      <w:spacing w:before="100" w:beforeAutospacing="1" w:after="100" w:afterAutospacing="1"/>
      <w:textAlignment w:val="bottom"/>
    </w:pPr>
    <w:rPr>
      <w:rFonts w:ascii="Arial Unicode MS" w:hAnsi="Arial Unicode MS" w:cs="Times New Roman"/>
      <w:kern w:val="0"/>
      <w:sz w:val="20"/>
      <w:szCs w:val="20"/>
    </w:rPr>
  </w:style>
  <w:style w:type="paragraph" w:customStyle="1" w:styleId="261">
    <w:name w:val="xl122"/>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cs="Times New Roman"/>
      <w:b/>
      <w:bCs/>
      <w:kern w:val="0"/>
      <w:sz w:val="20"/>
      <w:szCs w:val="20"/>
    </w:rPr>
  </w:style>
  <w:style w:type="paragraph" w:customStyle="1" w:styleId="262">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cs="Times New Roman"/>
      <w:kern w:val="0"/>
      <w:sz w:val="22"/>
      <w:szCs w:val="22"/>
    </w:rPr>
  </w:style>
  <w:style w:type="paragraph" w:customStyle="1" w:styleId="263">
    <w:name w:val="xl124"/>
    <w:basedOn w:val="1"/>
    <w:autoRedefine/>
    <w:qFormat/>
    <w:uiPriority w:val="0"/>
    <w:pPr>
      <w:widowControl/>
      <w:pBdr>
        <w:top w:val="single" w:color="auto" w:sz="4" w:space="0"/>
        <w:left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cs="Times New Roman"/>
      <w:b/>
      <w:bCs/>
      <w:kern w:val="0"/>
      <w:sz w:val="22"/>
      <w:szCs w:val="22"/>
    </w:rPr>
  </w:style>
  <w:style w:type="paragraph" w:customStyle="1" w:styleId="264">
    <w:name w:val="xl125"/>
    <w:basedOn w:val="1"/>
    <w:autoRedefine/>
    <w:qFormat/>
    <w:uiPriority w:val="0"/>
    <w:pPr>
      <w:widowControl/>
      <w:pBdr>
        <w:top w:val="single" w:color="auto" w:sz="4" w:space="0"/>
        <w:left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cs="Times New Roman"/>
      <w:b/>
      <w:bCs/>
      <w:kern w:val="0"/>
      <w:sz w:val="20"/>
      <w:szCs w:val="20"/>
    </w:rPr>
  </w:style>
  <w:style w:type="paragraph" w:customStyle="1" w:styleId="265">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cs="Times New Roman"/>
      <w:kern w:val="0"/>
      <w:szCs w:val="21"/>
    </w:rPr>
  </w:style>
  <w:style w:type="paragraph" w:customStyle="1" w:styleId="266">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cs="Times New Roman"/>
      <w:color w:val="000000"/>
      <w:kern w:val="0"/>
      <w:szCs w:val="21"/>
    </w:rPr>
  </w:style>
  <w:style w:type="paragraph" w:customStyle="1" w:styleId="267">
    <w:name w:val="xl12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textAlignment w:val="bottom"/>
    </w:pPr>
    <w:rPr>
      <w:rFonts w:ascii="Arial Unicode MS" w:hAnsi="Arial Unicode MS" w:cs="Times New Roman"/>
      <w:kern w:val="0"/>
      <w:sz w:val="20"/>
      <w:szCs w:val="20"/>
    </w:rPr>
  </w:style>
  <w:style w:type="paragraph" w:customStyle="1" w:styleId="268">
    <w:name w:val="xl1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textAlignment w:val="bottom"/>
    </w:pPr>
    <w:rPr>
      <w:rFonts w:ascii="Arial Unicode MS" w:hAnsi="Arial Unicode MS" w:cs="Times New Roman"/>
      <w:b/>
      <w:bCs/>
      <w:kern w:val="0"/>
      <w:sz w:val="20"/>
      <w:szCs w:val="20"/>
    </w:rPr>
  </w:style>
  <w:style w:type="paragraph" w:customStyle="1" w:styleId="269">
    <w:name w:val="xl13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cs="Times New Roman"/>
      <w:b/>
      <w:bCs/>
      <w:color w:val="000000"/>
      <w:kern w:val="0"/>
      <w:szCs w:val="21"/>
    </w:rPr>
  </w:style>
  <w:style w:type="paragraph" w:customStyle="1" w:styleId="270">
    <w:name w:val="xl131"/>
    <w:basedOn w:val="1"/>
    <w:autoRedefine/>
    <w:qFormat/>
    <w:uiPriority w:val="0"/>
    <w:pPr>
      <w:widowControl/>
      <w:pBdr>
        <w:left w:val="single" w:color="auto" w:sz="4" w:space="0"/>
        <w:right w:val="single" w:color="auto" w:sz="4" w:space="0"/>
      </w:pBdr>
      <w:spacing w:before="100" w:beforeAutospacing="1" w:after="100" w:afterAutospacing="1"/>
      <w:textAlignment w:val="bottom"/>
    </w:pPr>
    <w:rPr>
      <w:rFonts w:ascii="Arial Unicode MS" w:hAnsi="Arial Unicode MS" w:cs="Times New Roman"/>
      <w:kern w:val="0"/>
      <w:sz w:val="22"/>
      <w:szCs w:val="22"/>
    </w:rPr>
  </w:style>
  <w:style w:type="paragraph" w:customStyle="1" w:styleId="271">
    <w:name w:val="xl132"/>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bottom"/>
    </w:pPr>
    <w:rPr>
      <w:rFonts w:ascii="Arial Unicode MS" w:hAnsi="Arial Unicode MS" w:cs="Times New Roman"/>
      <w:b/>
      <w:bCs/>
      <w:color w:val="000000"/>
      <w:kern w:val="0"/>
      <w:szCs w:val="21"/>
    </w:rPr>
  </w:style>
  <w:style w:type="paragraph" w:customStyle="1" w:styleId="272">
    <w:name w:val="xl1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Arial Unicode MS" w:hAnsi="Arial Unicode MS" w:cs="Times New Roman"/>
      <w:b/>
      <w:bCs/>
      <w:kern w:val="0"/>
      <w:sz w:val="20"/>
      <w:szCs w:val="20"/>
    </w:rPr>
  </w:style>
  <w:style w:type="paragraph" w:customStyle="1" w:styleId="273">
    <w:name w:val="xl1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Arial Unicode MS" w:hAnsi="Arial Unicode MS" w:cs="Times New Roman"/>
      <w:kern w:val="0"/>
      <w:sz w:val="20"/>
      <w:szCs w:val="20"/>
    </w:rPr>
  </w:style>
  <w:style w:type="paragraph" w:customStyle="1" w:styleId="274">
    <w:name w:val="xl1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ascii="Times New Roman" w:hAnsi="Times New Roman" w:cs="Times New Roman"/>
      <w:kern w:val="0"/>
      <w:sz w:val="20"/>
      <w:szCs w:val="20"/>
    </w:rPr>
  </w:style>
  <w:style w:type="paragraph" w:customStyle="1" w:styleId="275">
    <w:name w:val="xl1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Arial Unicode MS" w:hAnsi="Arial Unicode MS" w:cs="Times New Roman"/>
      <w:kern w:val="0"/>
      <w:sz w:val="20"/>
      <w:szCs w:val="20"/>
    </w:rPr>
  </w:style>
  <w:style w:type="paragraph" w:customStyle="1" w:styleId="276">
    <w:name w:val="xl1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Times New Roman" w:hAnsi="Times New Roman" w:cs="Times New Roman"/>
      <w:kern w:val="0"/>
      <w:sz w:val="20"/>
      <w:szCs w:val="20"/>
    </w:rPr>
  </w:style>
  <w:style w:type="paragraph" w:customStyle="1" w:styleId="277">
    <w:name w:val="xl13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bottom"/>
    </w:pPr>
    <w:rPr>
      <w:rFonts w:ascii="Arial" w:hAnsi="Arial" w:cs="Arial"/>
      <w:kern w:val="0"/>
      <w:sz w:val="20"/>
      <w:szCs w:val="20"/>
    </w:rPr>
  </w:style>
  <w:style w:type="paragraph" w:customStyle="1" w:styleId="278">
    <w:name w:val="xl1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Unicode MS" w:hAnsi="Arial Unicode MS" w:cs="Times New Roman"/>
      <w:kern w:val="0"/>
      <w:sz w:val="18"/>
      <w:szCs w:val="18"/>
    </w:rPr>
  </w:style>
  <w:style w:type="paragraph" w:customStyle="1" w:styleId="279">
    <w:name w:val="xl14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bottom"/>
    </w:pPr>
    <w:rPr>
      <w:rFonts w:ascii="Arial Unicode MS" w:hAnsi="Arial Unicode MS" w:cs="Times New Roman"/>
      <w:kern w:val="0"/>
      <w:sz w:val="18"/>
      <w:szCs w:val="18"/>
    </w:rPr>
  </w:style>
  <w:style w:type="paragraph" w:customStyle="1" w:styleId="280">
    <w:name w:val="xl1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ascii="Arial Unicode MS" w:hAnsi="Arial Unicode MS" w:cs="Times New Roman"/>
      <w:kern w:val="0"/>
      <w:sz w:val="20"/>
      <w:szCs w:val="20"/>
    </w:rPr>
  </w:style>
  <w:style w:type="paragraph" w:customStyle="1" w:styleId="281">
    <w:name w:val="xl1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Times New Roman" w:hAnsi="Times New Roman" w:cs="Times New Roman"/>
      <w:kern w:val="0"/>
      <w:sz w:val="18"/>
      <w:szCs w:val="18"/>
    </w:rPr>
  </w:style>
  <w:style w:type="paragraph" w:customStyle="1" w:styleId="282">
    <w:name w:val="xl1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Arial Unicode MS" w:hAnsi="Arial Unicode MS" w:cs="Times New Roman"/>
      <w:kern w:val="0"/>
      <w:sz w:val="18"/>
      <w:szCs w:val="18"/>
    </w:rPr>
  </w:style>
  <w:style w:type="paragraph" w:customStyle="1" w:styleId="283">
    <w:name w:val="xl14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Arial Unicode MS" w:hAnsi="Arial Unicode MS" w:cs="Times New Roman"/>
      <w:kern w:val="0"/>
      <w:sz w:val="18"/>
      <w:szCs w:val="18"/>
    </w:rPr>
  </w:style>
  <w:style w:type="paragraph" w:customStyle="1" w:styleId="284">
    <w:name w:val="xl14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Arial Unicode MS" w:hAnsi="Arial Unicode MS" w:cs="Times New Roman"/>
      <w:kern w:val="0"/>
      <w:sz w:val="20"/>
      <w:szCs w:val="20"/>
    </w:rPr>
  </w:style>
  <w:style w:type="paragraph" w:customStyle="1" w:styleId="285">
    <w:name w:val="样式1.....表格"/>
    <w:basedOn w:val="1"/>
    <w:next w:val="1"/>
    <w:autoRedefine/>
    <w:qFormat/>
    <w:uiPriority w:val="0"/>
    <w:pPr>
      <w:jc w:val="center"/>
    </w:pPr>
    <w:rPr>
      <w:rFonts w:ascii="Times New Roman" w:hAnsi="Times New Roman" w:cs="Times New Roman"/>
      <w:sz w:val="24"/>
    </w:rPr>
  </w:style>
  <w:style w:type="character" w:customStyle="1" w:styleId="286">
    <w:name w:val="标题 1 Char1"/>
    <w:autoRedefine/>
    <w:qFormat/>
    <w:uiPriority w:val="0"/>
    <w:rPr>
      <w:rFonts w:ascii="楷体_GB2312" w:eastAsia="楷体_GB2312"/>
      <w:b/>
      <w:bCs/>
      <w:kern w:val="44"/>
      <w:sz w:val="32"/>
      <w:szCs w:val="44"/>
      <w:lang w:val="en-US" w:eastAsia="zh-CN" w:bidi="ar-SA"/>
    </w:rPr>
  </w:style>
  <w:style w:type="character" w:customStyle="1" w:styleId="287">
    <w:name w:val="正文缩进 Char2"/>
    <w:autoRedefine/>
    <w:qFormat/>
    <w:uiPriority w:val="0"/>
    <w:rPr>
      <w:rFonts w:eastAsia="仿宋_GB2312"/>
      <w:bCs/>
      <w:sz w:val="28"/>
      <w:lang w:val="en-US" w:eastAsia="zh-CN" w:bidi="ar-SA"/>
    </w:rPr>
  </w:style>
  <w:style w:type="paragraph" w:customStyle="1" w:styleId="288">
    <w:name w:val="新正文"/>
    <w:basedOn w:val="1"/>
    <w:autoRedefine/>
    <w:qFormat/>
    <w:uiPriority w:val="0"/>
    <w:pPr>
      <w:spacing w:line="480" w:lineRule="exact"/>
      <w:ind w:firstLine="567"/>
    </w:pPr>
    <w:rPr>
      <w:rFonts w:ascii="仿宋_GB2312" w:hAnsi="Times New Roman" w:eastAsia="仿宋_GB2312" w:cs="Times New Roman"/>
      <w:bCs/>
      <w:kern w:val="0"/>
      <w:sz w:val="28"/>
      <w:szCs w:val="20"/>
    </w:rPr>
  </w:style>
  <w:style w:type="character" w:customStyle="1" w:styleId="289">
    <w:name w:val="新正文 Char"/>
    <w:autoRedefine/>
    <w:qFormat/>
    <w:uiPriority w:val="0"/>
    <w:rPr>
      <w:rFonts w:ascii="仿宋_GB2312" w:eastAsia="仿宋_GB2312"/>
      <w:bCs/>
      <w:sz w:val="28"/>
      <w:lang w:val="en-US" w:eastAsia="zh-CN" w:bidi="ar-SA"/>
    </w:rPr>
  </w:style>
  <w:style w:type="paragraph" w:customStyle="1" w:styleId="290">
    <w:name w:val="表格内容"/>
    <w:basedOn w:val="1"/>
    <w:autoRedefine/>
    <w:qFormat/>
    <w:uiPriority w:val="0"/>
    <w:pPr>
      <w:overflowPunct w:val="0"/>
      <w:adjustRightInd w:val="0"/>
      <w:spacing w:before="40" w:after="60" w:line="200" w:lineRule="atLeast"/>
      <w:textAlignment w:val="baseline"/>
    </w:pPr>
    <w:rPr>
      <w:rFonts w:ascii="Arial" w:hAnsi="Arial" w:eastAsia="仿宋_GB2312" w:cs="Times New Roman"/>
      <w:kern w:val="0"/>
      <w:szCs w:val="20"/>
    </w:rPr>
  </w:style>
  <w:style w:type="paragraph" w:customStyle="1" w:styleId="291">
    <w:name w:val="正文样式1"/>
    <w:basedOn w:val="1"/>
    <w:autoRedefine/>
    <w:qFormat/>
    <w:uiPriority w:val="0"/>
    <w:pPr>
      <w:adjustRightInd w:val="0"/>
      <w:spacing w:line="360" w:lineRule="auto"/>
      <w:ind w:firstLine="480" w:firstLineChars="200"/>
      <w:textAlignment w:val="baseline"/>
    </w:pPr>
    <w:rPr>
      <w:rFonts w:ascii="Arial" w:hAnsi="Arial" w:cs="Arial"/>
      <w:kern w:val="0"/>
      <w:sz w:val="24"/>
      <w:szCs w:val="20"/>
    </w:rPr>
  </w:style>
  <w:style w:type="paragraph" w:customStyle="1" w:styleId="292">
    <w:name w:val="表内容"/>
    <w:basedOn w:val="1"/>
    <w:autoRedefine/>
    <w:qFormat/>
    <w:uiPriority w:val="0"/>
    <w:pPr>
      <w:adjustRightInd w:val="0"/>
      <w:snapToGrid w:val="0"/>
      <w:spacing w:after="120"/>
      <w:jc w:val="left"/>
      <w:textAlignment w:val="bottom"/>
    </w:pPr>
    <w:rPr>
      <w:rFonts w:ascii="Arial" w:hAnsi="Arial" w:eastAsia="楷体_GB2312" w:cs="Times New Roman"/>
      <w:kern w:val="0"/>
      <w:sz w:val="24"/>
      <w:szCs w:val="20"/>
    </w:rPr>
  </w:style>
  <w:style w:type="paragraph" w:customStyle="1" w:styleId="293">
    <w:name w:val="正文e"/>
    <w:basedOn w:val="1"/>
    <w:autoRedefine/>
    <w:qFormat/>
    <w:uiPriority w:val="0"/>
    <w:rPr>
      <w:rFonts w:ascii="Arial" w:hAnsi="Arial" w:cs="Arial"/>
      <w:sz w:val="24"/>
      <w:szCs w:val="20"/>
    </w:rPr>
  </w:style>
  <w:style w:type="paragraph" w:customStyle="1" w:styleId="294">
    <w:name w:val="Char Char Char1 Char Char Char1 Char Char Char1 Char"/>
    <w:basedOn w:val="1"/>
    <w:autoRedefine/>
    <w:qFormat/>
    <w:uiPriority w:val="0"/>
    <w:pPr>
      <w:spacing w:line="400" w:lineRule="exact"/>
      <w:ind w:firstLine="200" w:firstLineChars="200"/>
    </w:pPr>
    <w:rPr>
      <w:rFonts w:ascii="Times New Roman" w:hAnsi="Times New Roman" w:cs="Times New Roman"/>
      <w:sz w:val="28"/>
      <w:szCs w:val="28"/>
    </w:rPr>
  </w:style>
  <w:style w:type="paragraph" w:customStyle="1" w:styleId="295">
    <w:name w:val="Char Char Char Char1"/>
    <w:basedOn w:val="1"/>
    <w:autoRedefine/>
    <w:qFormat/>
    <w:uiPriority w:val="0"/>
    <w:pPr>
      <w:widowControl/>
      <w:adjustRightInd w:val="0"/>
      <w:spacing w:after="160" w:line="240" w:lineRule="exact"/>
      <w:jc w:val="left"/>
      <w:textAlignment w:val="baseline"/>
    </w:pPr>
    <w:rPr>
      <w:rFonts w:ascii="Arial" w:hAnsi="Arial" w:eastAsia="Times New Roman" w:cs="Verdana"/>
      <w:b/>
      <w:kern w:val="0"/>
      <w:sz w:val="24"/>
      <w:lang w:eastAsia="en-US"/>
    </w:rPr>
  </w:style>
  <w:style w:type="paragraph" w:customStyle="1" w:styleId="296">
    <w:name w:val="Plain Text1"/>
    <w:basedOn w:val="1"/>
    <w:autoRedefine/>
    <w:qFormat/>
    <w:uiPriority w:val="0"/>
    <w:pPr>
      <w:adjustRightInd w:val="0"/>
      <w:spacing w:line="500" w:lineRule="exact"/>
      <w:textAlignment w:val="baseline"/>
    </w:pPr>
    <w:rPr>
      <w:rFonts w:ascii="宋体" w:hAnsi="Courier New" w:eastAsia="仿宋_GB2312" w:cs="Times New Roman"/>
      <w:sz w:val="28"/>
      <w:szCs w:val="20"/>
    </w:rPr>
  </w:style>
  <w:style w:type="paragraph" w:customStyle="1" w:styleId="297">
    <w:name w:val="Body Text 21"/>
    <w:basedOn w:val="1"/>
    <w:autoRedefine/>
    <w:qFormat/>
    <w:uiPriority w:val="0"/>
    <w:pPr>
      <w:adjustRightInd w:val="0"/>
      <w:spacing w:line="500" w:lineRule="exact"/>
      <w:textAlignment w:val="baseline"/>
    </w:pPr>
    <w:rPr>
      <w:rFonts w:ascii="Times New Roman" w:hAnsi="Times New Roman" w:eastAsia="仿宋体" w:cs="Times New Roman"/>
      <w:sz w:val="24"/>
      <w:szCs w:val="20"/>
    </w:rPr>
  </w:style>
  <w:style w:type="character" w:customStyle="1" w:styleId="298">
    <w:name w:val="Body Text 21 Char"/>
    <w:autoRedefine/>
    <w:qFormat/>
    <w:uiPriority w:val="0"/>
    <w:rPr>
      <w:rFonts w:eastAsia="仿宋体"/>
      <w:kern w:val="2"/>
      <w:sz w:val="24"/>
      <w:lang w:val="en-US" w:eastAsia="zh-CN" w:bidi="ar-SA"/>
    </w:rPr>
  </w:style>
  <w:style w:type="paragraph" w:customStyle="1" w:styleId="299">
    <w:name w:val="表题"/>
    <w:basedOn w:val="46"/>
    <w:autoRedefine/>
    <w:qFormat/>
    <w:uiPriority w:val="0"/>
    <w:pPr>
      <w:widowControl w:val="0"/>
      <w:overflowPunct/>
      <w:autoSpaceDE/>
      <w:autoSpaceDN/>
      <w:adjustRightInd/>
      <w:spacing w:beforeLines="50" w:line="480" w:lineRule="exact"/>
      <w:textAlignment w:val="auto"/>
    </w:pPr>
    <w:rPr>
      <w:rFonts w:eastAsia="黑体"/>
      <w:kern w:val="2"/>
      <w:sz w:val="28"/>
      <w:szCs w:val="24"/>
      <w:lang w:val="en-US"/>
    </w:rPr>
  </w:style>
  <w:style w:type="character" w:customStyle="1" w:styleId="300">
    <w:name w:val="HTML 预设格式 Char"/>
    <w:basedOn w:val="63"/>
    <w:link w:val="56"/>
    <w:autoRedefine/>
    <w:qFormat/>
    <w:uiPriority w:val="0"/>
    <w:rPr>
      <w:rFonts w:ascii="黑体" w:hAnsi="Courier New" w:eastAsia="黑体" w:cs="Courier New"/>
      <w:kern w:val="0"/>
      <w:sz w:val="20"/>
      <w:szCs w:val="20"/>
    </w:rPr>
  </w:style>
  <w:style w:type="character" w:customStyle="1" w:styleId="301">
    <w:name w:val="Plain Text Char1 Char"/>
    <w:autoRedefine/>
    <w:qFormat/>
    <w:uiPriority w:val="0"/>
    <w:rPr>
      <w:rFonts w:ascii="宋体" w:hAnsi="Courier New" w:eastAsia="宋体"/>
      <w:kern w:val="2"/>
      <w:sz w:val="21"/>
      <w:lang w:val="en-US" w:eastAsia="zh-CN" w:bidi="ar-SA"/>
    </w:rPr>
  </w:style>
  <w:style w:type="paragraph" w:customStyle="1" w:styleId="302">
    <w:name w:val="表头"/>
    <w:basedOn w:val="1"/>
    <w:autoRedefine/>
    <w:qFormat/>
    <w:uiPriority w:val="0"/>
    <w:pPr>
      <w:adjustRightInd w:val="0"/>
      <w:spacing w:line="320" w:lineRule="atLeast"/>
      <w:jc w:val="center"/>
      <w:textAlignment w:val="baseline"/>
    </w:pPr>
    <w:rPr>
      <w:rFonts w:ascii="Times New Roman" w:hAnsi="Times New Roman" w:eastAsia="黑体" w:cs="Times New Roman"/>
      <w:spacing w:val="-10"/>
      <w:kern w:val="0"/>
      <w:sz w:val="28"/>
      <w:szCs w:val="20"/>
    </w:rPr>
  </w:style>
  <w:style w:type="paragraph" w:customStyle="1" w:styleId="303">
    <w:name w:val="表蕊"/>
    <w:basedOn w:val="1"/>
    <w:autoRedefine/>
    <w:qFormat/>
    <w:uiPriority w:val="0"/>
    <w:pPr>
      <w:spacing w:line="280" w:lineRule="atLeast"/>
      <w:jc w:val="left"/>
    </w:pPr>
    <w:rPr>
      <w:rFonts w:ascii="宋体" w:hAnsi="Times New Roman" w:eastAsia="仿宋_GB2312" w:cs="Times New Roman"/>
      <w:spacing w:val="-10"/>
      <w:sz w:val="28"/>
      <w:szCs w:val="20"/>
    </w:rPr>
  </w:style>
  <w:style w:type="paragraph" w:customStyle="1" w:styleId="304">
    <w:name w:val="标题1"/>
    <w:basedOn w:val="2"/>
    <w:autoRedefine/>
    <w:qFormat/>
    <w:uiPriority w:val="0"/>
    <w:pPr>
      <w:spacing w:before="240" w:after="240" w:line="500" w:lineRule="exact"/>
    </w:pPr>
    <w:rPr>
      <w:rFonts w:ascii="Times New Roman" w:hAnsi="Times New Roman" w:eastAsia="黑体" w:cs="Times New Roman"/>
      <w:sz w:val="30"/>
    </w:rPr>
  </w:style>
  <w:style w:type="character" w:customStyle="1" w:styleId="305">
    <w:name w:val="标题1 Char"/>
    <w:autoRedefine/>
    <w:qFormat/>
    <w:uiPriority w:val="0"/>
    <w:rPr>
      <w:rFonts w:eastAsia="黑体"/>
      <w:b/>
      <w:bCs/>
      <w:kern w:val="44"/>
      <w:sz w:val="30"/>
      <w:szCs w:val="44"/>
      <w:lang w:val="en-US" w:eastAsia="zh-CN" w:bidi="ar-SA"/>
    </w:rPr>
  </w:style>
  <w:style w:type="character" w:customStyle="1" w:styleId="306">
    <w:name w:val="richtextmngstyle1"/>
    <w:autoRedefine/>
    <w:qFormat/>
    <w:uiPriority w:val="0"/>
    <w:rPr>
      <w:color w:val="000000"/>
      <w:spacing w:val="15"/>
      <w:sz w:val="21"/>
      <w:szCs w:val="21"/>
      <w:u w:val="none"/>
    </w:rPr>
  </w:style>
  <w:style w:type="paragraph" w:customStyle="1" w:styleId="307">
    <w:name w:val="表格文字"/>
    <w:basedOn w:val="1"/>
    <w:autoRedefine/>
    <w:qFormat/>
    <w:uiPriority w:val="0"/>
    <w:pPr>
      <w:spacing w:line="400" w:lineRule="exact"/>
      <w:jc w:val="center"/>
    </w:pPr>
    <w:rPr>
      <w:rFonts w:ascii="Times New Roman" w:hAnsi="Times New Roman" w:eastAsia="仿宋_GB2312" w:cs="Times New Roman"/>
      <w:kern w:val="0"/>
      <w:sz w:val="24"/>
    </w:rPr>
  </w:style>
  <w:style w:type="paragraph" w:customStyle="1" w:styleId="308">
    <w:name w:val="表题格式"/>
    <w:basedOn w:val="1"/>
    <w:autoRedefine/>
    <w:qFormat/>
    <w:uiPriority w:val="0"/>
    <w:pPr>
      <w:spacing w:line="440" w:lineRule="exact"/>
      <w:ind w:firstLine="377" w:firstLineChars="377"/>
    </w:pPr>
    <w:rPr>
      <w:rFonts w:ascii="Times New Roman" w:hAnsi="Times New Roman" w:eastAsia="黑体" w:cs="Times New Roman"/>
      <w:kern w:val="0"/>
      <w:sz w:val="24"/>
      <w:szCs w:val="20"/>
    </w:rPr>
  </w:style>
  <w:style w:type="paragraph" w:customStyle="1" w:styleId="309">
    <w:name w:val="样式3"/>
    <w:basedOn w:val="35"/>
    <w:autoRedefine/>
    <w:qFormat/>
    <w:uiPriority w:val="0"/>
    <w:pPr>
      <w:spacing w:line="500" w:lineRule="exact"/>
      <w:ind w:left="0" w:leftChars="0"/>
    </w:pPr>
    <w:rPr>
      <w:rFonts w:eastAsia="黑体"/>
      <w:bCs/>
      <w:kern w:val="0"/>
      <w:sz w:val="30"/>
      <w:szCs w:val="20"/>
    </w:rPr>
  </w:style>
  <w:style w:type="paragraph" w:customStyle="1" w:styleId="310">
    <w:name w:val="正文王"/>
    <w:basedOn w:val="33"/>
    <w:autoRedefine/>
    <w:qFormat/>
    <w:uiPriority w:val="0"/>
    <w:pPr>
      <w:spacing w:line="440" w:lineRule="exact"/>
    </w:pPr>
    <w:rPr>
      <w:rFonts w:ascii="Arial" w:hAnsi="Arial" w:eastAsia="仿宋_GB2312"/>
      <w:snapToGrid w:val="0"/>
      <w:kern w:val="0"/>
      <w:sz w:val="24"/>
    </w:rPr>
  </w:style>
  <w:style w:type="paragraph" w:customStyle="1" w:styleId="311">
    <w:name w:val="24"/>
    <w:basedOn w:val="1"/>
    <w:next w:val="50"/>
    <w:autoRedefine/>
    <w:qFormat/>
    <w:uiPriority w:val="0"/>
    <w:pPr>
      <w:spacing w:line="500" w:lineRule="exact"/>
      <w:ind w:firstLine="560" w:firstLineChars="200"/>
    </w:pPr>
    <w:rPr>
      <w:rFonts w:ascii="仿宋_GB2312" w:hAnsi="Times New Roman" w:eastAsia="仿宋_GB2312" w:cs="Times New Roman"/>
      <w:sz w:val="28"/>
      <w:szCs w:val="20"/>
    </w:rPr>
  </w:style>
  <w:style w:type="paragraph" w:customStyle="1" w:styleId="312">
    <w:name w:val="23"/>
    <w:basedOn w:val="1"/>
    <w:next w:val="25"/>
    <w:autoRedefine/>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13">
    <w:name w:val="xl5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500" w:lineRule="exact"/>
      <w:jc w:val="center"/>
      <w:textAlignment w:val="center"/>
    </w:pPr>
    <w:rPr>
      <w:rFonts w:ascii="宋体" w:hAnsi="宋体" w:eastAsia="仿宋_GB2312" w:cs="Times New Roman"/>
      <w:kern w:val="0"/>
      <w:sz w:val="18"/>
      <w:szCs w:val="18"/>
    </w:rPr>
  </w:style>
  <w:style w:type="paragraph" w:customStyle="1" w:styleId="314">
    <w:name w:val="xl2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500" w:lineRule="exact"/>
      <w:jc w:val="center"/>
      <w:textAlignment w:val="center"/>
    </w:pPr>
    <w:rPr>
      <w:rFonts w:ascii="Arial Unicode MS" w:hAnsi="Arial Unicode MS" w:eastAsia="Arial Unicode MS" w:cs="Times New Roman"/>
      <w:kern w:val="0"/>
      <w:sz w:val="24"/>
    </w:rPr>
  </w:style>
  <w:style w:type="paragraph" w:customStyle="1" w:styleId="315">
    <w:name w:val="报告书表格"/>
    <w:basedOn w:val="1"/>
    <w:autoRedefine/>
    <w:qFormat/>
    <w:uiPriority w:val="0"/>
    <w:pPr>
      <w:adjustRightInd w:val="0"/>
      <w:spacing w:line="400" w:lineRule="exact"/>
      <w:jc w:val="center"/>
      <w:textAlignment w:val="baseline"/>
    </w:pPr>
    <w:rPr>
      <w:rFonts w:ascii="Times New Roman" w:hAnsi="Times New Roman" w:eastAsia="仿宋_GB2312" w:cs="Times New Roman"/>
      <w:kern w:val="0"/>
      <w:sz w:val="24"/>
      <w:szCs w:val="20"/>
    </w:rPr>
  </w:style>
  <w:style w:type="character" w:customStyle="1" w:styleId="316">
    <w:name w:val="h1 Char"/>
    <w:autoRedefine/>
    <w:qFormat/>
    <w:uiPriority w:val="0"/>
    <w:rPr>
      <w:rFonts w:ascii="黑体" w:eastAsia="黑体"/>
      <w:kern w:val="2"/>
      <w:sz w:val="30"/>
      <w:lang w:val="en-US" w:eastAsia="zh-CN" w:bidi="ar-SA"/>
    </w:rPr>
  </w:style>
  <w:style w:type="paragraph" w:customStyle="1" w:styleId="317">
    <w:name w:val="Date1"/>
    <w:basedOn w:val="1"/>
    <w:next w:val="1"/>
    <w:autoRedefine/>
    <w:qFormat/>
    <w:uiPriority w:val="0"/>
    <w:pPr>
      <w:adjustRightInd w:val="0"/>
      <w:spacing w:line="500" w:lineRule="exact"/>
      <w:textAlignment w:val="baseline"/>
    </w:pPr>
    <w:rPr>
      <w:rFonts w:ascii="Times New Roman" w:hAnsi="Times New Roman" w:eastAsia="仿宋_GB2312" w:cs="Times New Roman"/>
      <w:sz w:val="28"/>
      <w:szCs w:val="20"/>
    </w:rPr>
  </w:style>
  <w:style w:type="paragraph" w:customStyle="1" w:styleId="318">
    <w:name w:val="环表头"/>
    <w:basedOn w:val="1"/>
    <w:autoRedefine/>
    <w:qFormat/>
    <w:uiPriority w:val="0"/>
    <w:pPr>
      <w:widowControl/>
      <w:tabs>
        <w:tab w:val="left" w:pos="283"/>
        <w:tab w:val="left" w:pos="5094"/>
      </w:tabs>
      <w:adjustRightInd w:val="0"/>
      <w:spacing w:before="62" w:after="31" w:line="500" w:lineRule="exact"/>
      <w:ind w:left="493" w:right="28"/>
      <w:jc w:val="center"/>
      <w:textAlignment w:val="baseline"/>
    </w:pPr>
    <w:rPr>
      <w:rFonts w:ascii="宋体" w:hAnsi="宋体" w:eastAsia="仿宋_GB2312" w:cs="Times New Roman"/>
      <w:bCs/>
      <w:kern w:val="24"/>
      <w:sz w:val="28"/>
      <w:szCs w:val="28"/>
    </w:rPr>
  </w:style>
  <w:style w:type="paragraph" w:customStyle="1" w:styleId="319">
    <w:name w:val="环表"/>
    <w:basedOn w:val="1"/>
    <w:autoRedefine/>
    <w:qFormat/>
    <w:uiPriority w:val="0"/>
    <w:pPr>
      <w:widowControl/>
      <w:tabs>
        <w:tab w:val="left" w:pos="5094"/>
      </w:tabs>
      <w:adjustRightInd w:val="0"/>
      <w:spacing w:before="120" w:after="120" w:line="312" w:lineRule="atLeast"/>
      <w:ind w:right="29"/>
      <w:jc w:val="center"/>
      <w:textAlignment w:val="baseline"/>
    </w:pPr>
    <w:rPr>
      <w:rFonts w:ascii="仿宋_GB2312" w:hAnsi="Courier New" w:eastAsia="仿宋_GB2312" w:cs="Times New Roman"/>
      <w:kern w:val="0"/>
      <w:sz w:val="28"/>
    </w:rPr>
  </w:style>
  <w:style w:type="paragraph" w:customStyle="1" w:styleId="320">
    <w:name w:val="proposal"/>
    <w:basedOn w:val="1"/>
    <w:autoRedefine/>
    <w:qFormat/>
    <w:uiPriority w:val="0"/>
    <w:pPr>
      <w:widowControl/>
      <w:autoSpaceDE w:val="0"/>
      <w:autoSpaceDN w:val="0"/>
      <w:spacing w:line="300" w:lineRule="auto"/>
      <w:ind w:left="1440" w:hanging="1440"/>
    </w:pPr>
    <w:rPr>
      <w:rFonts w:ascii="Times New Roman" w:hAnsi="Times New Roman" w:eastAsia="仿宋_GB2312" w:cs="Times New Roman"/>
      <w:kern w:val="0"/>
      <w:sz w:val="24"/>
      <w:lang w:val="en-GB" w:eastAsia="en-GB"/>
    </w:rPr>
  </w:style>
  <w:style w:type="paragraph" w:customStyle="1" w:styleId="321">
    <w:name w:val="样式 样式 题注 + 两端对齐 + 宋体"/>
    <w:basedOn w:val="1"/>
    <w:autoRedefine/>
    <w:qFormat/>
    <w:uiPriority w:val="0"/>
    <w:pPr>
      <w:keepNext/>
      <w:spacing w:line="360" w:lineRule="auto"/>
      <w:jc w:val="center"/>
    </w:pPr>
    <w:rPr>
      <w:rFonts w:ascii="宋体" w:hAnsi="宋体" w:eastAsia="仿宋_GB2312" w:cs="Times New Roman"/>
      <w:snapToGrid w:val="0"/>
      <w:kern w:val="0"/>
      <w:sz w:val="28"/>
      <w:szCs w:val="20"/>
    </w:rPr>
  </w:style>
  <w:style w:type="paragraph" w:customStyle="1" w:styleId="322">
    <w:name w:val="我的样式（正文）"/>
    <w:basedOn w:val="1"/>
    <w:autoRedefine/>
    <w:qFormat/>
    <w:uiPriority w:val="0"/>
    <w:pPr>
      <w:spacing w:line="440" w:lineRule="exact"/>
    </w:pPr>
    <w:rPr>
      <w:rFonts w:ascii="宋体" w:hAnsi="Times New Roman" w:eastAsia="仿宋_GB2312" w:cs="Times New Roman"/>
      <w:sz w:val="28"/>
      <w:szCs w:val="20"/>
    </w:rPr>
  </w:style>
  <w:style w:type="paragraph" w:customStyle="1" w:styleId="323">
    <w:name w:val="xl63"/>
    <w:basedOn w:val="1"/>
    <w:autoRedefine/>
    <w:qFormat/>
    <w:uiPriority w:val="0"/>
    <w:pPr>
      <w:widowControl/>
      <w:spacing w:before="100" w:beforeAutospacing="1" w:after="100" w:afterAutospacing="1" w:line="500" w:lineRule="exact"/>
      <w:jc w:val="center"/>
    </w:pPr>
    <w:rPr>
      <w:rFonts w:ascii="宋体" w:hAnsi="宋体" w:eastAsia="仿宋_GB2312" w:cs="宋体"/>
      <w:b/>
      <w:bCs/>
      <w:kern w:val="0"/>
      <w:sz w:val="24"/>
    </w:rPr>
  </w:style>
  <w:style w:type="paragraph" w:customStyle="1" w:styleId="324">
    <w:name w:val="文本框"/>
    <w:basedOn w:val="1"/>
    <w:next w:val="1"/>
    <w:autoRedefine/>
    <w:qFormat/>
    <w:uiPriority w:val="0"/>
    <w:pPr>
      <w:widowControl/>
      <w:spacing w:line="320" w:lineRule="exact"/>
      <w:ind w:firstLine="200" w:firstLineChars="200"/>
      <w:jc w:val="center"/>
    </w:pPr>
    <w:rPr>
      <w:rFonts w:ascii="仿宋_GB2312" w:hAnsi="Times New Roman" w:eastAsia="仿宋_GB2312" w:cs="Times New Roman"/>
      <w:kern w:val="0"/>
      <w:sz w:val="24"/>
    </w:rPr>
  </w:style>
  <w:style w:type="paragraph" w:customStyle="1" w:styleId="325">
    <w:name w:val="22"/>
    <w:basedOn w:val="1"/>
    <w:next w:val="25"/>
    <w:autoRedefine/>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26">
    <w:name w:val="21"/>
    <w:basedOn w:val="1"/>
    <w:next w:val="25"/>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27">
    <w:name w:val="19"/>
    <w:basedOn w:val="1"/>
    <w:next w:val="25"/>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28">
    <w:name w:val="17"/>
    <w:basedOn w:val="1"/>
    <w:next w:val="50"/>
    <w:qFormat/>
    <w:uiPriority w:val="0"/>
    <w:pPr>
      <w:spacing w:line="500" w:lineRule="exact"/>
      <w:ind w:firstLine="560" w:firstLineChars="200"/>
    </w:pPr>
    <w:rPr>
      <w:rFonts w:ascii="仿宋_GB2312" w:hAnsi="Times New Roman" w:eastAsia="仿宋_GB2312" w:cs="Times New Roman"/>
      <w:sz w:val="28"/>
      <w:szCs w:val="20"/>
    </w:rPr>
  </w:style>
  <w:style w:type="paragraph" w:customStyle="1" w:styleId="329">
    <w:name w:val="8"/>
    <w:basedOn w:val="1"/>
    <w:next w:val="50"/>
    <w:qFormat/>
    <w:uiPriority w:val="0"/>
    <w:pPr>
      <w:spacing w:line="500" w:lineRule="exact"/>
      <w:ind w:firstLine="560" w:firstLineChars="200"/>
    </w:pPr>
    <w:rPr>
      <w:rFonts w:ascii="仿宋_GB2312" w:hAnsi="Times New Roman" w:eastAsia="仿宋_GB2312" w:cs="Times New Roman"/>
      <w:sz w:val="28"/>
      <w:szCs w:val="20"/>
    </w:rPr>
  </w:style>
  <w:style w:type="paragraph" w:customStyle="1" w:styleId="330">
    <w:name w:val="7"/>
    <w:basedOn w:val="1"/>
    <w:next w:val="25"/>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31">
    <w:name w:val="6"/>
    <w:basedOn w:val="1"/>
    <w:next w:val="25"/>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32">
    <w:name w:val="5"/>
    <w:basedOn w:val="1"/>
    <w:next w:val="25"/>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33">
    <w:name w:val="16"/>
    <w:basedOn w:val="1"/>
    <w:next w:val="33"/>
    <w:qFormat/>
    <w:uiPriority w:val="0"/>
    <w:pPr>
      <w:spacing w:line="500" w:lineRule="exact"/>
    </w:pPr>
    <w:rPr>
      <w:rFonts w:ascii="宋体" w:hAnsi="Courier New" w:eastAsia="仿宋_GB2312" w:cs="Times New Roman"/>
      <w:sz w:val="28"/>
      <w:szCs w:val="20"/>
    </w:rPr>
  </w:style>
  <w:style w:type="paragraph" w:customStyle="1" w:styleId="334">
    <w:name w:val="正文文本 21"/>
    <w:basedOn w:val="1"/>
    <w:next w:val="25"/>
    <w:qFormat/>
    <w:uiPriority w:val="0"/>
    <w:pPr>
      <w:spacing w:after="120" w:line="500" w:lineRule="exact"/>
      <w:ind w:left="420" w:leftChars="200"/>
    </w:pPr>
    <w:rPr>
      <w:rFonts w:ascii="仿宋_GB2312" w:hAnsi="Times New Roman" w:eastAsia="仿宋_GB2312" w:cs="Times New Roman"/>
      <w:sz w:val="28"/>
      <w:szCs w:val="28"/>
    </w:rPr>
  </w:style>
  <w:style w:type="paragraph" w:customStyle="1" w:styleId="335">
    <w:name w:val="14"/>
    <w:basedOn w:val="1"/>
    <w:next w:val="25"/>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36">
    <w:name w:val="13"/>
    <w:basedOn w:val="1"/>
    <w:next w:val="25"/>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37">
    <w:name w:val="12"/>
    <w:basedOn w:val="1"/>
    <w:next w:val="25"/>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38">
    <w:name w:val="10"/>
    <w:basedOn w:val="1"/>
    <w:next w:val="25"/>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39">
    <w:name w:val="4"/>
    <w:basedOn w:val="1"/>
    <w:next w:val="50"/>
    <w:qFormat/>
    <w:uiPriority w:val="0"/>
    <w:pPr>
      <w:spacing w:line="500" w:lineRule="exact"/>
      <w:ind w:firstLine="560" w:firstLineChars="200"/>
    </w:pPr>
    <w:rPr>
      <w:rFonts w:ascii="仿宋_GB2312" w:hAnsi="Times New Roman" w:eastAsia="仿宋_GB2312" w:cs="Times New Roman"/>
      <w:sz w:val="28"/>
      <w:szCs w:val="20"/>
    </w:rPr>
  </w:style>
  <w:style w:type="paragraph" w:customStyle="1" w:styleId="340">
    <w:name w:val="正文段落"/>
    <w:basedOn w:val="1"/>
    <w:autoRedefine/>
    <w:qFormat/>
    <w:uiPriority w:val="0"/>
    <w:pPr>
      <w:autoSpaceDE w:val="0"/>
      <w:autoSpaceDN w:val="0"/>
      <w:adjustRightInd w:val="0"/>
      <w:spacing w:line="500" w:lineRule="exact"/>
      <w:ind w:firstLine="200" w:firstLineChars="200"/>
      <w:textAlignment w:val="baseline"/>
    </w:pPr>
    <w:rPr>
      <w:rFonts w:ascii="宋体" w:hAnsi="Tms Rmn" w:eastAsia="仿宋_GB2312" w:cs="Times New Roman"/>
      <w:kern w:val="0"/>
      <w:sz w:val="28"/>
      <w:szCs w:val="20"/>
    </w:rPr>
  </w:style>
  <w:style w:type="paragraph" w:customStyle="1" w:styleId="341">
    <w:name w:val="样式 标题 3 + 左侧:  0 厘米 首行缩进:  0 厘米"/>
    <w:basedOn w:val="4"/>
    <w:autoRedefine/>
    <w:qFormat/>
    <w:uiPriority w:val="0"/>
    <w:pPr>
      <w:autoSpaceDE w:val="0"/>
      <w:autoSpaceDN w:val="0"/>
      <w:adjustRightInd w:val="0"/>
      <w:snapToGrid w:val="0"/>
      <w:spacing w:before="0" w:after="0" w:line="500" w:lineRule="exact"/>
      <w:jc w:val="left"/>
      <w:textAlignment w:val="baseline"/>
    </w:pPr>
    <w:rPr>
      <w:rFonts w:ascii="Times New Roman" w:hAnsi="Times New Roman" w:eastAsia="仿宋_GB2312" w:cs="宋体"/>
      <w:b w:val="0"/>
      <w:bCs w:val="0"/>
      <w:kern w:val="0"/>
      <w:sz w:val="28"/>
      <w:szCs w:val="20"/>
    </w:rPr>
  </w:style>
  <w:style w:type="paragraph" w:customStyle="1" w:styleId="342">
    <w:name w:val="标题3"/>
    <w:basedOn w:val="4"/>
    <w:qFormat/>
    <w:uiPriority w:val="0"/>
    <w:pPr>
      <w:autoSpaceDE w:val="0"/>
      <w:autoSpaceDN w:val="0"/>
      <w:adjustRightInd w:val="0"/>
      <w:snapToGrid w:val="0"/>
      <w:spacing w:before="0" w:after="0" w:line="500" w:lineRule="exact"/>
      <w:jc w:val="left"/>
      <w:textAlignment w:val="baseline"/>
    </w:pPr>
    <w:rPr>
      <w:rFonts w:ascii="Times New Roman" w:hAnsi="Times New Roman" w:eastAsia="仿宋_GB2312" w:cs="Times New Roman"/>
      <w:b w:val="0"/>
      <w:bCs w:val="0"/>
      <w:kern w:val="0"/>
      <w:sz w:val="28"/>
      <w:szCs w:val="20"/>
    </w:rPr>
  </w:style>
  <w:style w:type="character" w:customStyle="1" w:styleId="343">
    <w:name w:val="标题3 Char"/>
    <w:qFormat/>
    <w:uiPriority w:val="0"/>
    <w:rPr>
      <w:rFonts w:ascii="CG Times" w:hAnsi="CG Times" w:eastAsia="仿宋_GB2312" w:cs="CG Times"/>
      <w:b/>
      <w:bCs/>
      <w:kern w:val="2"/>
      <w:sz w:val="28"/>
      <w:szCs w:val="32"/>
      <w:lang w:val="en-US" w:eastAsia="zh-CN" w:bidi="ar-SA"/>
    </w:rPr>
  </w:style>
  <w:style w:type="paragraph" w:customStyle="1" w:styleId="344">
    <w:name w:val="标题33"/>
    <w:basedOn w:val="36"/>
    <w:next w:val="4"/>
    <w:qFormat/>
    <w:uiPriority w:val="0"/>
    <w:pPr>
      <w:spacing w:after="0" w:line="500" w:lineRule="exact"/>
      <w:ind w:left="0" w:leftChars="0"/>
    </w:pPr>
    <w:rPr>
      <w:rFonts w:ascii="仿宋_GB2312" w:hAnsi="仿宋_GB2312" w:eastAsia="仿宋_GB2312"/>
      <w:color w:val="000000"/>
      <w:sz w:val="28"/>
    </w:rPr>
  </w:style>
  <w:style w:type="character" w:customStyle="1" w:styleId="345">
    <w:name w:val="b1"/>
    <w:qFormat/>
    <w:uiPriority w:val="0"/>
    <w:rPr>
      <w:sz w:val="21"/>
      <w:szCs w:val="21"/>
      <w:u w:val="none"/>
    </w:rPr>
  </w:style>
  <w:style w:type="paragraph" w:customStyle="1" w:styleId="346">
    <w:name w:val="小四宋居中1.0"/>
    <w:basedOn w:val="1"/>
    <w:next w:val="1"/>
    <w:autoRedefine/>
    <w:qFormat/>
    <w:uiPriority w:val="0"/>
    <w:pPr>
      <w:adjustRightInd w:val="0"/>
      <w:jc w:val="center"/>
      <w:textAlignment w:val="baseline"/>
    </w:pPr>
    <w:rPr>
      <w:rFonts w:ascii="仿宋_GB2312" w:hAnsi="Times New Roman" w:cs="Times New Roman"/>
      <w:sz w:val="24"/>
      <w:szCs w:val="20"/>
    </w:rPr>
  </w:style>
  <w:style w:type="character" w:customStyle="1" w:styleId="347">
    <w:name w:val="hottext1"/>
    <w:autoRedefine/>
    <w:qFormat/>
    <w:uiPriority w:val="0"/>
    <w:rPr>
      <w:rFonts w:ascii="宋体" w:hAnsi="宋体" w:eastAsia="宋体"/>
      <w:strike/>
      <w:sz w:val="22"/>
      <w:u w:val="none"/>
    </w:rPr>
  </w:style>
  <w:style w:type="paragraph" w:customStyle="1" w:styleId="348">
    <w:name w:val="黑点"/>
    <w:basedOn w:val="1"/>
    <w:autoRedefine/>
    <w:qFormat/>
    <w:uiPriority w:val="0"/>
    <w:pPr>
      <w:tabs>
        <w:tab w:val="left" w:pos="425"/>
        <w:tab w:val="left" w:pos="600"/>
        <w:tab w:val="left" w:pos="2100"/>
      </w:tabs>
      <w:adjustRightInd w:val="0"/>
      <w:spacing w:line="360" w:lineRule="auto"/>
      <w:ind w:left="2100" w:hanging="425"/>
      <w:jc w:val="left"/>
      <w:textAlignment w:val="baseline"/>
    </w:pPr>
    <w:rPr>
      <w:rFonts w:ascii="宋体" w:hAnsi="宋体" w:cs="Times New Roman"/>
      <w:color w:val="000000"/>
      <w:kern w:val="0"/>
      <w:sz w:val="24"/>
      <w:szCs w:val="20"/>
    </w:rPr>
  </w:style>
  <w:style w:type="paragraph" w:customStyle="1" w:styleId="349">
    <w:name w:val="报告"/>
    <w:basedOn w:val="1"/>
    <w:qFormat/>
    <w:uiPriority w:val="0"/>
    <w:pPr>
      <w:adjustRightInd w:val="0"/>
      <w:spacing w:line="360" w:lineRule="auto"/>
      <w:ind w:firstLine="505"/>
      <w:textAlignment w:val="center"/>
    </w:pPr>
    <w:rPr>
      <w:rFonts w:ascii="TimesNewRoman" w:hAnsi="TimesNewRoman" w:cs="Times New Roman"/>
      <w:kern w:val="0"/>
      <w:sz w:val="24"/>
      <w:szCs w:val="20"/>
    </w:rPr>
  </w:style>
  <w:style w:type="paragraph" w:customStyle="1" w:styleId="350">
    <w:name w:val="样式 正文缩进正文（首行缩进两字） Char Char Char Char Char Char Char表格标题标题4文..."/>
    <w:basedOn w:val="8"/>
    <w:autoRedefine/>
    <w:qFormat/>
    <w:uiPriority w:val="0"/>
    <w:pPr>
      <w:overflowPunct w:val="0"/>
      <w:adjustRightInd w:val="0"/>
      <w:snapToGrid w:val="0"/>
      <w:spacing w:line="500" w:lineRule="exact"/>
      <w:ind w:firstLine="200" w:firstLineChars="200"/>
      <w:textAlignment w:val="baseline"/>
    </w:pPr>
    <w:rPr>
      <w:rFonts w:eastAsia="仿宋_GB2312" w:cs="宋体"/>
      <w:kern w:val="0"/>
      <w:sz w:val="28"/>
      <w:szCs w:val="20"/>
    </w:rPr>
  </w:style>
  <w:style w:type="paragraph" w:customStyle="1" w:styleId="351">
    <w:name w:val="样式 样式 正文缩进正文（首行缩进两字） Char Char Char Char Char Char Char表格标题标题4文...."/>
    <w:basedOn w:val="350"/>
    <w:autoRedefine/>
    <w:qFormat/>
    <w:uiPriority w:val="0"/>
  </w:style>
  <w:style w:type="paragraph" w:customStyle="1" w:styleId="352">
    <w:name w:val="图文框"/>
    <w:basedOn w:val="1"/>
    <w:autoRedefine/>
    <w:qFormat/>
    <w:uiPriority w:val="0"/>
    <w:pPr>
      <w:autoSpaceDE w:val="0"/>
      <w:autoSpaceDN w:val="0"/>
      <w:adjustRightInd w:val="0"/>
      <w:snapToGrid w:val="0"/>
      <w:jc w:val="center"/>
    </w:pPr>
    <w:rPr>
      <w:rFonts w:ascii="宋体" w:hAnsi="Times New Roman" w:cs="Times New Roman"/>
      <w:color w:val="000000"/>
      <w:kern w:val="28"/>
      <w:szCs w:val="20"/>
    </w:rPr>
  </w:style>
  <w:style w:type="paragraph" w:customStyle="1" w:styleId="353">
    <w:name w:val="样式 标题 4 + 行距: 多倍行距 1.3 字行"/>
    <w:basedOn w:val="5"/>
    <w:qFormat/>
    <w:uiPriority w:val="0"/>
    <w:pPr>
      <w:tabs>
        <w:tab w:val="left" w:pos="1200"/>
      </w:tabs>
      <w:snapToGrid w:val="0"/>
      <w:spacing w:beforeLines="20" w:afterLines="20" w:line="300" w:lineRule="auto"/>
    </w:pPr>
    <w:rPr>
      <w:rFonts w:ascii="仿宋_GB2312" w:eastAsia="仿宋_GB2312"/>
      <w:b w:val="0"/>
    </w:rPr>
  </w:style>
  <w:style w:type="paragraph" w:customStyle="1" w:styleId="354">
    <w:name w:val="正文编号"/>
    <w:basedOn w:val="1"/>
    <w:qFormat/>
    <w:uiPriority w:val="0"/>
    <w:pPr>
      <w:tabs>
        <w:tab w:val="left" w:pos="1200"/>
      </w:tabs>
      <w:adjustRightInd w:val="0"/>
      <w:spacing w:line="360" w:lineRule="auto"/>
      <w:ind w:left="1200" w:leftChars="400" w:hanging="360" w:hangingChars="200"/>
      <w:textAlignment w:val="baseline"/>
    </w:pPr>
    <w:rPr>
      <w:rFonts w:ascii="Arial" w:hAnsi="Arial" w:cs="Times New Roman"/>
      <w:kern w:val="0"/>
      <w:sz w:val="24"/>
    </w:rPr>
  </w:style>
  <w:style w:type="paragraph" w:customStyle="1" w:styleId="355">
    <w:name w:val="小四表文左齐"/>
    <w:basedOn w:val="1"/>
    <w:autoRedefine/>
    <w:qFormat/>
    <w:uiPriority w:val="0"/>
    <w:pPr>
      <w:spacing w:line="340" w:lineRule="exact"/>
      <w:jc w:val="center"/>
    </w:pPr>
    <w:rPr>
      <w:rFonts w:ascii="宋体" w:hAnsi="宋体" w:cs="Times New Roman"/>
      <w:spacing w:val="-6"/>
      <w:sz w:val="24"/>
    </w:rPr>
  </w:style>
  <w:style w:type="paragraph" w:customStyle="1" w:styleId="356">
    <w:name w:val="样式7"/>
    <w:basedOn w:val="2"/>
    <w:link w:val="357"/>
    <w:autoRedefine/>
    <w:qFormat/>
    <w:uiPriority w:val="0"/>
    <w:pPr>
      <w:tabs>
        <w:tab w:val="left" w:pos="360"/>
        <w:tab w:val="left" w:pos="570"/>
      </w:tabs>
      <w:adjustRightInd w:val="0"/>
      <w:snapToGrid w:val="0"/>
      <w:spacing w:beforeLines="200" w:afterLines="200" w:line="500" w:lineRule="exact"/>
    </w:pPr>
    <w:rPr>
      <w:rFonts w:ascii="Times New Roman" w:hAnsi="Times New Roman" w:eastAsia="黑体" w:cs="Times New Roman"/>
      <w:b w:val="0"/>
      <w:bCs w:val="0"/>
      <w:color w:val="000000"/>
      <w:sz w:val="30"/>
    </w:rPr>
  </w:style>
  <w:style w:type="character" w:customStyle="1" w:styleId="357">
    <w:name w:val="样式7 Char"/>
    <w:link w:val="356"/>
    <w:qFormat/>
    <w:uiPriority w:val="0"/>
    <w:rPr>
      <w:rFonts w:ascii="Times New Roman" w:hAnsi="Times New Roman" w:eastAsia="黑体" w:cs="Times New Roman"/>
      <w:color w:val="000000"/>
      <w:kern w:val="44"/>
      <w:sz w:val="30"/>
      <w:szCs w:val="44"/>
    </w:rPr>
  </w:style>
  <w:style w:type="paragraph" w:customStyle="1" w:styleId="358">
    <w:name w:val="xl22"/>
    <w:basedOn w:val="1"/>
    <w:autoRedefine/>
    <w:qFormat/>
    <w:uiPriority w:val="0"/>
    <w:pPr>
      <w:widowControl/>
      <w:pBdr>
        <w:bottom w:val="single" w:color="auto" w:sz="4" w:space="0"/>
        <w:right w:val="single" w:color="auto" w:sz="4" w:space="0"/>
      </w:pBdr>
      <w:spacing w:before="100" w:after="100"/>
      <w:jc w:val="center"/>
    </w:pPr>
    <w:rPr>
      <w:rFonts w:ascii="宋体" w:hAnsi="宋体" w:cs="Times New Roman"/>
      <w:kern w:val="0"/>
      <w:szCs w:val="20"/>
    </w:rPr>
  </w:style>
  <w:style w:type="paragraph" w:customStyle="1" w:styleId="359">
    <w:name w:val="环评正文"/>
    <w:basedOn w:val="35"/>
    <w:qFormat/>
    <w:uiPriority w:val="0"/>
    <w:pPr>
      <w:spacing w:line="500" w:lineRule="exact"/>
      <w:ind w:left="0" w:leftChars="0" w:firstLine="560" w:firstLineChars="200"/>
    </w:pPr>
    <w:rPr>
      <w:rFonts w:ascii="仿宋_GB2312" w:eastAsia="仿宋_GB2312"/>
      <w:sz w:val="28"/>
      <w:szCs w:val="20"/>
    </w:rPr>
  </w:style>
  <w:style w:type="paragraph" w:customStyle="1" w:styleId="360">
    <w:name w:val="条文"/>
    <w:basedOn w:val="6"/>
    <w:next w:val="1"/>
    <w:qFormat/>
    <w:uiPriority w:val="0"/>
    <w:pPr>
      <w:keepNext w:val="0"/>
      <w:spacing w:before="120" w:after="0" w:line="240" w:lineRule="auto"/>
      <w:ind w:firstLine="454"/>
    </w:pPr>
    <w:rPr>
      <w:rFonts w:ascii="Times New Roman" w:hAnsi="Times New Roman"/>
      <w:b w:val="0"/>
      <w:bCs w:val="0"/>
      <w:sz w:val="24"/>
      <w:szCs w:val="20"/>
    </w:rPr>
  </w:style>
  <w:style w:type="paragraph" w:customStyle="1" w:styleId="361">
    <w:name w:val="样式 正文文本btBody Text(ch) + 仿宋_GB2312 五号"/>
    <w:basedOn w:val="23"/>
    <w:autoRedefine/>
    <w:qFormat/>
    <w:uiPriority w:val="0"/>
    <w:pPr>
      <w:adjustRightInd w:val="0"/>
      <w:snapToGrid w:val="0"/>
      <w:spacing w:after="0" w:line="500" w:lineRule="exact"/>
    </w:pPr>
    <w:rPr>
      <w:rFonts w:ascii="仿宋_GB2312" w:hAnsi="仿宋_GB2312"/>
      <w:sz w:val="28"/>
    </w:rPr>
  </w:style>
  <w:style w:type="paragraph" w:customStyle="1" w:styleId="362">
    <w:name w:val="条题"/>
    <w:basedOn w:val="1"/>
    <w:autoRedefine/>
    <w:qFormat/>
    <w:uiPriority w:val="0"/>
    <w:pPr>
      <w:tabs>
        <w:tab w:val="left" w:pos="1278"/>
      </w:tabs>
      <w:spacing w:line="420" w:lineRule="exact"/>
      <w:ind w:firstLine="480" w:firstLineChars="200"/>
    </w:pPr>
    <w:rPr>
      <w:rFonts w:ascii="Times New Roman" w:hAnsi="Times New Roman" w:cs="Times New Roman"/>
      <w:color w:val="000000"/>
      <w:kern w:val="0"/>
      <w:sz w:val="24"/>
      <w:szCs w:val="20"/>
    </w:rPr>
  </w:style>
  <w:style w:type="paragraph" w:customStyle="1" w:styleId="363">
    <w:name w:val="lz正文"/>
    <w:basedOn w:val="1"/>
    <w:qFormat/>
    <w:uiPriority w:val="0"/>
    <w:pPr>
      <w:adjustRightInd w:val="0"/>
      <w:snapToGrid w:val="0"/>
      <w:spacing w:line="360" w:lineRule="auto"/>
      <w:ind w:firstLine="480" w:firstLineChars="200"/>
    </w:pPr>
    <w:rPr>
      <w:rFonts w:ascii="Times New Roman" w:hAnsi="Times New Roman" w:cs="Times New Roman"/>
      <w:sz w:val="28"/>
      <w:szCs w:val="21"/>
    </w:rPr>
  </w:style>
  <w:style w:type="paragraph" w:customStyle="1" w:styleId="364">
    <w:name w:val="正文 居中"/>
    <w:basedOn w:val="1"/>
    <w:qFormat/>
    <w:uiPriority w:val="0"/>
    <w:pPr>
      <w:spacing w:before="48" w:after="48" w:line="360" w:lineRule="auto"/>
      <w:jc w:val="center"/>
    </w:pPr>
    <w:rPr>
      <w:rFonts w:ascii="宋体" w:hAnsi="宋体" w:cs="Times New Roman"/>
      <w:bCs/>
      <w:snapToGrid w:val="0"/>
      <w:kern w:val="0"/>
      <w:sz w:val="24"/>
      <w:szCs w:val="20"/>
    </w:rPr>
  </w:style>
  <w:style w:type="paragraph" w:customStyle="1" w:styleId="365">
    <w:name w:val="表格居中"/>
    <w:basedOn w:val="1"/>
    <w:link w:val="366"/>
    <w:qFormat/>
    <w:uiPriority w:val="0"/>
    <w:pPr>
      <w:jc w:val="center"/>
    </w:pPr>
    <w:rPr>
      <w:rFonts w:ascii="宋体" w:hAnsi="宋体" w:cs="Times New Roman"/>
      <w:bCs/>
      <w:snapToGrid w:val="0"/>
      <w:kern w:val="18"/>
      <w:szCs w:val="21"/>
      <w:u w:color="FF0000"/>
    </w:rPr>
  </w:style>
  <w:style w:type="character" w:customStyle="1" w:styleId="366">
    <w:name w:val="表格居中 Char"/>
    <w:link w:val="365"/>
    <w:qFormat/>
    <w:uiPriority w:val="0"/>
    <w:rPr>
      <w:rFonts w:ascii="宋体" w:hAnsi="宋体" w:eastAsia="宋体" w:cs="Times New Roman"/>
      <w:bCs/>
      <w:snapToGrid w:val="0"/>
      <w:kern w:val="18"/>
      <w:szCs w:val="21"/>
      <w:u w:color="FF0000"/>
    </w:rPr>
  </w:style>
  <w:style w:type="paragraph" w:customStyle="1" w:styleId="367">
    <w:name w:val="表格两端对齐"/>
    <w:basedOn w:val="365"/>
    <w:qFormat/>
    <w:uiPriority w:val="0"/>
    <w:pPr>
      <w:spacing w:line="360" w:lineRule="auto"/>
    </w:pPr>
  </w:style>
  <w:style w:type="character" w:customStyle="1" w:styleId="368">
    <w:name w:val="font_141"/>
    <w:qFormat/>
    <w:uiPriority w:val="0"/>
    <w:rPr>
      <w:rFonts w:hint="default" w:ascii="ˎ̥" w:hAnsi="ˎ̥"/>
      <w:sz w:val="21"/>
      <w:szCs w:val="21"/>
    </w:rPr>
  </w:style>
  <w:style w:type="paragraph" w:customStyle="1" w:styleId="369">
    <w:name w:val="表内文字"/>
    <w:basedOn w:val="1"/>
    <w:qFormat/>
    <w:uiPriority w:val="0"/>
    <w:pPr>
      <w:spacing w:line="400" w:lineRule="exact"/>
    </w:pPr>
    <w:rPr>
      <w:rFonts w:ascii="Times New Roman" w:hAnsi="Times New Roman" w:eastAsia="仿宋_GB2312" w:cs="Times New Roman"/>
    </w:rPr>
  </w:style>
  <w:style w:type="paragraph" w:customStyle="1" w:styleId="370">
    <w:name w:val="样式 仿宋_GB2312 小四 居中 行距: 最小值 12 磅"/>
    <w:basedOn w:val="1"/>
    <w:qFormat/>
    <w:uiPriority w:val="0"/>
    <w:pPr>
      <w:spacing w:line="400" w:lineRule="exact"/>
      <w:jc w:val="center"/>
    </w:pPr>
    <w:rPr>
      <w:rFonts w:ascii="仿宋_GB2312" w:hAnsi="Times New Roman" w:cs="宋体"/>
      <w:szCs w:val="20"/>
    </w:rPr>
  </w:style>
  <w:style w:type="paragraph" w:customStyle="1" w:styleId="371">
    <w:name w:val="样式 标题 2节标题 1.1H2（一）Underrubrik1prop2Heading 2 HiddenHeadi..."/>
    <w:basedOn w:val="3"/>
    <w:qFormat/>
    <w:uiPriority w:val="0"/>
    <w:pPr>
      <w:adjustRightInd w:val="0"/>
      <w:snapToGrid w:val="0"/>
      <w:spacing w:before="120" w:after="120" w:line="240" w:lineRule="auto"/>
    </w:pPr>
    <w:rPr>
      <w:rFonts w:ascii="宋体" w:hAnsi="宋体" w:eastAsia="宋体" w:cs="宋体"/>
      <w:snapToGrid w:val="0"/>
      <w:sz w:val="28"/>
      <w:szCs w:val="20"/>
    </w:rPr>
  </w:style>
  <w:style w:type="paragraph" w:customStyle="1" w:styleId="372">
    <w:name w:val="样式 宋体 四号 左 行距: 固定值 25 磅"/>
    <w:basedOn w:val="1"/>
    <w:autoRedefine/>
    <w:qFormat/>
    <w:uiPriority w:val="0"/>
    <w:pPr>
      <w:spacing w:line="500" w:lineRule="exact"/>
      <w:ind w:firstLine="200" w:firstLineChars="200"/>
      <w:jc w:val="left"/>
    </w:pPr>
    <w:rPr>
      <w:rFonts w:ascii="Times New Roman" w:hAnsi="Times New Roman" w:cs="宋体"/>
      <w:sz w:val="28"/>
      <w:szCs w:val="20"/>
    </w:rPr>
  </w:style>
  <w:style w:type="paragraph" w:customStyle="1" w:styleId="373">
    <w:name w:val="样式 正文文本缩进正文文字缩进 + 四号 首行缩进:  2 字符 行距: 最小值 25 磅"/>
    <w:basedOn w:val="25"/>
    <w:qFormat/>
    <w:uiPriority w:val="0"/>
    <w:pPr>
      <w:spacing w:after="0" w:line="500" w:lineRule="exact"/>
      <w:ind w:left="0" w:leftChars="0" w:firstLine="200" w:firstLineChars="200"/>
    </w:pPr>
    <w:rPr>
      <w:rFonts w:cs="宋体"/>
      <w:sz w:val="28"/>
      <w:szCs w:val="20"/>
    </w:rPr>
  </w:style>
  <w:style w:type="paragraph" w:customStyle="1" w:styleId="374">
    <w:name w:val="样式 标题3 + Times New Roman"/>
    <w:basedOn w:val="342"/>
    <w:qFormat/>
    <w:uiPriority w:val="0"/>
    <w:pPr>
      <w:keepNext w:val="0"/>
      <w:keepLines w:val="0"/>
      <w:autoSpaceDE/>
      <w:autoSpaceDN/>
      <w:snapToGrid/>
      <w:jc w:val="both"/>
      <w:outlineLvl w:val="9"/>
    </w:pPr>
    <w:rPr>
      <w:rFonts w:eastAsia="宋体"/>
      <w:b/>
      <w:bCs/>
      <w:kern w:val="2"/>
    </w:rPr>
  </w:style>
  <w:style w:type="paragraph" w:customStyle="1" w:styleId="375">
    <w:name w:val="样式 正文文本缩进正文文字缩进 + 行距: 单倍行距"/>
    <w:basedOn w:val="25"/>
    <w:qFormat/>
    <w:uiPriority w:val="0"/>
    <w:pPr>
      <w:spacing w:after="0"/>
      <w:ind w:left="0" w:leftChars="0" w:firstLine="480" w:firstLineChars="200"/>
    </w:pPr>
    <w:rPr>
      <w:rFonts w:cs="宋体"/>
      <w:sz w:val="28"/>
      <w:szCs w:val="20"/>
    </w:rPr>
  </w:style>
  <w:style w:type="paragraph" w:customStyle="1" w:styleId="376">
    <w:name w:val="样式 样式 正文文本缩进正文文字缩进 + 行距: 单倍行距 + 首行缩进:  2 字符"/>
    <w:basedOn w:val="375"/>
    <w:qFormat/>
    <w:uiPriority w:val="0"/>
    <w:pPr>
      <w:spacing w:line="500" w:lineRule="exact"/>
      <w:ind w:firstLine="200"/>
    </w:pPr>
  </w:style>
  <w:style w:type="paragraph" w:customStyle="1" w:styleId="377">
    <w:name w:val="样式 标题2 + (西文) Times New Roman (中文) 宋体 加粗"/>
    <w:basedOn w:val="3"/>
    <w:qFormat/>
    <w:uiPriority w:val="0"/>
    <w:pPr>
      <w:keepNext w:val="0"/>
      <w:keepLines w:val="0"/>
      <w:spacing w:beforeLines="50" w:afterLines="50" w:line="500" w:lineRule="exact"/>
      <w:outlineLvl w:val="0"/>
    </w:pPr>
    <w:rPr>
      <w:rFonts w:ascii="Times New Roman" w:hAnsi="Times New Roman" w:eastAsia="宋体"/>
      <w:sz w:val="28"/>
      <w:szCs w:val="20"/>
    </w:rPr>
  </w:style>
  <w:style w:type="paragraph" w:customStyle="1" w:styleId="378">
    <w:name w:val="表格内文字"/>
    <w:basedOn w:val="1"/>
    <w:link w:val="379"/>
    <w:autoRedefine/>
    <w:qFormat/>
    <w:uiPriority w:val="0"/>
    <w:pPr>
      <w:spacing w:before="100" w:after="100" w:line="320" w:lineRule="exact"/>
      <w:jc w:val="center"/>
    </w:pPr>
    <w:rPr>
      <w:rFonts w:ascii="Times New Roman" w:hAnsi="Times New Roman" w:cs="Times New Roman"/>
      <w:spacing w:val="10"/>
      <w:sz w:val="24"/>
      <w:szCs w:val="20"/>
    </w:rPr>
  </w:style>
  <w:style w:type="character" w:customStyle="1" w:styleId="379">
    <w:name w:val="表格内文字 Char"/>
    <w:link w:val="378"/>
    <w:autoRedefine/>
    <w:qFormat/>
    <w:uiPriority w:val="0"/>
    <w:rPr>
      <w:rFonts w:ascii="Times New Roman" w:hAnsi="Times New Roman" w:eastAsia="宋体" w:cs="Times New Roman"/>
      <w:spacing w:val="10"/>
      <w:sz w:val="24"/>
      <w:szCs w:val="20"/>
    </w:rPr>
  </w:style>
  <w:style w:type="paragraph" w:customStyle="1" w:styleId="380">
    <w:name w:val="样式 列表 2 + 宋体 小四 行距: 固定值 19 磅"/>
    <w:basedOn w:val="27"/>
    <w:autoRedefine/>
    <w:qFormat/>
    <w:uiPriority w:val="0"/>
    <w:pPr>
      <w:spacing w:line="400" w:lineRule="exact"/>
    </w:pPr>
    <w:rPr>
      <w:rFonts w:ascii="宋体" w:hAnsi="宋体" w:eastAsia="宋体" w:cs="宋体"/>
      <w:sz w:val="24"/>
    </w:rPr>
  </w:style>
  <w:style w:type="paragraph" w:customStyle="1" w:styleId="381">
    <w:name w:val="样式5"/>
    <w:basedOn w:val="40"/>
    <w:autoRedefine/>
    <w:qFormat/>
    <w:uiPriority w:val="0"/>
    <w:pPr>
      <w:pBdr>
        <w:bottom w:val="none" w:color="auto" w:sz="0" w:space="0"/>
      </w:pBdr>
      <w:spacing w:line="240" w:lineRule="atLeast"/>
    </w:pPr>
    <w:rPr>
      <w:rFonts w:ascii="仿宋_GB2312" w:hAnsi="Times New Roman" w:eastAsia="仿宋_GB2312" w:cs="Times New Roman"/>
    </w:rPr>
  </w:style>
  <w:style w:type="paragraph" w:customStyle="1" w:styleId="382">
    <w:name w:val="项目1"/>
    <w:basedOn w:val="1"/>
    <w:autoRedefine/>
    <w:qFormat/>
    <w:uiPriority w:val="0"/>
    <w:pPr>
      <w:tabs>
        <w:tab w:val="left" w:pos="425"/>
      </w:tabs>
      <w:snapToGrid w:val="0"/>
      <w:spacing w:line="0" w:lineRule="atLeast"/>
      <w:ind w:left="425" w:hanging="425"/>
    </w:pPr>
    <w:rPr>
      <w:rFonts w:ascii="Times New Roman" w:hAnsi="Times New Roman" w:cs="Times New Roman"/>
      <w:sz w:val="28"/>
      <w:szCs w:val="20"/>
    </w:rPr>
  </w:style>
  <w:style w:type="paragraph" w:customStyle="1" w:styleId="383">
    <w:name w:val="表标题"/>
    <w:next w:val="1"/>
    <w:autoRedefine/>
    <w:qFormat/>
    <w:uiPriority w:val="0"/>
    <w:pPr>
      <w:widowControl w:val="0"/>
      <w:adjustRightInd w:val="0"/>
      <w:spacing w:line="480" w:lineRule="atLeast"/>
      <w:jc w:val="center"/>
      <w:textAlignment w:val="baseline"/>
    </w:pPr>
    <w:rPr>
      <w:rFonts w:ascii="宋体" w:hAnsi="Times New Roman" w:eastAsia="宋体" w:cs="Times New Roman"/>
      <w:b/>
      <w:kern w:val="0"/>
      <w:sz w:val="21"/>
      <w:szCs w:val="20"/>
      <w:lang w:val="en-US" w:eastAsia="zh-CN" w:bidi="ar-SA"/>
    </w:rPr>
  </w:style>
  <w:style w:type="paragraph" w:customStyle="1" w:styleId="384">
    <w:name w:val="小四表格"/>
    <w:basedOn w:val="1"/>
    <w:autoRedefine/>
    <w:qFormat/>
    <w:uiPriority w:val="0"/>
    <w:pPr>
      <w:keepNext/>
      <w:autoSpaceDE w:val="0"/>
      <w:autoSpaceDN w:val="0"/>
      <w:adjustRightInd w:val="0"/>
      <w:spacing w:line="480" w:lineRule="atLeast"/>
      <w:jc w:val="center"/>
    </w:pPr>
    <w:rPr>
      <w:rFonts w:ascii="Times New Roman" w:hAnsi="Times New Roman" w:cs="Times New Roman"/>
      <w:color w:val="000000"/>
      <w:sz w:val="24"/>
      <w:szCs w:val="20"/>
    </w:rPr>
  </w:style>
  <w:style w:type="paragraph" w:customStyle="1" w:styleId="385">
    <w:name w:val="样式 标题1 + 段前: 6 磅 段后: 6 磅"/>
    <w:basedOn w:val="304"/>
    <w:autoRedefine/>
    <w:qFormat/>
    <w:uiPriority w:val="0"/>
    <w:pPr>
      <w:spacing w:before="120" w:after="120"/>
    </w:pPr>
    <w:rPr>
      <w:rFonts w:cs="宋体"/>
      <w:szCs w:val="20"/>
    </w:rPr>
  </w:style>
  <w:style w:type="paragraph" w:customStyle="1" w:styleId="386">
    <w:name w:val="样式 样式 标题2 + (西文) Times New Roman (中文) 宋体 加粗 + 段前: 0.5 行 段后: 0.5..."/>
    <w:basedOn w:val="377"/>
    <w:qFormat/>
    <w:uiPriority w:val="0"/>
    <w:rPr>
      <w:rFonts w:eastAsia="仿宋_GB2312" w:cs="宋体"/>
    </w:rPr>
  </w:style>
  <w:style w:type="paragraph" w:customStyle="1" w:styleId="387">
    <w:name w:val="样式 标题 1h1H1PIM 1标书11.标题 1Section HeadHeader11st levell1..."/>
    <w:basedOn w:val="2"/>
    <w:qFormat/>
    <w:uiPriority w:val="0"/>
    <w:pPr>
      <w:spacing w:before="240" w:after="240" w:line="500" w:lineRule="exact"/>
      <w:ind w:right="210"/>
    </w:pPr>
    <w:rPr>
      <w:rFonts w:ascii="Times New Roman" w:hAnsi="Times New Roman" w:eastAsia="黑体" w:cs="宋体"/>
      <w:color w:val="000000"/>
      <w:sz w:val="30"/>
      <w:szCs w:val="20"/>
    </w:rPr>
  </w:style>
  <w:style w:type="paragraph" w:customStyle="1" w:styleId="388">
    <w:name w:val="样式 标题 2第一章 标题 2Heading 2 HiddenHeading 2 CCBSheading 2H2h2..."/>
    <w:basedOn w:val="3"/>
    <w:autoRedefine/>
    <w:qFormat/>
    <w:uiPriority w:val="0"/>
    <w:pPr>
      <w:spacing w:before="120" w:after="120" w:line="500" w:lineRule="exact"/>
    </w:pPr>
    <w:rPr>
      <w:rFonts w:ascii="Times New Roman" w:hAnsi="Times New Roman" w:eastAsia="仿宋_GB2312"/>
      <w:color w:val="000000"/>
      <w:kern w:val="44"/>
      <w:sz w:val="28"/>
    </w:rPr>
  </w:style>
  <w:style w:type="paragraph" w:customStyle="1" w:styleId="389">
    <w:name w:val="样式 (西文) 宋体 段前: 6 磅 段后: 6 磅"/>
    <w:basedOn w:val="1"/>
    <w:qFormat/>
    <w:uiPriority w:val="0"/>
    <w:pPr>
      <w:spacing w:before="120" w:after="120" w:line="500" w:lineRule="exact"/>
    </w:pPr>
    <w:rPr>
      <w:rFonts w:ascii="宋体" w:hAnsi="宋体" w:eastAsia="仿宋_GB2312" w:cs="宋体"/>
      <w:sz w:val="28"/>
      <w:szCs w:val="20"/>
    </w:rPr>
  </w:style>
  <w:style w:type="paragraph" w:customStyle="1" w:styleId="390">
    <w:name w:val="样式 标题 2第一章 标题 2Heading 2 HiddenHeading 2 CCBSheading 2H2h2...1"/>
    <w:basedOn w:val="3"/>
    <w:qFormat/>
    <w:uiPriority w:val="0"/>
    <w:pPr>
      <w:spacing w:before="120" w:after="120" w:line="500" w:lineRule="exact"/>
    </w:pPr>
    <w:rPr>
      <w:rFonts w:ascii="Times New Roman" w:hAnsi="Times New Roman" w:eastAsia="仿宋_GB2312" w:cs="宋体"/>
      <w:sz w:val="28"/>
      <w:szCs w:val="20"/>
    </w:rPr>
  </w:style>
  <w:style w:type="paragraph" w:customStyle="1" w:styleId="391">
    <w:name w:val="样式 标题 2第一章 标题 2Heading 2 HiddenHeading 2 CCBSheading 2H2h2...2"/>
    <w:basedOn w:val="3"/>
    <w:qFormat/>
    <w:uiPriority w:val="0"/>
    <w:pPr>
      <w:spacing w:before="120" w:after="120" w:line="500" w:lineRule="exact"/>
    </w:pPr>
    <w:rPr>
      <w:rFonts w:ascii="Times New Roman" w:hAnsi="Times New Roman" w:eastAsia="仿宋_GB2312"/>
      <w:color w:val="000000"/>
      <w:sz w:val="28"/>
    </w:rPr>
  </w:style>
  <w:style w:type="paragraph" w:customStyle="1" w:styleId="392">
    <w:name w:val="样式 样式 样式 标题2 + (西文) Times New Roman (中文) 宋体 加粗 + 段前: 0.5 行 段后: 0..."/>
    <w:basedOn w:val="386"/>
    <w:autoRedefine/>
    <w:qFormat/>
    <w:uiPriority w:val="0"/>
    <w:rPr>
      <w:color w:val="000000"/>
    </w:rPr>
  </w:style>
  <w:style w:type="paragraph" w:customStyle="1" w:styleId="393">
    <w:name w:val="样式 标题 2第一章 标题 2Heading 2 HiddenHeading 2 CCBSheading 2H2h2...3"/>
    <w:basedOn w:val="3"/>
    <w:autoRedefine/>
    <w:qFormat/>
    <w:uiPriority w:val="0"/>
    <w:pPr>
      <w:spacing w:before="120" w:after="120" w:line="500" w:lineRule="exact"/>
    </w:pPr>
    <w:rPr>
      <w:rFonts w:ascii="Times New Roman" w:hAnsi="Times New Roman" w:eastAsia="仿宋_GB2312" w:cs="宋体"/>
      <w:sz w:val="28"/>
      <w:szCs w:val="20"/>
    </w:rPr>
  </w:style>
  <w:style w:type="paragraph" w:customStyle="1" w:styleId="394">
    <w:name w:val="样式 标题 2第一章 标题 2Heading 2 HiddenHeading 2 CCBSheading 2H2h2...4"/>
    <w:basedOn w:val="3"/>
    <w:autoRedefine/>
    <w:qFormat/>
    <w:uiPriority w:val="0"/>
    <w:pPr>
      <w:spacing w:before="120" w:after="120" w:line="500" w:lineRule="exact"/>
    </w:pPr>
    <w:rPr>
      <w:rFonts w:ascii="Times New Roman" w:hAnsi="Times New Roman" w:eastAsia="仿宋_GB2312"/>
      <w:color w:val="000000"/>
      <w:sz w:val="28"/>
    </w:rPr>
  </w:style>
  <w:style w:type="paragraph" w:customStyle="1" w:styleId="395">
    <w:name w:val="样式 标题 1h1H1PIM 1标书11.标题 1Section HeadHeader11st levell1...1"/>
    <w:basedOn w:val="2"/>
    <w:qFormat/>
    <w:uiPriority w:val="0"/>
    <w:pPr>
      <w:spacing w:before="120" w:after="120" w:line="500" w:lineRule="exact"/>
    </w:pPr>
    <w:rPr>
      <w:rFonts w:ascii="Times New Roman" w:hAnsi="Times New Roman" w:eastAsia="黑体" w:cs="Times New Roman"/>
      <w:sz w:val="30"/>
    </w:rPr>
  </w:style>
  <w:style w:type="character" w:customStyle="1" w:styleId="396">
    <w:name w:val="样式 标题 1h1H1PIM 1标书11.标题 1Section HeadHeader11st levell1...1 Char"/>
    <w:autoRedefine/>
    <w:qFormat/>
    <w:uiPriority w:val="0"/>
    <w:rPr>
      <w:rFonts w:ascii="楷体_GB2312" w:eastAsia="黑体"/>
      <w:b/>
      <w:bCs/>
      <w:kern w:val="44"/>
      <w:sz w:val="30"/>
      <w:szCs w:val="44"/>
      <w:lang w:val="en-US" w:eastAsia="zh-CN" w:bidi="ar-SA"/>
    </w:rPr>
  </w:style>
  <w:style w:type="character" w:customStyle="1" w:styleId="397">
    <w:name w:val="p141"/>
    <w:autoRedefine/>
    <w:qFormat/>
    <w:uiPriority w:val="0"/>
    <w:rPr>
      <w:b/>
      <w:bCs/>
      <w:color w:val="FF9900"/>
      <w:sz w:val="20"/>
      <w:szCs w:val="20"/>
    </w:rPr>
  </w:style>
  <w:style w:type="character" w:customStyle="1" w:styleId="398">
    <w:name w:val="style11"/>
    <w:autoRedefine/>
    <w:qFormat/>
    <w:uiPriority w:val="0"/>
    <w:rPr>
      <w:rFonts w:eastAsia="宋体"/>
      <w:kern w:val="2"/>
      <w:sz w:val="18"/>
      <w:szCs w:val="18"/>
      <w:lang w:val="en-US" w:eastAsia="zh-CN" w:bidi="ar-SA"/>
    </w:rPr>
  </w:style>
  <w:style w:type="paragraph" w:customStyle="1" w:styleId="399">
    <w:name w:val="表格 Char"/>
    <w:basedOn w:val="1"/>
    <w:autoRedefine/>
    <w:qFormat/>
    <w:uiPriority w:val="0"/>
    <w:pPr>
      <w:jc w:val="center"/>
    </w:pPr>
    <w:rPr>
      <w:rFonts w:ascii="仿宋_GB2312" w:hAnsi="Times New Roman" w:eastAsia="仿宋_GB2312" w:cs="宋体"/>
      <w:bCs/>
      <w:snapToGrid w:val="0"/>
      <w:szCs w:val="21"/>
    </w:rPr>
  </w:style>
  <w:style w:type="character" w:customStyle="1" w:styleId="400">
    <w:name w:val="表格 Char Char"/>
    <w:autoRedefine/>
    <w:qFormat/>
    <w:uiPriority w:val="0"/>
    <w:rPr>
      <w:rFonts w:ascii="仿宋_GB2312" w:eastAsia="仿宋_GB2312" w:cs="宋体"/>
      <w:bCs/>
      <w:snapToGrid w:val="0"/>
      <w:kern w:val="2"/>
      <w:sz w:val="21"/>
      <w:szCs w:val="21"/>
      <w:lang w:val="en-US" w:eastAsia="zh-CN" w:bidi="ar-SA"/>
    </w:rPr>
  </w:style>
  <w:style w:type="paragraph" w:customStyle="1" w:styleId="401">
    <w:name w:val="样式"/>
    <w:autoRedefine/>
    <w:qFormat/>
    <w:uiPriority w:val="0"/>
    <w:pPr>
      <w:keepNext/>
      <w:keepLines/>
      <w:widowControl w:val="0"/>
      <w:adjustRightInd w:val="0"/>
      <w:spacing w:before="340" w:after="330" w:line="578" w:lineRule="atLeast"/>
      <w:jc w:val="both"/>
      <w:textAlignment w:val="baseline"/>
    </w:pPr>
    <w:rPr>
      <w:rFonts w:ascii="Times New Roman" w:hAnsi="Times New Roman" w:eastAsia="宋体" w:cs="Times New Roman"/>
      <w:b/>
      <w:kern w:val="0"/>
      <w:sz w:val="24"/>
      <w:szCs w:val="20"/>
      <w:lang w:val="en-US" w:eastAsia="zh-CN" w:bidi="ar-SA"/>
    </w:rPr>
  </w:style>
  <w:style w:type="paragraph" w:customStyle="1" w:styleId="402">
    <w:name w:val="Char Char Char Char Char Char Char Char Char Char"/>
    <w:basedOn w:val="1"/>
    <w:autoRedefine/>
    <w:qFormat/>
    <w:uiPriority w:val="0"/>
    <w:rPr>
      <w:rFonts w:ascii="黑体" w:hAnsi="黑体" w:eastAsia="黑体" w:cs="Times New Roman"/>
      <w:b/>
      <w:spacing w:val="10"/>
      <w:sz w:val="28"/>
      <w:szCs w:val="20"/>
    </w:rPr>
  </w:style>
  <w:style w:type="paragraph" w:customStyle="1" w:styleId="403">
    <w:name w:val="Char Char1"/>
    <w:basedOn w:val="1"/>
    <w:autoRedefine/>
    <w:qFormat/>
    <w:uiPriority w:val="0"/>
    <w:pPr>
      <w:ind w:firstLine="200" w:firstLineChars="200"/>
    </w:pPr>
    <w:rPr>
      <w:rFonts w:ascii="Times New Roman" w:hAnsi="Times New Roman" w:cs="Times New Roman"/>
    </w:rPr>
  </w:style>
  <w:style w:type="paragraph" w:customStyle="1" w:styleId="404">
    <w:name w:val="样式 报告书表格 + 小五 底端: (单实线 自动设置  0.75 磅 行宽)"/>
    <w:basedOn w:val="315"/>
    <w:autoRedefine/>
    <w:qFormat/>
    <w:uiPriority w:val="0"/>
    <w:rPr>
      <w:rFonts w:cs="宋体"/>
      <w:sz w:val="18"/>
      <w:szCs w:val="18"/>
    </w:rPr>
  </w:style>
  <w:style w:type="paragraph" w:customStyle="1" w:styleId="405">
    <w:name w:val="报告表格"/>
    <w:basedOn w:val="1"/>
    <w:autoRedefine/>
    <w:qFormat/>
    <w:uiPriority w:val="0"/>
    <w:pPr>
      <w:autoSpaceDE w:val="0"/>
      <w:autoSpaceDN w:val="0"/>
      <w:adjustRightInd w:val="0"/>
      <w:spacing w:line="400" w:lineRule="exact"/>
      <w:jc w:val="center"/>
      <w:textAlignment w:val="bottom"/>
    </w:pPr>
    <w:rPr>
      <w:rFonts w:ascii="Times New Roman" w:hAnsi="Times New Roman" w:eastAsia="仿宋_GB2312" w:cs="Times New Roman"/>
      <w:kern w:val="0"/>
      <w:sz w:val="28"/>
      <w:szCs w:val="21"/>
    </w:rPr>
  </w:style>
  <w:style w:type="character" w:customStyle="1" w:styleId="406">
    <w:name w:val="b21"/>
    <w:autoRedefine/>
    <w:qFormat/>
    <w:uiPriority w:val="0"/>
    <w:rPr>
      <w:rFonts w:hint="default"/>
      <w:color w:val="000000"/>
      <w:sz w:val="20"/>
      <w:szCs w:val="20"/>
    </w:rPr>
  </w:style>
  <w:style w:type="paragraph" w:customStyle="1" w:styleId="407">
    <w:name w:val="cjh"/>
    <w:basedOn w:val="1"/>
    <w:next w:val="1"/>
    <w:autoRedefine/>
    <w:qFormat/>
    <w:uiPriority w:val="0"/>
    <w:pPr>
      <w:keepLines/>
      <w:suppressLineNumbers/>
      <w:suppressAutoHyphens/>
      <w:jc w:val="center"/>
      <w:outlineLvl w:val="0"/>
    </w:pPr>
    <w:rPr>
      <w:rFonts w:hint="eastAsia" w:ascii="宋体" w:hAnsi="Times New Roman" w:cs="Times New Roman"/>
      <w:kern w:val="24"/>
      <w:szCs w:val="20"/>
    </w:rPr>
  </w:style>
  <w:style w:type="paragraph" w:customStyle="1" w:styleId="408">
    <w:name w:val="样式9"/>
    <w:basedOn w:val="1"/>
    <w:autoRedefine/>
    <w:qFormat/>
    <w:uiPriority w:val="0"/>
    <w:rPr>
      <w:rFonts w:ascii="Times New Roman" w:hAnsi="Times New Roman" w:cs="Times New Roman"/>
    </w:rPr>
  </w:style>
  <w:style w:type="paragraph" w:customStyle="1" w:styleId="409">
    <w:name w:val="普通(Web)"/>
    <w:basedOn w:val="1"/>
    <w:autoRedefine/>
    <w:qFormat/>
    <w:uiPriority w:val="0"/>
    <w:pPr>
      <w:widowControl/>
      <w:spacing w:before="100" w:after="100"/>
      <w:jc w:val="left"/>
    </w:pPr>
    <w:rPr>
      <w:rFonts w:ascii="宋体" w:hAnsi="宋体" w:cs="Times New Roman"/>
      <w:kern w:val="0"/>
      <w:sz w:val="24"/>
      <w:szCs w:val="20"/>
    </w:rPr>
  </w:style>
  <w:style w:type="character" w:customStyle="1" w:styleId="410">
    <w:name w:val="zhengwen1"/>
    <w:autoRedefine/>
    <w:qFormat/>
    <w:uiPriority w:val="0"/>
    <w:rPr>
      <w:color w:val="000000"/>
      <w:sz w:val="20"/>
      <w:szCs w:val="20"/>
      <w:u w:val="none"/>
    </w:rPr>
  </w:style>
  <w:style w:type="character" w:customStyle="1" w:styleId="411">
    <w:name w:val="标题 Char"/>
    <w:link w:val="58"/>
    <w:autoRedefine/>
    <w:qFormat/>
    <w:uiPriority w:val="0"/>
    <w:rPr>
      <w:rFonts w:ascii="Arial" w:hAnsi="Arial" w:eastAsia="宋体" w:cs="Times New Roman"/>
      <w:b/>
      <w:bCs/>
      <w:sz w:val="32"/>
      <w:szCs w:val="32"/>
    </w:rPr>
  </w:style>
  <w:style w:type="character" w:customStyle="1" w:styleId="412">
    <w:name w:val="标题 字符"/>
    <w:basedOn w:val="63"/>
    <w:autoRedefine/>
    <w:qFormat/>
    <w:uiPriority w:val="10"/>
    <w:rPr>
      <w:rFonts w:asciiTheme="majorHAnsi" w:hAnsiTheme="majorHAnsi" w:eastAsiaTheme="majorEastAsia" w:cstheme="majorBidi"/>
      <w:b/>
      <w:bCs/>
      <w:sz w:val="32"/>
      <w:szCs w:val="32"/>
    </w:rPr>
  </w:style>
  <w:style w:type="character" w:customStyle="1" w:styleId="413">
    <w:name w:val="副标题 Char"/>
    <w:link w:val="45"/>
    <w:autoRedefine/>
    <w:qFormat/>
    <w:uiPriority w:val="0"/>
    <w:rPr>
      <w:rFonts w:ascii="Arial" w:hAnsi="Arial" w:eastAsia="宋体" w:cs="Times New Roman"/>
      <w:b/>
      <w:bCs/>
      <w:kern w:val="28"/>
      <w:sz w:val="32"/>
      <w:szCs w:val="32"/>
    </w:rPr>
  </w:style>
  <w:style w:type="character" w:customStyle="1" w:styleId="414">
    <w:name w:val="副标题 字符"/>
    <w:basedOn w:val="63"/>
    <w:autoRedefine/>
    <w:qFormat/>
    <w:uiPriority w:val="11"/>
    <w:rPr>
      <w:b/>
      <w:bCs/>
      <w:kern w:val="28"/>
      <w:sz w:val="32"/>
      <w:szCs w:val="32"/>
    </w:rPr>
  </w:style>
  <w:style w:type="character" w:customStyle="1" w:styleId="415">
    <w:name w:val="p9l1"/>
    <w:autoRedefine/>
    <w:qFormat/>
    <w:uiPriority w:val="0"/>
    <w:rPr>
      <w:sz w:val="18"/>
      <w:szCs w:val="18"/>
      <w:u w:val="none"/>
    </w:rPr>
  </w:style>
  <w:style w:type="character" w:customStyle="1" w:styleId="416">
    <w:name w:val="正文文本 Char"/>
    <w:autoRedefine/>
    <w:qFormat/>
    <w:uiPriority w:val="0"/>
    <w:rPr>
      <w:rFonts w:eastAsia="仿宋_GB2312"/>
      <w:kern w:val="2"/>
      <w:sz w:val="24"/>
      <w:szCs w:val="24"/>
      <w:lang w:val="en-US" w:eastAsia="zh-CN" w:bidi="ar-SA"/>
    </w:rPr>
  </w:style>
  <w:style w:type="character" w:customStyle="1" w:styleId="417">
    <w:name w:val="正文文字 Char2"/>
    <w:autoRedefine/>
    <w:qFormat/>
    <w:uiPriority w:val="0"/>
    <w:rPr>
      <w:rFonts w:eastAsia="仿宋_GB2312"/>
      <w:kern w:val="2"/>
      <w:sz w:val="24"/>
      <w:szCs w:val="24"/>
      <w:lang w:val="en-US" w:eastAsia="zh-CN" w:bidi="ar-SA"/>
    </w:rPr>
  </w:style>
  <w:style w:type="paragraph" w:customStyle="1" w:styleId="418">
    <w:name w:val="zhenwen"/>
    <w:basedOn w:val="1"/>
    <w:autoRedefine/>
    <w:qFormat/>
    <w:uiPriority w:val="0"/>
    <w:pPr>
      <w:widowControl/>
      <w:spacing w:before="100" w:beforeAutospacing="1" w:after="100" w:afterAutospacing="1" w:line="360" w:lineRule="atLeast"/>
      <w:jc w:val="left"/>
    </w:pPr>
    <w:rPr>
      <w:rFonts w:ascii="Բ" w:hAnsi="Բ" w:cs="Times New Roman"/>
      <w:color w:val="000000"/>
      <w:kern w:val="0"/>
      <w:sz w:val="18"/>
      <w:szCs w:val="18"/>
    </w:rPr>
  </w:style>
  <w:style w:type="paragraph" w:customStyle="1" w:styleId="419">
    <w:name w:val="标题5"/>
    <w:basedOn w:val="1"/>
    <w:autoRedefine/>
    <w:qFormat/>
    <w:uiPriority w:val="0"/>
    <w:pPr>
      <w:widowControl/>
      <w:spacing w:before="100" w:beforeAutospacing="1" w:after="100" w:afterAutospacing="1"/>
      <w:jc w:val="left"/>
    </w:pPr>
    <w:rPr>
      <w:rFonts w:ascii="宋体" w:hAnsi="宋体" w:cs="Times New Roman"/>
      <w:color w:val="000000"/>
      <w:kern w:val="0"/>
      <w:sz w:val="24"/>
    </w:rPr>
  </w:style>
  <w:style w:type="character" w:customStyle="1" w:styleId="420">
    <w:name w:val="标题 3 Char Char Char Char"/>
    <w:autoRedefine/>
    <w:qFormat/>
    <w:uiPriority w:val="0"/>
    <w:rPr>
      <w:rFonts w:ascii="黑体" w:eastAsia="黑体"/>
      <w:b/>
      <w:bCs/>
      <w:sz w:val="28"/>
      <w:szCs w:val="32"/>
    </w:rPr>
  </w:style>
  <w:style w:type="paragraph" w:customStyle="1" w:styleId="421">
    <w:name w:val="表后文"/>
    <w:basedOn w:val="1"/>
    <w:autoRedefine/>
    <w:qFormat/>
    <w:uiPriority w:val="0"/>
    <w:pPr>
      <w:adjustRightInd w:val="0"/>
      <w:spacing w:before="120" w:line="520" w:lineRule="exact"/>
      <w:ind w:firstLine="510"/>
      <w:textAlignment w:val="baseline"/>
    </w:pPr>
    <w:rPr>
      <w:rFonts w:ascii="Times New Roman" w:hAnsi="Times New Roman" w:eastAsia="楷体_GB2312" w:cs="Times New Roman"/>
      <w:kern w:val="0"/>
      <w:sz w:val="24"/>
    </w:rPr>
  </w:style>
  <w:style w:type="paragraph" w:customStyle="1" w:styleId="422">
    <w:name w:val="表蕊居中"/>
    <w:basedOn w:val="303"/>
    <w:autoRedefine/>
    <w:qFormat/>
    <w:uiPriority w:val="0"/>
    <w:pPr>
      <w:adjustRightInd w:val="0"/>
      <w:jc w:val="center"/>
      <w:textAlignment w:val="baseline"/>
    </w:pPr>
    <w:rPr>
      <w:rFonts w:ascii="Times New Roman" w:eastAsia="楷体_GB2312"/>
      <w:kern w:val="0"/>
      <w:sz w:val="21"/>
      <w:szCs w:val="21"/>
    </w:rPr>
  </w:style>
  <w:style w:type="paragraph" w:customStyle="1" w:styleId="423">
    <w:name w:val="样式 样式 标题 4 + 黑色 左侧:  -0.01 厘米 首行缩进:  0.01 厘米 + 左侧:  0 厘米 首行缩进: ..."/>
    <w:basedOn w:val="424"/>
    <w:autoRedefine/>
    <w:qFormat/>
    <w:uiPriority w:val="0"/>
    <w:pPr>
      <w:tabs>
        <w:tab w:val="left" w:pos="2160"/>
      </w:tabs>
    </w:pPr>
  </w:style>
  <w:style w:type="paragraph" w:customStyle="1" w:styleId="424">
    <w:name w:val="样式 标题 4 + 黑色 左侧:  -0.01 厘米 首行缩进:  0.01 厘米"/>
    <w:basedOn w:val="5"/>
    <w:autoRedefine/>
    <w:qFormat/>
    <w:uiPriority w:val="0"/>
    <w:pPr>
      <w:tabs>
        <w:tab w:val="left" w:pos="2160"/>
      </w:tabs>
      <w:spacing w:beforeLines="50" w:after="0" w:line="312" w:lineRule="auto"/>
      <w:ind w:left="2160" w:hanging="420"/>
    </w:pPr>
    <w:rPr>
      <w:rFonts w:ascii="仿宋_GB2312" w:eastAsia="仿宋_GB2312"/>
      <w:b w:val="0"/>
      <w:bCs w:val="0"/>
      <w:color w:val="000000"/>
      <w:szCs w:val="20"/>
    </w:rPr>
  </w:style>
  <w:style w:type="paragraph" w:customStyle="1" w:styleId="425">
    <w:name w:val="样式11"/>
    <w:basedOn w:val="1"/>
    <w:autoRedefine/>
    <w:qFormat/>
    <w:uiPriority w:val="0"/>
    <w:pPr>
      <w:tabs>
        <w:tab w:val="left" w:pos="720"/>
      </w:tabs>
      <w:adjustRightInd w:val="0"/>
      <w:snapToGrid w:val="0"/>
      <w:spacing w:line="312" w:lineRule="auto"/>
      <w:ind w:left="720" w:hanging="720"/>
    </w:pPr>
    <w:rPr>
      <w:rFonts w:ascii="仿宋_GB2312" w:hAnsi="Times New Roman" w:eastAsia="仿宋_GB2312" w:cs="Times New Roman"/>
      <w:sz w:val="28"/>
    </w:rPr>
  </w:style>
  <w:style w:type="paragraph" w:customStyle="1" w:styleId="426">
    <w:name w:val="样式 标题 2节 + 段前: 1 行 段后: 0.5 行1"/>
    <w:basedOn w:val="1"/>
    <w:autoRedefine/>
    <w:qFormat/>
    <w:uiPriority w:val="0"/>
    <w:pPr>
      <w:tabs>
        <w:tab w:val="left" w:pos="567"/>
      </w:tabs>
      <w:ind w:left="567" w:hanging="567"/>
    </w:pPr>
    <w:rPr>
      <w:rFonts w:ascii="Times New Roman" w:hAnsi="Times New Roman" w:cs="Times New Roman"/>
    </w:rPr>
  </w:style>
  <w:style w:type="character" w:customStyle="1" w:styleId="427">
    <w:name w:val="正文（首行缩进两字） Char4"/>
    <w:autoRedefine/>
    <w:qFormat/>
    <w:uiPriority w:val="0"/>
    <w:rPr>
      <w:rFonts w:ascii="仿宋_GB2312" w:eastAsia="仿宋_GB2312"/>
      <w:color w:val="000000"/>
      <w:kern w:val="2"/>
      <w:sz w:val="28"/>
      <w:szCs w:val="24"/>
      <w:lang w:val="en-US" w:eastAsia="zh-CN" w:bidi="ar-SA"/>
    </w:rPr>
  </w:style>
  <w:style w:type="paragraph" w:customStyle="1" w:styleId="428">
    <w:name w:val="正文居中"/>
    <w:basedOn w:val="1"/>
    <w:next w:val="1"/>
    <w:autoRedefine/>
    <w:qFormat/>
    <w:uiPriority w:val="0"/>
    <w:pPr>
      <w:spacing w:line="320" w:lineRule="atLeast"/>
    </w:pPr>
    <w:rPr>
      <w:rFonts w:ascii="宋体" w:hAnsi="宋体" w:cs="Times New Roman"/>
      <w:color w:val="000000"/>
      <w:szCs w:val="21"/>
    </w:rPr>
  </w:style>
  <w:style w:type="paragraph" w:customStyle="1" w:styleId="429">
    <w:name w:val="标准"/>
    <w:basedOn w:val="1"/>
    <w:autoRedefine/>
    <w:qFormat/>
    <w:uiPriority w:val="0"/>
    <w:pPr>
      <w:adjustRightInd w:val="0"/>
      <w:spacing w:line="312" w:lineRule="atLeast"/>
      <w:textAlignment w:val="baseline"/>
    </w:pPr>
    <w:rPr>
      <w:rFonts w:ascii="Times New Roman" w:hAnsi="Times New Roman" w:cs="Times New Roman"/>
      <w:kern w:val="0"/>
      <w:sz w:val="24"/>
      <w:szCs w:val="20"/>
    </w:rPr>
  </w:style>
  <w:style w:type="character" w:customStyle="1" w:styleId="430">
    <w:name w:val="content1"/>
    <w:basedOn w:val="63"/>
    <w:qFormat/>
    <w:uiPriority w:val="0"/>
  </w:style>
  <w:style w:type="character" w:customStyle="1" w:styleId="431">
    <w:name w:val="textsy"/>
    <w:basedOn w:val="63"/>
    <w:autoRedefine/>
    <w:qFormat/>
    <w:uiPriority w:val="0"/>
  </w:style>
  <w:style w:type="paragraph" w:customStyle="1" w:styleId="432">
    <w:name w:val="图表五号"/>
    <w:basedOn w:val="1"/>
    <w:autoRedefine/>
    <w:qFormat/>
    <w:uiPriority w:val="0"/>
    <w:pPr>
      <w:autoSpaceDE w:val="0"/>
      <w:autoSpaceDN w:val="0"/>
      <w:adjustRightInd w:val="0"/>
      <w:snapToGrid w:val="0"/>
      <w:spacing w:line="20" w:lineRule="atLeast"/>
      <w:jc w:val="center"/>
    </w:pPr>
    <w:rPr>
      <w:rFonts w:ascii="Times New Roman" w:hAnsi="Times New Roman" w:cs="Times New Roman"/>
      <w:szCs w:val="20"/>
    </w:rPr>
  </w:style>
  <w:style w:type="character" w:customStyle="1" w:styleId="433">
    <w:name w:val="正文缩进 Char"/>
    <w:autoRedefine/>
    <w:qFormat/>
    <w:uiPriority w:val="0"/>
    <w:rPr>
      <w:rFonts w:eastAsia="宋体"/>
      <w:kern w:val="24"/>
      <w:sz w:val="24"/>
      <w:szCs w:val="18"/>
      <w:lang w:val="en-US" w:eastAsia="zh-CN" w:bidi="ar-SA"/>
    </w:rPr>
  </w:style>
  <w:style w:type="paragraph" w:customStyle="1" w:styleId="434">
    <w:name w:val="font11"/>
    <w:basedOn w:val="1"/>
    <w:qFormat/>
    <w:uiPriority w:val="0"/>
    <w:pPr>
      <w:widowControl/>
      <w:spacing w:before="100" w:beforeAutospacing="1" w:after="100" w:afterAutospacing="1"/>
      <w:jc w:val="left"/>
    </w:pPr>
    <w:rPr>
      <w:rFonts w:hint="eastAsia" w:ascii="宋体" w:hAnsi="宋体" w:cs="Times New Roman"/>
      <w:color w:val="000000"/>
      <w:kern w:val="0"/>
      <w:sz w:val="18"/>
      <w:szCs w:val="18"/>
    </w:rPr>
  </w:style>
  <w:style w:type="paragraph" w:customStyle="1" w:styleId="435">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Arial Unicode MS" w:hAnsi="Arial Unicode MS" w:eastAsia="Arial Unicode MS" w:cs="Times New Roman"/>
      <w:kern w:val="0"/>
      <w:sz w:val="28"/>
      <w:szCs w:val="28"/>
    </w:rPr>
  </w:style>
  <w:style w:type="paragraph" w:customStyle="1" w:styleId="436">
    <w:name w:val="xl46"/>
    <w:basedOn w:val="1"/>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jc w:val="center"/>
      <w:textAlignment w:val="center"/>
    </w:pPr>
    <w:rPr>
      <w:rFonts w:ascii="Times New Roman" w:hAnsi="Times New Roman" w:eastAsia="Arial Unicode MS" w:cs="Times New Roman"/>
      <w:kern w:val="0"/>
      <w:sz w:val="28"/>
      <w:szCs w:val="28"/>
    </w:rPr>
  </w:style>
  <w:style w:type="paragraph" w:customStyle="1" w:styleId="437">
    <w:name w:val="xl47"/>
    <w:basedOn w:val="1"/>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jc w:val="center"/>
      <w:textAlignment w:val="center"/>
    </w:pPr>
    <w:rPr>
      <w:rFonts w:ascii="Arial Unicode MS" w:hAnsi="Arial Unicode MS" w:eastAsia="Arial Unicode MS" w:cs="Times New Roman"/>
      <w:kern w:val="0"/>
      <w:sz w:val="28"/>
      <w:szCs w:val="28"/>
    </w:rPr>
  </w:style>
  <w:style w:type="paragraph" w:customStyle="1" w:styleId="438">
    <w:name w:val="xl48"/>
    <w:basedOn w:val="1"/>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jc w:val="left"/>
      <w:textAlignment w:val="center"/>
    </w:pPr>
    <w:rPr>
      <w:rFonts w:ascii="Times New Roman" w:hAnsi="Times New Roman" w:eastAsia="Arial Unicode MS" w:cs="Times New Roman"/>
      <w:kern w:val="0"/>
      <w:sz w:val="28"/>
      <w:szCs w:val="28"/>
    </w:rPr>
  </w:style>
  <w:style w:type="paragraph" w:customStyle="1" w:styleId="439">
    <w:name w:val="xl4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cs="Times New Roman"/>
      <w:kern w:val="0"/>
      <w:sz w:val="28"/>
      <w:szCs w:val="28"/>
    </w:rPr>
  </w:style>
  <w:style w:type="paragraph" w:customStyle="1" w:styleId="440">
    <w:name w:val="xl5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Times New Roman" w:hAnsi="Times New Roman" w:eastAsia="Arial Unicode MS" w:cs="Times New Roman"/>
      <w:kern w:val="0"/>
      <w:sz w:val="24"/>
    </w:rPr>
  </w:style>
  <w:style w:type="paragraph" w:customStyle="1" w:styleId="441">
    <w:name w:val="xl51"/>
    <w:basedOn w:val="1"/>
    <w:qFormat/>
    <w:uiPriority w:val="0"/>
    <w:pPr>
      <w:widowControl/>
      <w:shd w:val="clear" w:color="auto" w:fill="FFFFFF"/>
      <w:spacing w:before="100" w:beforeAutospacing="1" w:after="100" w:afterAutospacing="1"/>
      <w:jc w:val="center"/>
      <w:textAlignment w:val="center"/>
    </w:pPr>
    <w:rPr>
      <w:rFonts w:ascii="Arial Unicode MS" w:hAnsi="Arial Unicode MS" w:eastAsia="Arial Unicode MS" w:cs="Times New Roman"/>
      <w:kern w:val="0"/>
      <w:sz w:val="28"/>
      <w:szCs w:val="28"/>
    </w:rPr>
  </w:style>
  <w:style w:type="paragraph" w:customStyle="1" w:styleId="442">
    <w:name w:val="xl52"/>
    <w:basedOn w:val="1"/>
    <w:qFormat/>
    <w:uiPriority w:val="0"/>
    <w:pPr>
      <w:widowControl/>
      <w:shd w:val="clear" w:color="auto" w:fill="FFFFFF"/>
      <w:spacing w:before="100" w:beforeAutospacing="1" w:after="100" w:afterAutospacing="1"/>
      <w:jc w:val="left"/>
      <w:textAlignment w:val="center"/>
    </w:pPr>
    <w:rPr>
      <w:rFonts w:ascii="Arial Unicode MS" w:hAnsi="Arial Unicode MS" w:eastAsia="Arial Unicode MS" w:cs="Times New Roman"/>
      <w:kern w:val="0"/>
      <w:sz w:val="28"/>
      <w:szCs w:val="28"/>
    </w:rPr>
  </w:style>
  <w:style w:type="paragraph" w:customStyle="1" w:styleId="443">
    <w:name w:val="xl55"/>
    <w:basedOn w:val="1"/>
    <w:qFormat/>
    <w:uiPriority w:val="0"/>
    <w:pPr>
      <w:widowControl/>
      <w:shd w:val="clear" w:color="auto" w:fill="FFFFFF"/>
      <w:spacing w:before="100" w:beforeAutospacing="1" w:after="100" w:afterAutospacing="1"/>
      <w:jc w:val="center"/>
    </w:pPr>
    <w:rPr>
      <w:rFonts w:hint="eastAsia" w:ascii="隶书" w:hAnsi="Arial Unicode MS" w:eastAsia="隶书" w:cs="Times New Roman"/>
      <w:color w:val="000080"/>
      <w:kern w:val="0"/>
      <w:sz w:val="44"/>
      <w:szCs w:val="44"/>
    </w:rPr>
  </w:style>
  <w:style w:type="paragraph" w:customStyle="1" w:styleId="444">
    <w:name w:val="xl5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cs="Times New Roman"/>
      <w:kern w:val="0"/>
      <w:sz w:val="28"/>
      <w:szCs w:val="28"/>
    </w:rPr>
  </w:style>
  <w:style w:type="paragraph" w:customStyle="1" w:styleId="445">
    <w:name w:val="xl5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cs="Times New Roman"/>
      <w:kern w:val="0"/>
      <w:sz w:val="28"/>
      <w:szCs w:val="28"/>
    </w:rPr>
  </w:style>
  <w:style w:type="paragraph" w:customStyle="1" w:styleId="446">
    <w:name w:val="xl58"/>
    <w:basedOn w:val="1"/>
    <w:qFormat/>
    <w:uiPriority w:val="0"/>
    <w:pPr>
      <w:widowControl/>
      <w:pBdr>
        <w:bottom w:val="single" w:color="auto" w:sz="4" w:space="0"/>
      </w:pBdr>
      <w:shd w:val="clear" w:color="auto" w:fill="FFFFFF"/>
      <w:spacing w:before="100" w:beforeAutospacing="1" w:after="100" w:afterAutospacing="1"/>
      <w:jc w:val="left"/>
    </w:pPr>
    <w:rPr>
      <w:rFonts w:ascii="Arial Unicode MS" w:hAnsi="Arial Unicode MS" w:eastAsia="Arial Unicode MS" w:cs="Times New Roman"/>
      <w:color w:val="000080"/>
      <w:kern w:val="0"/>
      <w:sz w:val="28"/>
      <w:szCs w:val="28"/>
    </w:rPr>
  </w:style>
  <w:style w:type="paragraph" w:customStyle="1" w:styleId="447">
    <w:name w:val="xl59"/>
    <w:basedOn w:val="1"/>
    <w:qFormat/>
    <w:uiPriority w:val="0"/>
    <w:pPr>
      <w:widowControl/>
      <w:pBdr>
        <w:bottom w:val="single" w:color="auto" w:sz="4" w:space="0"/>
      </w:pBdr>
      <w:shd w:val="clear" w:color="auto" w:fill="FFFFFF"/>
      <w:spacing w:before="100" w:beforeAutospacing="1" w:after="100" w:afterAutospacing="1"/>
      <w:jc w:val="right"/>
    </w:pPr>
    <w:rPr>
      <w:rFonts w:ascii="Arial Unicode MS" w:hAnsi="Arial Unicode MS" w:eastAsia="Arial Unicode MS" w:cs="Times New Roman"/>
      <w:color w:val="000080"/>
      <w:kern w:val="0"/>
      <w:sz w:val="28"/>
      <w:szCs w:val="28"/>
    </w:rPr>
  </w:style>
  <w:style w:type="paragraph" w:customStyle="1" w:styleId="448">
    <w:name w:val="标题3_MHZ"/>
    <w:basedOn w:val="1"/>
    <w:next w:val="1"/>
    <w:qFormat/>
    <w:uiPriority w:val="0"/>
    <w:rPr>
      <w:rFonts w:ascii="Times New Roman" w:hAnsi="Times New Roman" w:eastAsia="楷体_GB2312" w:cs="Times New Roman"/>
      <w:b/>
      <w:sz w:val="28"/>
    </w:rPr>
  </w:style>
  <w:style w:type="paragraph" w:customStyle="1" w:styleId="449">
    <w:name w:val="标题4_MHZ"/>
    <w:basedOn w:val="1"/>
    <w:next w:val="1"/>
    <w:qFormat/>
    <w:uiPriority w:val="0"/>
    <w:pPr>
      <w:adjustRightInd w:val="0"/>
      <w:snapToGrid w:val="0"/>
      <w:spacing w:line="360" w:lineRule="auto"/>
      <w:ind w:firstLine="482" w:firstLineChars="200"/>
    </w:pPr>
    <w:rPr>
      <w:rFonts w:ascii="Times New Roman" w:hAnsi="Times New Roman" w:cs="Times New Roman"/>
      <w:b/>
      <w:bCs/>
      <w:sz w:val="24"/>
    </w:rPr>
  </w:style>
  <w:style w:type="paragraph" w:customStyle="1" w:styleId="450">
    <w:name w:val="样式 正文缩进 + 段前: 0.3 行"/>
    <w:basedOn w:val="8"/>
    <w:qFormat/>
    <w:uiPriority w:val="0"/>
    <w:pPr>
      <w:widowControl/>
      <w:suppressAutoHyphens/>
      <w:adjustRightInd w:val="0"/>
      <w:spacing w:beforeLines="30" w:afterLines="10" w:line="288" w:lineRule="auto"/>
      <w:ind w:firstLine="480"/>
    </w:pPr>
    <w:rPr>
      <w:kern w:val="24"/>
      <w:sz w:val="24"/>
      <w:szCs w:val="20"/>
    </w:rPr>
  </w:style>
  <w:style w:type="paragraph" w:customStyle="1" w:styleId="451">
    <w:name w:val="页眉1"/>
    <w:basedOn w:val="40"/>
    <w:qFormat/>
    <w:uiPriority w:val="0"/>
    <w:pPr>
      <w:widowControl/>
      <w:pBdr>
        <w:bottom w:val="none" w:color="auto" w:sz="0" w:space="0"/>
      </w:pBdr>
      <w:suppressAutoHyphens/>
      <w:adjustRightInd w:val="0"/>
      <w:jc w:val="both"/>
    </w:pPr>
    <w:rPr>
      <w:rFonts w:ascii="Times New Roman" w:hAnsi="Times New Roman" w:eastAsia="黑体" w:cs="Times New Roman"/>
      <w:kern w:val="21"/>
      <w:sz w:val="21"/>
      <w:szCs w:val="21"/>
    </w:rPr>
  </w:style>
  <w:style w:type="character" w:customStyle="1" w:styleId="452">
    <w:name w:val="正文文本缩进 Char"/>
    <w:qFormat/>
    <w:uiPriority w:val="0"/>
    <w:rPr>
      <w:rFonts w:eastAsia="宋体"/>
      <w:kern w:val="24"/>
      <w:sz w:val="24"/>
      <w:lang w:val="en-US" w:eastAsia="zh-CN" w:bidi="ar-SA"/>
    </w:rPr>
  </w:style>
  <w:style w:type="character" w:customStyle="1" w:styleId="453">
    <w:name w:val="正文首行缩进 2 Char"/>
    <w:basedOn w:val="452"/>
    <w:qFormat/>
    <w:uiPriority w:val="0"/>
    <w:rPr>
      <w:rFonts w:eastAsia="宋体"/>
      <w:kern w:val="24"/>
      <w:sz w:val="24"/>
      <w:lang w:val="en-US" w:eastAsia="zh-CN" w:bidi="ar-SA"/>
    </w:rPr>
  </w:style>
  <w:style w:type="paragraph" w:customStyle="1" w:styleId="454">
    <w:name w:val="页脚1"/>
    <w:basedOn w:val="38"/>
    <w:qFormat/>
    <w:uiPriority w:val="0"/>
    <w:pPr>
      <w:widowControl/>
      <w:suppressAutoHyphens/>
      <w:adjustRightInd w:val="0"/>
      <w:spacing w:line="312" w:lineRule="auto"/>
      <w:ind w:firstLine="482"/>
      <w:jc w:val="center"/>
    </w:pPr>
    <w:rPr>
      <w:rFonts w:ascii="Times New Roman" w:hAnsi="Times New Roman" w:eastAsia="楷体_GB2312" w:cs="Times New Roman"/>
      <w:kern w:val="24"/>
      <w:sz w:val="21"/>
      <w:szCs w:val="21"/>
    </w:rPr>
  </w:style>
  <w:style w:type="character" w:customStyle="1" w:styleId="455">
    <w:name w:val="Char Char2"/>
    <w:qFormat/>
    <w:uiPriority w:val="0"/>
    <w:rPr>
      <w:rFonts w:eastAsia="宋体"/>
      <w:kern w:val="24"/>
      <w:sz w:val="24"/>
      <w:szCs w:val="18"/>
      <w:lang w:val="en-US" w:eastAsia="zh-CN" w:bidi="ar-SA"/>
    </w:rPr>
  </w:style>
  <w:style w:type="paragraph" w:customStyle="1" w:styleId="456">
    <w:name w:val="表格正文"/>
    <w:basedOn w:val="8"/>
    <w:qFormat/>
    <w:uiPriority w:val="0"/>
    <w:pPr>
      <w:adjustRightInd w:val="0"/>
      <w:ind w:firstLine="0" w:firstLineChars="0"/>
    </w:pPr>
    <w:rPr>
      <w:color w:val="000000"/>
      <w:spacing w:val="12"/>
      <w:kern w:val="0"/>
      <w:sz w:val="24"/>
      <w:szCs w:val="20"/>
    </w:rPr>
  </w:style>
  <w:style w:type="paragraph" w:customStyle="1" w:styleId="457">
    <w:name w:val="1.1"/>
    <w:autoRedefine/>
    <w:qFormat/>
    <w:uiPriority w:val="0"/>
    <w:pPr>
      <w:widowControl w:val="0"/>
      <w:tabs>
        <w:tab w:val="left" w:pos="920"/>
      </w:tabs>
      <w:ind w:left="920" w:hanging="360"/>
      <w:jc w:val="both"/>
    </w:pPr>
    <w:rPr>
      <w:rFonts w:ascii="Times New Roman" w:hAnsi="Times New Roman" w:eastAsia="宋体" w:cs="Times New Roman"/>
      <w:kern w:val="2"/>
      <w:sz w:val="24"/>
      <w:szCs w:val="20"/>
      <w:lang w:val="en-US" w:eastAsia="zh-CN" w:bidi="ar-SA"/>
    </w:rPr>
  </w:style>
  <w:style w:type="character" w:customStyle="1" w:styleId="458">
    <w:name w:val="infodetail1"/>
    <w:autoRedefine/>
    <w:qFormat/>
    <w:uiPriority w:val="0"/>
    <w:rPr>
      <w:rFonts w:hint="default"/>
      <w:sz w:val="22"/>
      <w:szCs w:val="22"/>
    </w:rPr>
  </w:style>
  <w:style w:type="paragraph" w:customStyle="1" w:styleId="459">
    <w:name w:val="HTML Top of Form"/>
    <w:basedOn w:val="1"/>
    <w:next w:val="1"/>
    <w:link w:val="460"/>
    <w:qFormat/>
    <w:uiPriority w:val="0"/>
    <w:pPr>
      <w:widowControl/>
      <w:pBdr>
        <w:bottom w:val="single" w:color="auto" w:sz="6" w:space="1"/>
      </w:pBdr>
      <w:jc w:val="center"/>
    </w:pPr>
    <w:rPr>
      <w:rFonts w:ascii="Arial" w:hAnsi="Arial" w:cs="Arial"/>
      <w:vanish/>
      <w:kern w:val="0"/>
      <w:sz w:val="16"/>
      <w:szCs w:val="16"/>
    </w:rPr>
  </w:style>
  <w:style w:type="character" w:customStyle="1" w:styleId="460">
    <w:name w:val="z-窗体顶端 Char"/>
    <w:basedOn w:val="63"/>
    <w:link w:val="459"/>
    <w:autoRedefine/>
    <w:qFormat/>
    <w:uiPriority w:val="0"/>
    <w:rPr>
      <w:rFonts w:ascii="Arial" w:hAnsi="Arial" w:eastAsia="宋体" w:cs="Arial"/>
      <w:vanish/>
      <w:kern w:val="0"/>
      <w:sz w:val="16"/>
      <w:szCs w:val="16"/>
    </w:rPr>
  </w:style>
  <w:style w:type="character" w:customStyle="1" w:styleId="461">
    <w:name w:val="标题 4 Char1"/>
    <w:autoRedefine/>
    <w:qFormat/>
    <w:uiPriority w:val="0"/>
    <w:rPr>
      <w:rFonts w:ascii="Arial" w:hAnsi="Arial" w:eastAsia="黑体"/>
      <w:b/>
      <w:bCs/>
      <w:kern w:val="2"/>
      <w:sz w:val="28"/>
      <w:szCs w:val="28"/>
      <w:lang w:val="en-US" w:eastAsia="zh-CN" w:bidi="ar-SA"/>
    </w:rPr>
  </w:style>
  <w:style w:type="character" w:customStyle="1" w:styleId="462">
    <w:name w:val="p14b1"/>
    <w:autoRedefine/>
    <w:qFormat/>
    <w:uiPriority w:val="0"/>
    <w:rPr>
      <w:rFonts w:hint="eastAsia" w:ascii="宋体" w:hAnsi="宋体" w:eastAsia="宋体"/>
      <w:color w:val="000000"/>
      <w:sz w:val="28"/>
      <w:szCs w:val="28"/>
    </w:rPr>
  </w:style>
  <w:style w:type="paragraph" w:customStyle="1" w:styleId="463">
    <w:name w:val="样式 标题 3条 + 两端对齐1"/>
    <w:basedOn w:val="4"/>
    <w:autoRedefine/>
    <w:qFormat/>
    <w:uiPriority w:val="0"/>
    <w:pPr>
      <w:keepNext w:val="0"/>
      <w:keepLines w:val="0"/>
      <w:widowControl/>
      <w:tabs>
        <w:tab w:val="left" w:pos="290"/>
        <w:tab w:val="left" w:pos="500"/>
        <w:tab w:val="left" w:pos="1130"/>
        <w:tab w:val="left" w:pos="3229"/>
      </w:tabs>
      <w:snapToGrid w:val="0"/>
      <w:spacing w:before="156" w:after="156" w:line="440" w:lineRule="exact"/>
      <w:ind w:left="480" w:hanging="480"/>
      <w:jc w:val="left"/>
    </w:pPr>
    <w:rPr>
      <w:rFonts w:ascii="宋体" w:hAnsi="宋体" w:cs="宋体"/>
      <w:b w:val="0"/>
      <w:bCs w:val="0"/>
      <w:kern w:val="0"/>
      <w:sz w:val="24"/>
      <w:szCs w:val="20"/>
    </w:rPr>
  </w:style>
  <w:style w:type="paragraph" w:customStyle="1" w:styleId="464">
    <w:name w:val="SCIDI正文"/>
    <w:basedOn w:val="1"/>
    <w:autoRedefine/>
    <w:qFormat/>
    <w:uiPriority w:val="0"/>
    <w:pPr>
      <w:adjustRightInd w:val="0"/>
      <w:snapToGrid w:val="0"/>
      <w:spacing w:line="360" w:lineRule="auto"/>
      <w:ind w:firstLine="560" w:firstLineChars="200"/>
    </w:pPr>
    <w:rPr>
      <w:rFonts w:ascii="Times New Roman" w:hAnsi="Times New Roman" w:cs="Times New Roman"/>
      <w:sz w:val="28"/>
      <w:szCs w:val="28"/>
    </w:rPr>
  </w:style>
  <w:style w:type="paragraph" w:customStyle="1" w:styleId="465">
    <w:name w:val="图表正文"/>
    <w:basedOn w:val="1"/>
    <w:autoRedefine/>
    <w:qFormat/>
    <w:uiPriority w:val="0"/>
    <w:pPr>
      <w:adjustRightInd w:val="0"/>
      <w:snapToGrid w:val="0"/>
      <w:spacing w:line="360" w:lineRule="auto"/>
      <w:jc w:val="center"/>
      <w:textAlignment w:val="center"/>
    </w:pPr>
    <w:rPr>
      <w:rFonts w:ascii="Times New Roman" w:hAnsi="Times New Roman" w:eastAsia="仿宋_GB2312" w:cs="Times New Roman"/>
      <w:snapToGrid w:val="0"/>
      <w:kern w:val="0"/>
      <w:szCs w:val="21"/>
    </w:rPr>
  </w:style>
  <w:style w:type="character" w:customStyle="1" w:styleId="466">
    <w:name w:val="p11"/>
    <w:qFormat/>
    <w:uiPriority w:val="0"/>
    <w:rPr>
      <w:sz w:val="18"/>
      <w:szCs w:val="18"/>
    </w:rPr>
  </w:style>
  <w:style w:type="paragraph" w:customStyle="1" w:styleId="467">
    <w:name w:val="文字块"/>
    <w:basedOn w:val="1"/>
    <w:qFormat/>
    <w:uiPriority w:val="0"/>
    <w:pPr>
      <w:adjustRightInd w:val="0"/>
      <w:spacing w:line="360" w:lineRule="auto"/>
      <w:ind w:left="-360" w:right="-57" w:firstLine="303"/>
      <w:textAlignment w:val="baseline"/>
    </w:pPr>
    <w:rPr>
      <w:rFonts w:ascii="Times New Roman" w:hAnsi="Times New Roman" w:cs="Times New Roman"/>
      <w:sz w:val="28"/>
      <w:szCs w:val="20"/>
    </w:rPr>
  </w:style>
  <w:style w:type="character" w:customStyle="1" w:styleId="468">
    <w:name w:val="news1"/>
    <w:qFormat/>
    <w:uiPriority w:val="0"/>
    <w:rPr>
      <w:color w:val="000000"/>
      <w:sz w:val="21"/>
      <w:szCs w:val="21"/>
      <w:u w:val="none"/>
    </w:rPr>
  </w:style>
  <w:style w:type="paragraph" w:customStyle="1" w:styleId="469">
    <w:name w:val="正文缩进2"/>
    <w:basedOn w:val="1"/>
    <w:autoRedefine/>
    <w:qFormat/>
    <w:uiPriority w:val="0"/>
    <w:pPr>
      <w:ind w:firstLine="420" w:firstLineChars="200"/>
    </w:pPr>
    <w:rPr>
      <w:rFonts w:hint="eastAsia" w:ascii="Times New Roman" w:hAnsi="Times New Roman" w:cs="Times New Roman"/>
      <w:szCs w:val="20"/>
    </w:rPr>
  </w:style>
  <w:style w:type="paragraph" w:customStyle="1" w:styleId="470">
    <w:name w:val="环评报告格式"/>
    <w:basedOn w:val="2"/>
    <w:qFormat/>
    <w:uiPriority w:val="0"/>
    <w:pPr>
      <w:spacing w:line="500" w:lineRule="exact"/>
      <w:ind w:firstLine="540" w:firstLineChars="225"/>
    </w:pPr>
    <w:rPr>
      <w:rFonts w:ascii="Times New Roman" w:hAnsi="Times New Roman" w:cs="Times New Roman"/>
      <w:sz w:val="30"/>
    </w:rPr>
  </w:style>
  <w:style w:type="paragraph" w:customStyle="1" w:styleId="471">
    <w:name w:val="Default"/>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472">
    <w:name w:val="普通文字 Char Char Char Char Char Char Char Char Char Char Char"/>
    <w:autoRedefine/>
    <w:qFormat/>
    <w:uiPriority w:val="0"/>
    <w:rPr>
      <w:rFonts w:hint="eastAsia" w:ascii="宋体" w:hAnsi="Courier New" w:eastAsia="宋体"/>
      <w:color w:val="000000"/>
      <w:kern w:val="2"/>
      <w:sz w:val="21"/>
      <w:u w:color="000000"/>
      <w:lang w:val="en-US" w:eastAsia="zh-CN"/>
    </w:rPr>
  </w:style>
  <w:style w:type="character" w:customStyle="1" w:styleId="473">
    <w:name w:val="默认段落字体 Char"/>
    <w:autoRedefine/>
    <w:qFormat/>
    <w:uiPriority w:val="0"/>
    <w:rPr>
      <w:rFonts w:hint="eastAsia"/>
      <w:color w:val="000000"/>
      <w:sz w:val="21"/>
      <w:u w:color="000000"/>
      <w:lang w:val="en-US" w:eastAsia="zh-CN"/>
    </w:rPr>
  </w:style>
  <w:style w:type="character" w:customStyle="1" w:styleId="474">
    <w:name w:val="批注引用 Char"/>
    <w:basedOn w:val="473"/>
    <w:autoRedefine/>
    <w:qFormat/>
    <w:uiPriority w:val="0"/>
    <w:rPr>
      <w:rFonts w:hint="eastAsia"/>
      <w:color w:val="000000"/>
      <w:sz w:val="21"/>
      <w:u w:color="000000"/>
      <w:lang w:val="en-US" w:eastAsia="zh-CN"/>
    </w:rPr>
  </w:style>
  <w:style w:type="character" w:customStyle="1" w:styleId="475">
    <w:name w:val="链接"/>
    <w:autoRedefine/>
    <w:qFormat/>
    <w:uiPriority w:val="0"/>
    <w:rPr>
      <w:rFonts w:hint="eastAsia"/>
      <w:color w:val="0000FF"/>
      <w:sz w:val="21"/>
      <w:u w:val="single" w:color="0000FF"/>
      <w:lang w:val="en-US" w:eastAsia="zh-CN"/>
    </w:rPr>
  </w:style>
  <w:style w:type="character" w:customStyle="1" w:styleId="476">
    <w:name w:val="页码 Char"/>
    <w:basedOn w:val="473"/>
    <w:qFormat/>
    <w:uiPriority w:val="0"/>
    <w:rPr>
      <w:rFonts w:hint="eastAsia"/>
      <w:color w:val="000000"/>
      <w:sz w:val="21"/>
      <w:u w:color="000000"/>
      <w:lang w:val="en-US" w:eastAsia="zh-CN"/>
    </w:rPr>
  </w:style>
  <w:style w:type="paragraph" w:customStyle="1" w:styleId="477">
    <w:name w:val="目录 9 Char Char"/>
    <w:basedOn w:val="1"/>
    <w:next w:val="1"/>
    <w:autoRedefine/>
    <w:qFormat/>
    <w:uiPriority w:val="0"/>
    <w:pPr>
      <w:spacing w:line="351" w:lineRule="atLeast"/>
      <w:ind w:left="1678" w:firstLine="419"/>
      <w:jc w:val="left"/>
    </w:pPr>
    <w:rPr>
      <w:rFonts w:hint="eastAsia" w:ascii="Times New Roman" w:hAnsi="Times New Roman" w:cs="Times New Roman"/>
      <w:szCs w:val="20"/>
    </w:rPr>
  </w:style>
  <w:style w:type="paragraph" w:customStyle="1" w:styleId="478">
    <w:name w:val="目录 7 Char Char"/>
    <w:basedOn w:val="1"/>
    <w:next w:val="1"/>
    <w:autoRedefine/>
    <w:qFormat/>
    <w:uiPriority w:val="0"/>
    <w:pPr>
      <w:spacing w:line="351" w:lineRule="atLeast"/>
      <w:ind w:left="1258" w:firstLine="419"/>
      <w:jc w:val="left"/>
    </w:pPr>
    <w:rPr>
      <w:rFonts w:hint="eastAsia" w:ascii="Times New Roman" w:hAnsi="Times New Roman" w:cs="Times New Roman"/>
      <w:szCs w:val="20"/>
    </w:rPr>
  </w:style>
  <w:style w:type="paragraph" w:customStyle="1" w:styleId="479">
    <w:name w:val="页脚 Char Char"/>
    <w:basedOn w:val="1"/>
    <w:qFormat/>
    <w:uiPriority w:val="0"/>
    <w:pPr>
      <w:tabs>
        <w:tab w:val="left" w:pos="4149"/>
        <w:tab w:val="left" w:pos="8016"/>
      </w:tabs>
      <w:spacing w:line="351" w:lineRule="atLeast"/>
      <w:ind w:firstLine="419"/>
      <w:jc w:val="left"/>
    </w:pPr>
    <w:rPr>
      <w:rFonts w:hint="eastAsia" w:ascii="Times New Roman" w:hAnsi="Times New Roman" w:cs="Times New Roman"/>
      <w:sz w:val="18"/>
      <w:szCs w:val="20"/>
    </w:rPr>
  </w:style>
  <w:style w:type="paragraph" w:customStyle="1" w:styleId="480">
    <w:name w:val="目录 4 Char Char"/>
    <w:basedOn w:val="1"/>
    <w:next w:val="1"/>
    <w:qFormat/>
    <w:uiPriority w:val="0"/>
    <w:pPr>
      <w:spacing w:line="351" w:lineRule="atLeast"/>
      <w:ind w:left="629" w:firstLine="419"/>
      <w:jc w:val="left"/>
    </w:pPr>
    <w:rPr>
      <w:rFonts w:hint="eastAsia" w:ascii="Times New Roman" w:hAnsi="Times New Roman" w:cs="Times New Roman"/>
      <w:szCs w:val="20"/>
    </w:rPr>
  </w:style>
  <w:style w:type="paragraph" w:customStyle="1" w:styleId="481">
    <w:name w:val="目录 3 Char Char"/>
    <w:basedOn w:val="1"/>
    <w:next w:val="1"/>
    <w:autoRedefine/>
    <w:qFormat/>
    <w:uiPriority w:val="0"/>
    <w:pPr>
      <w:spacing w:line="351" w:lineRule="atLeast"/>
      <w:ind w:left="419" w:firstLine="419"/>
      <w:jc w:val="left"/>
    </w:pPr>
    <w:rPr>
      <w:rFonts w:hint="eastAsia" w:ascii="Times New Roman" w:hAnsi="Times New Roman" w:cs="Times New Roman"/>
      <w:i/>
      <w:szCs w:val="20"/>
    </w:rPr>
  </w:style>
  <w:style w:type="paragraph" w:customStyle="1" w:styleId="482">
    <w:name w:val="目录 8 Char Char"/>
    <w:basedOn w:val="1"/>
    <w:next w:val="1"/>
    <w:autoRedefine/>
    <w:qFormat/>
    <w:uiPriority w:val="0"/>
    <w:pPr>
      <w:spacing w:line="351" w:lineRule="atLeast"/>
      <w:ind w:left="1468" w:firstLine="419"/>
      <w:jc w:val="left"/>
    </w:pPr>
    <w:rPr>
      <w:rFonts w:hint="eastAsia" w:ascii="Times New Roman" w:hAnsi="Times New Roman" w:cs="Times New Roman"/>
      <w:szCs w:val="20"/>
    </w:rPr>
  </w:style>
  <w:style w:type="paragraph" w:customStyle="1" w:styleId="483">
    <w:name w:val="页眉 Char Char"/>
    <w:basedOn w:val="1"/>
    <w:qFormat/>
    <w:uiPriority w:val="0"/>
    <w:pPr>
      <w:tabs>
        <w:tab w:val="left" w:pos="4149"/>
        <w:tab w:val="left" w:pos="8016"/>
      </w:tabs>
      <w:spacing w:line="351" w:lineRule="atLeast"/>
      <w:ind w:firstLine="419"/>
      <w:jc w:val="center"/>
    </w:pPr>
    <w:rPr>
      <w:rFonts w:hint="eastAsia" w:ascii="Times New Roman" w:hAnsi="Times New Roman" w:cs="Times New Roman"/>
      <w:sz w:val="18"/>
      <w:szCs w:val="20"/>
    </w:rPr>
  </w:style>
  <w:style w:type="paragraph" w:customStyle="1" w:styleId="484">
    <w:name w:val="目录标题"/>
    <w:basedOn w:val="1"/>
    <w:next w:val="1"/>
    <w:autoRedefine/>
    <w:qFormat/>
    <w:uiPriority w:val="0"/>
    <w:pPr>
      <w:spacing w:before="215" w:after="419" w:line="436" w:lineRule="atLeast"/>
      <w:ind w:firstLine="419"/>
      <w:jc w:val="center"/>
    </w:pPr>
    <w:rPr>
      <w:rFonts w:hint="eastAsia" w:ascii="Arial" w:hAnsi="Times New Roman" w:eastAsia="黑体" w:cs="Times New Roman"/>
      <w:spacing w:val="283"/>
      <w:sz w:val="42"/>
      <w:szCs w:val="20"/>
    </w:rPr>
  </w:style>
  <w:style w:type="character" w:customStyle="1" w:styleId="485">
    <w:name w:val="正文文字 Char Char Char"/>
    <w:qFormat/>
    <w:uiPriority w:val="0"/>
    <w:rPr>
      <w:rFonts w:ascii="宋体" w:eastAsia="宋体"/>
      <w:kern w:val="2"/>
      <w:sz w:val="24"/>
      <w:lang w:val="en-US" w:eastAsia="zh-CN" w:bidi="ar-SA"/>
    </w:rPr>
  </w:style>
  <w:style w:type="paragraph" w:customStyle="1" w:styleId="486">
    <w:name w:val="日期 Char Char"/>
    <w:basedOn w:val="1"/>
    <w:next w:val="1"/>
    <w:autoRedefine/>
    <w:qFormat/>
    <w:uiPriority w:val="0"/>
    <w:pPr>
      <w:spacing w:line="351" w:lineRule="atLeast"/>
      <w:ind w:firstLine="419"/>
    </w:pPr>
    <w:rPr>
      <w:rFonts w:hint="eastAsia" w:ascii="Times New Roman" w:hAnsi="Times New Roman" w:eastAsia="仿宋_GB2312" w:cs="Times New Roman"/>
      <w:sz w:val="31"/>
      <w:szCs w:val="20"/>
    </w:rPr>
  </w:style>
  <w:style w:type="paragraph" w:customStyle="1" w:styleId="487">
    <w:name w:val="批注文字 Char Char"/>
    <w:basedOn w:val="1"/>
    <w:qFormat/>
    <w:uiPriority w:val="0"/>
    <w:pPr>
      <w:spacing w:line="351" w:lineRule="atLeast"/>
      <w:ind w:firstLine="419"/>
      <w:jc w:val="left"/>
    </w:pPr>
    <w:rPr>
      <w:rFonts w:hint="eastAsia" w:ascii="Times New Roman" w:hAnsi="Times New Roman" w:cs="Times New Roman"/>
      <w:szCs w:val="20"/>
    </w:rPr>
  </w:style>
  <w:style w:type="paragraph" w:customStyle="1" w:styleId="488">
    <w:name w:val="目录3"/>
    <w:basedOn w:val="1"/>
    <w:next w:val="1"/>
    <w:qFormat/>
    <w:uiPriority w:val="0"/>
    <w:pPr>
      <w:tabs>
        <w:tab w:val="left" w:leader="dot" w:pos="8503"/>
      </w:tabs>
      <w:spacing w:line="317" w:lineRule="atLeast"/>
      <w:ind w:left="419" w:firstLine="419"/>
    </w:pPr>
    <w:rPr>
      <w:rFonts w:hint="eastAsia" w:ascii="Times New Roman" w:hAnsi="Times New Roman" w:cs="Times New Roman"/>
      <w:szCs w:val="20"/>
    </w:rPr>
  </w:style>
  <w:style w:type="paragraph" w:customStyle="1" w:styleId="489">
    <w:name w:val="表头1"/>
    <w:basedOn w:val="33"/>
    <w:autoRedefine/>
    <w:qFormat/>
    <w:uiPriority w:val="0"/>
    <w:pPr>
      <w:adjustRightInd w:val="0"/>
      <w:spacing w:before="120"/>
      <w:jc w:val="center"/>
      <w:textAlignment w:val="baseline"/>
    </w:pPr>
    <w:rPr>
      <w:rFonts w:ascii="Times New Roman" w:hAnsi="Times New Roman"/>
      <w:color w:val="000000"/>
      <w:kern w:val="0"/>
      <w:sz w:val="24"/>
    </w:rPr>
  </w:style>
  <w:style w:type="paragraph" w:customStyle="1" w:styleId="490">
    <w:name w:val="表格样式1"/>
    <w:basedOn w:val="1"/>
    <w:next w:val="1"/>
    <w:qFormat/>
    <w:uiPriority w:val="0"/>
    <w:pPr>
      <w:adjustRightInd w:val="0"/>
      <w:spacing w:line="40" w:lineRule="atLeast"/>
      <w:jc w:val="center"/>
    </w:pPr>
    <w:rPr>
      <w:rFonts w:hint="eastAsia" w:ascii="Times New Roman" w:hAnsi="Times New Roman" w:cs="Times New Roman"/>
      <w:sz w:val="24"/>
      <w:szCs w:val="20"/>
    </w:rPr>
  </w:style>
  <w:style w:type="paragraph" w:customStyle="1" w:styleId="491">
    <w:name w:val="正文首行缩进 Char Char"/>
    <w:basedOn w:val="1"/>
    <w:qFormat/>
    <w:uiPriority w:val="0"/>
    <w:pPr>
      <w:spacing w:line="606" w:lineRule="atLeast"/>
      <w:ind w:firstLine="538"/>
    </w:pPr>
    <w:rPr>
      <w:rFonts w:hint="eastAsia" w:ascii="Times New Roman" w:hAnsi="Times New Roman" w:cs="Times New Roman"/>
      <w:sz w:val="24"/>
      <w:szCs w:val="20"/>
    </w:rPr>
  </w:style>
  <w:style w:type="paragraph" w:customStyle="1" w:styleId="492">
    <w:name w:val="目录4"/>
    <w:basedOn w:val="1"/>
    <w:next w:val="1"/>
    <w:qFormat/>
    <w:uiPriority w:val="0"/>
    <w:pPr>
      <w:tabs>
        <w:tab w:val="left" w:leader="dot" w:pos="8503"/>
      </w:tabs>
      <w:spacing w:line="317" w:lineRule="atLeast"/>
      <w:ind w:left="419" w:firstLine="629"/>
    </w:pPr>
    <w:rPr>
      <w:rFonts w:hint="eastAsia" w:ascii="Times New Roman" w:hAnsi="Times New Roman" w:cs="Times New Roman"/>
      <w:szCs w:val="20"/>
    </w:rPr>
  </w:style>
  <w:style w:type="paragraph" w:customStyle="1" w:styleId="493">
    <w:name w:val="目录 2 Char Char"/>
    <w:basedOn w:val="1"/>
    <w:next w:val="1"/>
    <w:qFormat/>
    <w:uiPriority w:val="0"/>
    <w:pPr>
      <w:spacing w:line="351" w:lineRule="atLeast"/>
      <w:ind w:left="209" w:firstLine="419"/>
      <w:jc w:val="left"/>
    </w:pPr>
    <w:rPr>
      <w:rFonts w:hint="eastAsia" w:ascii="Times New Roman" w:hAnsi="Times New Roman" w:cs="Times New Roman"/>
      <w:szCs w:val="20"/>
    </w:rPr>
  </w:style>
  <w:style w:type="paragraph" w:customStyle="1" w:styleId="494">
    <w:name w:val="目录 6 Char Char"/>
    <w:basedOn w:val="1"/>
    <w:next w:val="1"/>
    <w:qFormat/>
    <w:uiPriority w:val="0"/>
    <w:pPr>
      <w:spacing w:line="351" w:lineRule="atLeast"/>
      <w:ind w:left="1048" w:firstLine="419"/>
      <w:jc w:val="left"/>
    </w:pPr>
    <w:rPr>
      <w:rFonts w:hint="eastAsia" w:ascii="Times New Roman" w:hAnsi="Times New Roman" w:cs="Times New Roman"/>
      <w:szCs w:val="20"/>
    </w:rPr>
  </w:style>
  <w:style w:type="paragraph" w:customStyle="1" w:styleId="495">
    <w:name w:val="目录2"/>
    <w:basedOn w:val="1"/>
    <w:next w:val="1"/>
    <w:qFormat/>
    <w:uiPriority w:val="0"/>
    <w:pPr>
      <w:tabs>
        <w:tab w:val="left" w:leader="dot" w:pos="8503"/>
      </w:tabs>
      <w:spacing w:line="317" w:lineRule="atLeast"/>
      <w:ind w:left="419" w:firstLine="419"/>
    </w:pPr>
    <w:rPr>
      <w:rFonts w:hint="eastAsia" w:ascii="Times New Roman" w:hAnsi="Times New Roman" w:cs="Times New Roman"/>
      <w:szCs w:val="20"/>
    </w:rPr>
  </w:style>
  <w:style w:type="paragraph" w:customStyle="1" w:styleId="496">
    <w:name w:val="目录 1 Char Char"/>
    <w:basedOn w:val="1"/>
    <w:next w:val="1"/>
    <w:qFormat/>
    <w:uiPriority w:val="0"/>
    <w:pPr>
      <w:tabs>
        <w:tab w:val="left" w:leader="dot" w:pos="8010"/>
      </w:tabs>
      <w:snapToGrid w:val="0"/>
      <w:spacing w:line="300" w:lineRule="auto"/>
      <w:jc w:val="left"/>
    </w:pPr>
    <w:rPr>
      <w:rFonts w:hint="eastAsia" w:ascii="Times New Roman" w:hAnsi="Times New Roman" w:eastAsia="黑体" w:cs="Times New Roman"/>
      <w:sz w:val="28"/>
      <w:szCs w:val="20"/>
    </w:rPr>
  </w:style>
  <w:style w:type="paragraph" w:customStyle="1" w:styleId="497">
    <w:name w:val="目录 5 Char Char"/>
    <w:basedOn w:val="1"/>
    <w:next w:val="1"/>
    <w:autoRedefine/>
    <w:qFormat/>
    <w:uiPriority w:val="0"/>
    <w:pPr>
      <w:spacing w:line="351" w:lineRule="atLeast"/>
      <w:ind w:left="839" w:firstLine="419"/>
      <w:jc w:val="left"/>
    </w:pPr>
    <w:rPr>
      <w:rFonts w:hint="eastAsia" w:ascii="Times New Roman" w:hAnsi="Times New Roman" w:cs="Times New Roman"/>
      <w:szCs w:val="20"/>
    </w:rPr>
  </w:style>
  <w:style w:type="paragraph" w:customStyle="1" w:styleId="498">
    <w:name w:val="目录fuxi"/>
    <w:basedOn w:val="1"/>
    <w:autoRedefine/>
    <w:qFormat/>
    <w:uiPriority w:val="0"/>
    <w:pPr>
      <w:snapToGrid w:val="0"/>
      <w:spacing w:before="60" w:after="60"/>
      <w:jc w:val="center"/>
    </w:pPr>
    <w:rPr>
      <w:rFonts w:hint="eastAsia" w:ascii="宋体" w:hAnsi="Times New Roman" w:cs="Times New Roman"/>
      <w:outline/>
      <w:color w:val="000000"/>
      <w:szCs w:val="20"/>
    </w:rPr>
  </w:style>
  <w:style w:type="paragraph" w:customStyle="1" w:styleId="499">
    <w:name w:val="前言、引言标题"/>
    <w:next w:val="1"/>
    <w:qFormat/>
    <w:uiPriority w:val="0"/>
    <w:pPr>
      <w:shd w:val="clear" w:color="FFFFFF" w:fill="FFFFFF"/>
      <w:tabs>
        <w:tab w:val="left" w:pos="903"/>
        <w:tab w:val="left" w:pos="1280"/>
      </w:tabs>
      <w:spacing w:before="640" w:after="560"/>
      <w:ind w:left="903" w:hanging="315"/>
      <w:jc w:val="center"/>
      <w:outlineLvl w:val="0"/>
    </w:pPr>
    <w:rPr>
      <w:rFonts w:ascii="黑体" w:hAnsi="Times New Roman" w:eastAsia="黑体" w:cs="Times New Roman"/>
      <w:kern w:val="0"/>
      <w:sz w:val="32"/>
      <w:szCs w:val="32"/>
      <w:lang w:val="en-US" w:eastAsia="zh-CN" w:bidi="ar-SA"/>
    </w:rPr>
  </w:style>
  <w:style w:type="paragraph" w:customStyle="1" w:styleId="500">
    <w:name w:val="一级条标题"/>
    <w:basedOn w:val="2"/>
    <w:next w:val="1"/>
    <w:autoRedefine/>
    <w:qFormat/>
    <w:uiPriority w:val="0"/>
    <w:pPr>
      <w:keepNext w:val="0"/>
      <w:keepLines w:val="0"/>
      <w:widowControl/>
      <w:spacing w:before="0" w:after="0" w:line="240" w:lineRule="auto"/>
      <w:outlineLvl w:val="2"/>
    </w:pPr>
    <w:rPr>
      <w:rFonts w:ascii="黑体" w:hAnsi="Times New Roman" w:eastAsia="黑体" w:cs="Times New Roman"/>
      <w:b w:val="0"/>
      <w:bCs w:val="0"/>
      <w:kern w:val="0"/>
      <w:sz w:val="21"/>
      <w:szCs w:val="21"/>
    </w:rPr>
  </w:style>
  <w:style w:type="paragraph" w:customStyle="1" w:styleId="501">
    <w:name w:val="二级条标题"/>
    <w:basedOn w:val="500"/>
    <w:next w:val="1"/>
    <w:qFormat/>
    <w:uiPriority w:val="0"/>
    <w:pPr>
      <w:tabs>
        <w:tab w:val="left" w:pos="2218"/>
      </w:tabs>
      <w:outlineLvl w:val="3"/>
    </w:pPr>
  </w:style>
  <w:style w:type="paragraph" w:customStyle="1" w:styleId="502">
    <w:name w:val="三级条标题"/>
    <w:basedOn w:val="501"/>
    <w:next w:val="1"/>
    <w:autoRedefine/>
    <w:qFormat/>
    <w:uiPriority w:val="0"/>
    <w:pPr>
      <w:tabs>
        <w:tab w:val="left" w:pos="2638"/>
        <w:tab w:val="clear" w:pos="2218"/>
      </w:tabs>
      <w:outlineLvl w:val="4"/>
    </w:pPr>
  </w:style>
  <w:style w:type="paragraph" w:customStyle="1" w:styleId="503">
    <w:name w:val="四级条标题"/>
    <w:basedOn w:val="502"/>
    <w:next w:val="1"/>
    <w:qFormat/>
    <w:uiPriority w:val="0"/>
    <w:pPr>
      <w:tabs>
        <w:tab w:val="left" w:pos="3058"/>
        <w:tab w:val="clear" w:pos="2638"/>
      </w:tabs>
      <w:outlineLvl w:val="5"/>
    </w:pPr>
  </w:style>
  <w:style w:type="paragraph" w:customStyle="1" w:styleId="504">
    <w:name w:val="宏福4"/>
    <w:basedOn w:val="1"/>
    <w:qFormat/>
    <w:uiPriority w:val="0"/>
    <w:pPr>
      <w:adjustRightInd w:val="0"/>
      <w:spacing w:line="400" w:lineRule="atLeast"/>
      <w:ind w:firstLine="567"/>
      <w:jc w:val="left"/>
      <w:textAlignment w:val="baseline"/>
    </w:pPr>
    <w:rPr>
      <w:rFonts w:ascii="Times New Roman" w:hAnsi="Times New Roman" w:cs="Times New Roman"/>
      <w:sz w:val="28"/>
      <w:szCs w:val="28"/>
    </w:rPr>
  </w:style>
  <w:style w:type="paragraph" w:customStyle="1" w:styleId="505">
    <w:name w:val="正文新 Char"/>
    <w:basedOn w:val="1"/>
    <w:qFormat/>
    <w:uiPriority w:val="0"/>
    <w:pPr>
      <w:spacing w:line="360" w:lineRule="auto"/>
      <w:ind w:firstLine="480" w:firstLineChars="200"/>
    </w:pPr>
    <w:rPr>
      <w:rFonts w:ascii="Times New Roman" w:hAnsi="Times New Roman" w:cs="Times New Roman"/>
      <w:sz w:val="24"/>
      <w:szCs w:val="20"/>
    </w:rPr>
  </w:style>
  <w:style w:type="paragraph" w:customStyle="1" w:styleId="506">
    <w:name w:val="gy"/>
    <w:basedOn w:val="1"/>
    <w:autoRedefine/>
    <w:qFormat/>
    <w:uiPriority w:val="0"/>
    <w:pPr>
      <w:widowControl/>
      <w:spacing w:before="100" w:beforeAutospacing="1" w:after="100" w:afterAutospacing="1" w:line="360" w:lineRule="auto"/>
      <w:ind w:left="150" w:right="150" w:firstLine="520"/>
      <w:jc w:val="left"/>
    </w:pPr>
    <w:rPr>
      <w:rFonts w:ascii="Arial Unicode MS" w:hAnsi="Arial Unicode MS" w:eastAsia="Arial Unicode MS" w:cs="Times New Roman"/>
      <w:kern w:val="0"/>
      <w:sz w:val="18"/>
      <w:szCs w:val="20"/>
    </w:rPr>
  </w:style>
  <w:style w:type="paragraph" w:customStyle="1" w:styleId="507">
    <w:name w:val="注解"/>
    <w:autoRedefine/>
    <w:qFormat/>
    <w:uiPriority w:val="0"/>
    <w:pPr>
      <w:widowControl w:val="0"/>
      <w:autoSpaceDE w:val="0"/>
      <w:autoSpaceDN w:val="0"/>
      <w:adjustRightInd w:val="0"/>
      <w:jc w:val="center"/>
    </w:pPr>
    <w:rPr>
      <w:rFonts w:ascii="宋体" w:hAnsi="Arial Black" w:eastAsia="宋体" w:cs="Times New Roman"/>
      <w:kern w:val="2"/>
      <w:sz w:val="21"/>
      <w:szCs w:val="20"/>
      <w:lang w:val="en-US" w:eastAsia="zh-CN" w:bidi="ar-SA"/>
    </w:rPr>
  </w:style>
  <w:style w:type="paragraph" w:customStyle="1" w:styleId="508">
    <w:name w:val="项目编号"/>
    <w:basedOn w:val="1"/>
    <w:next w:val="1"/>
    <w:autoRedefine/>
    <w:qFormat/>
    <w:uiPriority w:val="0"/>
    <w:pPr>
      <w:spacing w:before="120" w:after="120" w:line="360" w:lineRule="auto"/>
    </w:pPr>
    <w:rPr>
      <w:rFonts w:ascii="Times New Roman" w:hAnsi="Times New Roman" w:cs="Times New Roman"/>
      <w:sz w:val="24"/>
      <w:szCs w:val="20"/>
    </w:rPr>
  </w:style>
  <w:style w:type="paragraph" w:customStyle="1" w:styleId="509">
    <w:name w:val="二级无标题条"/>
    <w:basedOn w:val="1"/>
    <w:autoRedefine/>
    <w:qFormat/>
    <w:uiPriority w:val="0"/>
    <w:rPr>
      <w:rFonts w:ascii="Times New Roman" w:hAnsi="Times New Roman" w:cs="Times New Roman"/>
    </w:rPr>
  </w:style>
  <w:style w:type="paragraph" w:customStyle="1" w:styleId="510">
    <w:name w:val="表居中（中文）"/>
    <w:basedOn w:val="1"/>
    <w:autoRedefine/>
    <w:qFormat/>
    <w:uiPriority w:val="0"/>
    <w:pPr>
      <w:adjustRightInd w:val="0"/>
      <w:spacing w:line="380" w:lineRule="atLeast"/>
      <w:jc w:val="center"/>
      <w:textAlignment w:val="baseline"/>
    </w:pPr>
    <w:rPr>
      <w:rFonts w:ascii="Times New Roman" w:hAnsi="Times New Roman" w:eastAsia="楷体_GB2312" w:cs="Times New Roman"/>
      <w:kern w:val="0"/>
      <w:sz w:val="24"/>
      <w:szCs w:val="20"/>
    </w:rPr>
  </w:style>
  <w:style w:type="paragraph" w:customStyle="1" w:styleId="511">
    <w:name w:val="wg"/>
    <w:basedOn w:val="1"/>
    <w:autoRedefine/>
    <w:qFormat/>
    <w:uiPriority w:val="0"/>
    <w:rPr>
      <w:rFonts w:ascii="Times New Roman" w:hAnsi="Times New Roman" w:cs="Times New Roman"/>
      <w:sz w:val="28"/>
      <w:szCs w:val="20"/>
    </w:rPr>
  </w:style>
  <w:style w:type="character" w:customStyle="1" w:styleId="512">
    <w:name w:val="htd01"/>
    <w:qFormat/>
    <w:uiPriority w:val="0"/>
  </w:style>
  <w:style w:type="paragraph" w:customStyle="1" w:styleId="513">
    <w:name w:val="默认段落字体 Para Char"/>
    <w:basedOn w:val="1"/>
    <w:autoRedefine/>
    <w:qFormat/>
    <w:uiPriority w:val="0"/>
    <w:rPr>
      <w:rFonts w:ascii="Times New Roman" w:hAnsi="Times New Roman" w:cs="Times New Roman"/>
      <w:sz w:val="24"/>
    </w:rPr>
  </w:style>
  <w:style w:type="paragraph" w:customStyle="1" w:styleId="514">
    <w:name w:val="样式 纯文本 + 首行缩进:  2 字符 Char Char Char Char Char Char Char Char Char Char Char Char Char Char Char Char Char Char Char Char Char Char Char Char Char Char"/>
    <w:basedOn w:val="33"/>
    <w:autoRedefine/>
    <w:qFormat/>
    <w:uiPriority w:val="0"/>
    <w:pPr>
      <w:spacing w:line="360" w:lineRule="auto"/>
    </w:pPr>
    <w:rPr>
      <w:rFonts w:cs="宋体"/>
      <w:szCs w:val="21"/>
    </w:rPr>
  </w:style>
  <w:style w:type="character" w:customStyle="1" w:styleId="515">
    <w:name w:val="tt141"/>
    <w:autoRedefine/>
    <w:qFormat/>
    <w:uiPriority w:val="0"/>
    <w:rPr>
      <w:b/>
      <w:bCs/>
      <w:sz w:val="20"/>
      <w:szCs w:val="20"/>
    </w:rPr>
  </w:style>
  <w:style w:type="paragraph" w:customStyle="1" w:styleId="516">
    <w:name w:val="表格文字2"/>
    <w:basedOn w:val="1"/>
    <w:link w:val="517"/>
    <w:autoRedefine/>
    <w:qFormat/>
    <w:uiPriority w:val="0"/>
    <w:pPr>
      <w:tabs>
        <w:tab w:val="left" w:pos="277"/>
        <w:tab w:val="left" w:pos="600"/>
        <w:tab w:val="left" w:pos="780"/>
        <w:tab w:val="left" w:pos="2517"/>
      </w:tabs>
      <w:adjustRightInd w:val="0"/>
      <w:spacing w:before="60"/>
      <w:jc w:val="center"/>
      <w:textAlignment w:val="baseline"/>
    </w:pPr>
    <w:rPr>
      <w:rFonts w:ascii="Times New Roman" w:hAnsi="Times New Roman" w:cs="Times New Roman"/>
      <w:kern w:val="0"/>
      <w:szCs w:val="21"/>
    </w:rPr>
  </w:style>
  <w:style w:type="character" w:customStyle="1" w:styleId="517">
    <w:name w:val="表格文字2 Char"/>
    <w:link w:val="516"/>
    <w:autoRedefine/>
    <w:qFormat/>
    <w:uiPriority w:val="0"/>
    <w:rPr>
      <w:rFonts w:ascii="Times New Roman" w:hAnsi="Times New Roman" w:eastAsia="宋体" w:cs="Times New Roman"/>
      <w:kern w:val="0"/>
      <w:szCs w:val="21"/>
    </w:rPr>
  </w:style>
  <w:style w:type="paragraph" w:customStyle="1" w:styleId="518">
    <w:name w:val="样式 正文首行缩进 + 首行缩进:  2 字符"/>
    <w:basedOn w:val="24"/>
    <w:qFormat/>
    <w:uiPriority w:val="0"/>
    <w:pPr>
      <w:adjustRightInd w:val="0"/>
      <w:snapToGrid w:val="0"/>
      <w:spacing w:after="0" w:line="520" w:lineRule="atLeast"/>
      <w:ind w:firstLine="549" w:firstLineChars="200"/>
    </w:pPr>
    <w:rPr>
      <w:rFonts w:ascii="Times New Roman" w:hAnsi="Times New Roman" w:cs="宋体"/>
      <w:bCs/>
      <w:sz w:val="28"/>
      <w:szCs w:val="20"/>
    </w:rPr>
  </w:style>
  <w:style w:type="paragraph" w:customStyle="1" w:styleId="519">
    <w:name w:val="表题前1后0.5行"/>
    <w:basedOn w:val="1"/>
    <w:qFormat/>
    <w:uiPriority w:val="0"/>
    <w:pPr>
      <w:overflowPunct w:val="0"/>
      <w:topLinePunct/>
      <w:autoSpaceDE w:val="0"/>
      <w:autoSpaceDN w:val="0"/>
      <w:spacing w:before="30" w:after="30"/>
      <w:jc w:val="center"/>
    </w:pPr>
    <w:rPr>
      <w:rFonts w:ascii="Times New Roman" w:hAnsi="Times New Roman" w:cs="Times New Roman"/>
      <w:szCs w:val="20"/>
    </w:rPr>
  </w:style>
  <w:style w:type="paragraph" w:customStyle="1" w:styleId="520">
    <w:name w:val="表格（大）"/>
    <w:basedOn w:val="1"/>
    <w:qFormat/>
    <w:uiPriority w:val="0"/>
    <w:pPr>
      <w:widowControl/>
      <w:spacing w:line="0" w:lineRule="atLeast"/>
      <w:outlineLvl w:val="1"/>
    </w:pPr>
    <w:rPr>
      <w:rFonts w:ascii="宋体" w:hAnsi="宋体" w:cs="Times New Roman"/>
      <w:snapToGrid w:val="0"/>
      <w:kern w:val="0"/>
      <w:sz w:val="24"/>
      <w:szCs w:val="20"/>
    </w:rPr>
  </w:style>
  <w:style w:type="paragraph" w:customStyle="1" w:styleId="521">
    <w:name w:val="Char Char Char2"/>
    <w:basedOn w:val="1"/>
    <w:autoRedefine/>
    <w:qFormat/>
    <w:uiPriority w:val="0"/>
    <w:pPr>
      <w:spacing w:line="360" w:lineRule="auto"/>
      <w:ind w:firstLine="200" w:firstLineChars="200"/>
    </w:pPr>
    <w:rPr>
      <w:rFonts w:ascii="宋体" w:hAnsi="宋体" w:cs="宋体"/>
      <w:sz w:val="24"/>
    </w:rPr>
  </w:style>
  <w:style w:type="paragraph" w:customStyle="1" w:styleId="522">
    <w:name w:val="Char Char Char Char Char Char"/>
    <w:basedOn w:val="1"/>
    <w:qFormat/>
    <w:uiPriority w:val="0"/>
    <w:rPr>
      <w:rFonts w:ascii="Times New Roman" w:hAnsi="Times New Roman" w:cs="Times New Roman"/>
    </w:rPr>
  </w:style>
  <w:style w:type="character" w:customStyle="1" w:styleId="523">
    <w:name w:val="题注2 Char"/>
    <w:qFormat/>
    <w:uiPriority w:val="0"/>
    <w:rPr>
      <w:rFonts w:ascii="Arial" w:hAnsi="Arial" w:eastAsia="黑体"/>
      <w:b/>
      <w:bCs/>
      <w:kern w:val="2"/>
      <w:sz w:val="32"/>
      <w:szCs w:val="32"/>
      <w:lang w:val="en-US" w:eastAsia="zh-CN" w:bidi="ar-SA"/>
    </w:rPr>
  </w:style>
  <w:style w:type="paragraph" w:customStyle="1" w:styleId="524">
    <w:name w:val="方框"/>
    <w:basedOn w:val="1"/>
    <w:autoRedefine/>
    <w:qFormat/>
    <w:uiPriority w:val="0"/>
    <w:pPr>
      <w:widowControl/>
      <w:spacing w:line="240" w:lineRule="atLeast"/>
    </w:pPr>
    <w:rPr>
      <w:rFonts w:ascii="宋体" w:hAnsi="Times New Roman" w:cs="Times New Roman"/>
      <w:kern w:val="0"/>
      <w:sz w:val="24"/>
      <w:szCs w:val="20"/>
    </w:rPr>
  </w:style>
  <w:style w:type="character" w:customStyle="1" w:styleId="525">
    <w:name w:val="h21"/>
    <w:qFormat/>
    <w:uiPriority w:val="0"/>
    <w:rPr>
      <w:rFonts w:ascii="Tahoma" w:hAnsi="Tahoma" w:cs="Tahoma"/>
      <w:b/>
      <w:bCs/>
      <w:color w:val="auto"/>
      <w:sz w:val="20"/>
      <w:szCs w:val="20"/>
    </w:rPr>
  </w:style>
  <w:style w:type="character" w:customStyle="1" w:styleId="526">
    <w:name w:val="正文首行缩进 Char"/>
    <w:qFormat/>
    <w:uiPriority w:val="0"/>
    <w:rPr>
      <w:rFonts w:eastAsia="宋体" w:cs="Times New Roman"/>
      <w:spacing w:val="10"/>
      <w:kern w:val="24"/>
      <w:sz w:val="28"/>
      <w:szCs w:val="28"/>
      <w:lang w:val="en-US" w:eastAsia="zh-CN" w:bidi="ar-SA"/>
    </w:rPr>
  </w:style>
  <w:style w:type="paragraph" w:customStyle="1" w:styleId="527">
    <w:name w:val="基准页眉样式"/>
    <w:basedOn w:val="23"/>
    <w:autoRedefine/>
    <w:qFormat/>
    <w:uiPriority w:val="0"/>
    <w:pPr>
      <w:spacing w:after="0" w:line="332" w:lineRule="exact"/>
      <w:jc w:val="center"/>
    </w:pPr>
    <w:rPr>
      <w:rFonts w:ascii="宋体" w:hAnsi="宋体"/>
      <w:color w:val="000000"/>
      <w:szCs w:val="21"/>
    </w:rPr>
  </w:style>
  <w:style w:type="paragraph" w:customStyle="1" w:styleId="528">
    <w:name w:val="基准标题"/>
    <w:basedOn w:val="23"/>
    <w:next w:val="23"/>
    <w:qFormat/>
    <w:uiPriority w:val="0"/>
    <w:pPr>
      <w:spacing w:before="80" w:after="80"/>
      <w:jc w:val="center"/>
    </w:pPr>
    <w:rPr>
      <w:rFonts w:ascii="宋体"/>
      <w:szCs w:val="20"/>
    </w:rPr>
  </w:style>
  <w:style w:type="paragraph" w:customStyle="1" w:styleId="529">
    <w:name w:val="样式 正文文本 + 小四 黑色 首行缩进:  0.92 厘米 段后: 0 磅 行距: 1.5 倍行距"/>
    <w:basedOn w:val="23"/>
    <w:qFormat/>
    <w:uiPriority w:val="0"/>
    <w:pPr>
      <w:spacing w:after="0" w:line="360" w:lineRule="auto"/>
      <w:ind w:firstLine="522"/>
    </w:pPr>
    <w:rPr>
      <w:color w:val="000000"/>
      <w:sz w:val="24"/>
      <w:szCs w:val="20"/>
    </w:rPr>
  </w:style>
  <w:style w:type="character" w:customStyle="1" w:styleId="530">
    <w:name w:val="样式 正文文本 + 小四 黑色 首行缩进:  0.92 厘米 段后: 0 磅 行距: 1.5 倍行距 Char"/>
    <w:autoRedefine/>
    <w:qFormat/>
    <w:uiPriority w:val="0"/>
    <w:rPr>
      <w:rFonts w:eastAsia="宋体" w:cs="宋体"/>
      <w:color w:val="000000"/>
      <w:kern w:val="2"/>
      <w:sz w:val="24"/>
      <w:lang w:val="en-US" w:eastAsia="zh-CN" w:bidi="ar-SA"/>
    </w:rPr>
  </w:style>
  <w:style w:type="paragraph" w:customStyle="1" w:styleId="531">
    <w:name w:val="标准书脚_偶数页"/>
    <w:qFormat/>
    <w:uiPriority w:val="0"/>
    <w:pPr>
      <w:spacing w:before="120"/>
    </w:pPr>
    <w:rPr>
      <w:rFonts w:ascii="Times New Roman" w:hAnsi="Times New Roman" w:eastAsia="宋体" w:cs="Times New Roman"/>
      <w:kern w:val="0"/>
      <w:sz w:val="18"/>
      <w:szCs w:val="20"/>
      <w:lang w:val="en-US" w:eastAsia="zh-CN" w:bidi="ar-SA"/>
    </w:rPr>
  </w:style>
  <w:style w:type="paragraph" w:customStyle="1" w:styleId="532">
    <w:name w:val="标准书脚_奇数页"/>
    <w:qFormat/>
    <w:uiPriority w:val="0"/>
    <w:pPr>
      <w:spacing w:before="120"/>
      <w:jc w:val="right"/>
    </w:pPr>
    <w:rPr>
      <w:rFonts w:ascii="Times New Roman" w:hAnsi="Times New Roman" w:eastAsia="宋体" w:cs="Times New Roman"/>
      <w:kern w:val="0"/>
      <w:sz w:val="18"/>
      <w:szCs w:val="20"/>
      <w:lang w:val="en-US" w:eastAsia="zh-CN" w:bidi="ar-SA"/>
    </w:rPr>
  </w:style>
  <w:style w:type="paragraph" w:customStyle="1" w:styleId="533">
    <w:name w:val="标准书眉_奇数页"/>
    <w:next w:val="1"/>
    <w:autoRedefine/>
    <w:qFormat/>
    <w:uiPriority w:val="0"/>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534">
    <w:name w:val="标准书眉_偶数页"/>
    <w:basedOn w:val="533"/>
    <w:next w:val="1"/>
    <w:qFormat/>
    <w:uiPriority w:val="0"/>
    <w:pPr>
      <w:jc w:val="left"/>
    </w:pPr>
  </w:style>
  <w:style w:type="paragraph" w:customStyle="1" w:styleId="535">
    <w:name w:val="标准书眉一"/>
    <w:qFormat/>
    <w:uiPriority w:val="0"/>
    <w:pPr>
      <w:jc w:val="both"/>
    </w:pPr>
    <w:rPr>
      <w:rFonts w:ascii="Times New Roman" w:hAnsi="Times New Roman" w:eastAsia="宋体" w:cs="Times New Roman"/>
      <w:kern w:val="0"/>
      <w:sz w:val="20"/>
      <w:szCs w:val="20"/>
      <w:lang w:val="en-US" w:eastAsia="zh-CN" w:bidi="ar-SA"/>
    </w:rPr>
  </w:style>
  <w:style w:type="paragraph" w:customStyle="1" w:styleId="536">
    <w:name w:val="参考文献、索引标题"/>
    <w:basedOn w:val="499"/>
    <w:next w:val="1"/>
    <w:qFormat/>
    <w:uiPriority w:val="0"/>
    <w:pPr>
      <w:tabs>
        <w:tab w:val="clear" w:pos="903"/>
        <w:tab w:val="clear" w:pos="1280"/>
      </w:tabs>
      <w:spacing w:after="200"/>
      <w:ind w:left="0" w:firstLine="0"/>
    </w:pPr>
    <w:rPr>
      <w:sz w:val="21"/>
      <w:szCs w:val="20"/>
    </w:rPr>
  </w:style>
  <w:style w:type="character" w:customStyle="1" w:styleId="537">
    <w:name w:val="发布"/>
    <w:qFormat/>
    <w:uiPriority w:val="0"/>
    <w:rPr>
      <w:rFonts w:ascii="黑体" w:eastAsia="黑体"/>
      <w:spacing w:val="22"/>
      <w:w w:val="100"/>
      <w:position w:val="3"/>
      <w:sz w:val="28"/>
    </w:rPr>
  </w:style>
  <w:style w:type="paragraph" w:customStyle="1" w:styleId="538">
    <w:name w:val="发布部门"/>
    <w:next w:val="177"/>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kern w:val="0"/>
      <w:sz w:val="36"/>
      <w:szCs w:val="20"/>
      <w:lang w:val="en-US" w:eastAsia="zh-CN" w:bidi="ar-SA"/>
    </w:rPr>
  </w:style>
  <w:style w:type="paragraph" w:customStyle="1" w:styleId="539">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kern w:val="0"/>
      <w:sz w:val="28"/>
      <w:szCs w:val="20"/>
      <w:lang w:val="en-US" w:eastAsia="zh-CN" w:bidi="ar-SA"/>
    </w:rPr>
  </w:style>
  <w:style w:type="paragraph" w:customStyle="1" w:styleId="540">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 w:type="paragraph" w:customStyle="1" w:styleId="541">
    <w:name w:val="封面标准号2"/>
    <w:basedOn w:val="540"/>
    <w:qFormat/>
    <w:uiPriority w:val="0"/>
    <w:pPr>
      <w:framePr w:w="9138" w:h="1244" w:hRule="exact" w:wrap="auto" w:vAnchor="page" w:hAnchor="margin" w:y="2908"/>
      <w:adjustRightInd w:val="0"/>
      <w:spacing w:before="357" w:line="280" w:lineRule="exact"/>
    </w:pPr>
  </w:style>
  <w:style w:type="paragraph" w:customStyle="1" w:styleId="542">
    <w:name w:val="封面标准代替信息"/>
    <w:basedOn w:val="541"/>
    <w:qFormat/>
    <w:uiPriority w:val="0"/>
    <w:pPr>
      <w:spacing w:before="57"/>
    </w:pPr>
    <w:rPr>
      <w:rFonts w:ascii="宋体"/>
      <w:sz w:val="21"/>
    </w:rPr>
  </w:style>
  <w:style w:type="paragraph" w:customStyle="1" w:styleId="543">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544">
    <w:name w:val="封面标准文稿编辑信息"/>
    <w:autoRedefine/>
    <w:qFormat/>
    <w:uiPriority w:val="0"/>
    <w:pPr>
      <w:spacing w:before="180" w:line="180" w:lineRule="exact"/>
      <w:jc w:val="center"/>
    </w:pPr>
    <w:rPr>
      <w:rFonts w:ascii="宋体" w:hAnsi="Times New Roman" w:eastAsia="宋体" w:cs="Times New Roman"/>
      <w:kern w:val="0"/>
      <w:sz w:val="21"/>
      <w:szCs w:val="20"/>
      <w:lang w:val="en-US" w:eastAsia="zh-CN" w:bidi="ar-SA"/>
    </w:rPr>
  </w:style>
  <w:style w:type="paragraph" w:customStyle="1" w:styleId="545">
    <w:name w:val="封面标准英文名称"/>
    <w:autoRedefine/>
    <w:qFormat/>
    <w:uiPriority w:val="0"/>
    <w:pPr>
      <w:widowControl w:val="0"/>
      <w:spacing w:before="370" w:line="400" w:lineRule="exact"/>
      <w:jc w:val="center"/>
    </w:pPr>
    <w:rPr>
      <w:rFonts w:ascii="Times New Roman" w:hAnsi="Times New Roman" w:eastAsia="宋体" w:cs="Times New Roman"/>
      <w:kern w:val="0"/>
      <w:sz w:val="28"/>
      <w:szCs w:val="20"/>
      <w:lang w:val="en-US" w:eastAsia="zh-CN" w:bidi="ar-SA"/>
    </w:rPr>
  </w:style>
  <w:style w:type="paragraph" w:customStyle="1" w:styleId="546">
    <w:name w:val="封面一致性程度标识"/>
    <w:autoRedefine/>
    <w:qFormat/>
    <w:uiPriority w:val="0"/>
    <w:pPr>
      <w:spacing w:before="440" w:line="400" w:lineRule="exact"/>
      <w:jc w:val="center"/>
    </w:pPr>
    <w:rPr>
      <w:rFonts w:ascii="宋体" w:hAnsi="Times New Roman" w:eastAsia="宋体" w:cs="Times New Roman"/>
      <w:kern w:val="0"/>
      <w:sz w:val="28"/>
      <w:szCs w:val="20"/>
      <w:lang w:val="en-US" w:eastAsia="zh-CN" w:bidi="ar-SA"/>
    </w:rPr>
  </w:style>
  <w:style w:type="paragraph" w:customStyle="1" w:styleId="547">
    <w:name w:val="封面正文"/>
    <w:qFormat/>
    <w:uiPriority w:val="0"/>
    <w:pPr>
      <w:jc w:val="both"/>
    </w:pPr>
    <w:rPr>
      <w:rFonts w:ascii="Times New Roman" w:hAnsi="Times New Roman" w:eastAsia="宋体" w:cs="Times New Roman"/>
      <w:kern w:val="0"/>
      <w:sz w:val="20"/>
      <w:szCs w:val="20"/>
      <w:lang w:val="en-US" w:eastAsia="zh-CN" w:bidi="ar-SA"/>
    </w:rPr>
  </w:style>
  <w:style w:type="paragraph" w:customStyle="1" w:styleId="548">
    <w:name w:val="附录标识"/>
    <w:basedOn w:val="499"/>
    <w:autoRedefine/>
    <w:qFormat/>
    <w:uiPriority w:val="0"/>
    <w:pPr>
      <w:tabs>
        <w:tab w:val="left" w:pos="6405"/>
        <w:tab w:val="clear" w:pos="903"/>
        <w:tab w:val="clear" w:pos="1280"/>
      </w:tabs>
      <w:spacing w:after="200"/>
      <w:ind w:left="0" w:firstLine="0"/>
    </w:pPr>
    <w:rPr>
      <w:sz w:val="21"/>
      <w:szCs w:val="20"/>
    </w:rPr>
  </w:style>
  <w:style w:type="paragraph" w:customStyle="1" w:styleId="549">
    <w:name w:val="附录表标题"/>
    <w:next w:val="177"/>
    <w:qFormat/>
    <w:uiPriority w:val="0"/>
    <w:pPr>
      <w:jc w:val="center"/>
      <w:textAlignment w:val="baseline"/>
    </w:pPr>
    <w:rPr>
      <w:rFonts w:ascii="黑体" w:hAnsi="Times New Roman" w:eastAsia="黑体" w:cs="Times New Roman"/>
      <w:kern w:val="21"/>
      <w:sz w:val="21"/>
      <w:szCs w:val="20"/>
      <w:lang w:val="en-US" w:eastAsia="zh-CN" w:bidi="ar-SA"/>
    </w:rPr>
  </w:style>
  <w:style w:type="paragraph" w:customStyle="1" w:styleId="550">
    <w:name w:val="附录章标题"/>
    <w:next w:val="177"/>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551">
    <w:name w:val="附录一级条标题"/>
    <w:basedOn w:val="550"/>
    <w:next w:val="177"/>
    <w:qFormat/>
    <w:uiPriority w:val="0"/>
    <w:pPr>
      <w:autoSpaceDN w:val="0"/>
      <w:spacing w:beforeLines="0" w:afterLines="0"/>
      <w:outlineLvl w:val="2"/>
    </w:pPr>
  </w:style>
  <w:style w:type="paragraph" w:customStyle="1" w:styleId="552">
    <w:name w:val="附录二级条标题"/>
    <w:basedOn w:val="551"/>
    <w:next w:val="177"/>
    <w:qFormat/>
    <w:uiPriority w:val="0"/>
    <w:pPr>
      <w:outlineLvl w:val="3"/>
    </w:pPr>
  </w:style>
  <w:style w:type="paragraph" w:customStyle="1" w:styleId="553">
    <w:name w:val="附录三级条标题"/>
    <w:basedOn w:val="552"/>
    <w:next w:val="177"/>
    <w:autoRedefine/>
    <w:qFormat/>
    <w:uiPriority w:val="0"/>
    <w:pPr>
      <w:outlineLvl w:val="4"/>
    </w:pPr>
  </w:style>
  <w:style w:type="paragraph" w:customStyle="1" w:styleId="554">
    <w:name w:val="附录四级条标题"/>
    <w:basedOn w:val="553"/>
    <w:next w:val="177"/>
    <w:autoRedefine/>
    <w:qFormat/>
    <w:uiPriority w:val="0"/>
    <w:pPr>
      <w:outlineLvl w:val="5"/>
    </w:pPr>
  </w:style>
  <w:style w:type="paragraph" w:customStyle="1" w:styleId="555">
    <w:name w:val="附录图标题"/>
    <w:next w:val="177"/>
    <w:qFormat/>
    <w:uiPriority w:val="0"/>
    <w:pPr>
      <w:jc w:val="center"/>
    </w:pPr>
    <w:rPr>
      <w:rFonts w:ascii="黑体" w:hAnsi="Times New Roman" w:eastAsia="黑体" w:cs="Times New Roman"/>
      <w:kern w:val="0"/>
      <w:sz w:val="21"/>
      <w:szCs w:val="20"/>
      <w:lang w:val="en-US" w:eastAsia="zh-CN" w:bidi="ar-SA"/>
    </w:rPr>
  </w:style>
  <w:style w:type="paragraph" w:customStyle="1" w:styleId="556">
    <w:name w:val="附录五级条标题"/>
    <w:basedOn w:val="554"/>
    <w:next w:val="177"/>
    <w:qFormat/>
    <w:uiPriority w:val="0"/>
    <w:pPr>
      <w:outlineLvl w:val="6"/>
    </w:pPr>
  </w:style>
  <w:style w:type="character" w:customStyle="1" w:styleId="557">
    <w:name w:val="个人答复风格"/>
    <w:autoRedefine/>
    <w:qFormat/>
    <w:uiPriority w:val="0"/>
    <w:rPr>
      <w:rFonts w:ascii="Arial" w:hAnsi="Arial" w:eastAsia="宋体" w:cs="Arial"/>
      <w:color w:val="auto"/>
      <w:sz w:val="20"/>
    </w:rPr>
  </w:style>
  <w:style w:type="character" w:customStyle="1" w:styleId="558">
    <w:name w:val="个人撰写风格"/>
    <w:qFormat/>
    <w:uiPriority w:val="0"/>
    <w:rPr>
      <w:rFonts w:ascii="Arial" w:hAnsi="Arial" w:eastAsia="宋体" w:cs="Arial"/>
      <w:color w:val="auto"/>
      <w:sz w:val="20"/>
    </w:rPr>
  </w:style>
  <w:style w:type="character" w:customStyle="1" w:styleId="559">
    <w:name w:val="脚注文本 Char"/>
    <w:basedOn w:val="63"/>
    <w:link w:val="47"/>
    <w:autoRedefine/>
    <w:semiHidden/>
    <w:qFormat/>
    <w:uiPriority w:val="0"/>
    <w:rPr>
      <w:rFonts w:ascii="Times New Roman" w:hAnsi="Times New Roman" w:eastAsia="宋体" w:cs="Times New Roman"/>
      <w:sz w:val="18"/>
      <w:szCs w:val="18"/>
    </w:rPr>
  </w:style>
  <w:style w:type="paragraph" w:customStyle="1" w:styleId="560">
    <w:name w:val="列项——"/>
    <w:autoRedefine/>
    <w:qFormat/>
    <w:uiPriority w:val="0"/>
    <w:pPr>
      <w:widowControl w:val="0"/>
      <w:tabs>
        <w:tab w:val="left" w:pos="854"/>
        <w:tab w:val="left" w:pos="990"/>
      </w:tabs>
      <w:ind w:left="990" w:leftChars="200" w:hanging="420" w:hangingChars="200"/>
      <w:jc w:val="both"/>
    </w:pPr>
    <w:rPr>
      <w:rFonts w:ascii="宋体" w:hAnsi="Times New Roman" w:eastAsia="宋体" w:cs="Times New Roman"/>
      <w:kern w:val="0"/>
      <w:sz w:val="21"/>
      <w:szCs w:val="20"/>
      <w:lang w:val="en-US" w:eastAsia="zh-CN" w:bidi="ar-SA"/>
    </w:rPr>
  </w:style>
  <w:style w:type="paragraph" w:customStyle="1" w:styleId="561">
    <w:name w:val="列项·"/>
    <w:qFormat/>
    <w:uiPriority w:val="0"/>
    <w:pPr>
      <w:tabs>
        <w:tab w:val="left" w:pos="840"/>
      </w:tabs>
      <w:ind w:left="840" w:leftChars="200" w:hanging="420" w:hangingChars="200"/>
      <w:jc w:val="both"/>
    </w:pPr>
    <w:rPr>
      <w:rFonts w:ascii="宋体" w:hAnsi="Times New Roman" w:eastAsia="宋体" w:cs="Times New Roman"/>
      <w:kern w:val="0"/>
      <w:sz w:val="21"/>
      <w:szCs w:val="20"/>
      <w:lang w:val="en-US" w:eastAsia="zh-CN" w:bidi="ar-SA"/>
    </w:rPr>
  </w:style>
  <w:style w:type="paragraph" w:customStyle="1" w:styleId="562">
    <w:name w:val="目次、标准名称标题"/>
    <w:basedOn w:val="499"/>
    <w:next w:val="177"/>
    <w:autoRedefine/>
    <w:qFormat/>
    <w:uiPriority w:val="0"/>
    <w:pPr>
      <w:tabs>
        <w:tab w:val="clear" w:pos="903"/>
        <w:tab w:val="clear" w:pos="1280"/>
      </w:tabs>
      <w:spacing w:line="460" w:lineRule="exact"/>
      <w:ind w:left="0" w:firstLine="0"/>
    </w:pPr>
    <w:rPr>
      <w:szCs w:val="20"/>
    </w:rPr>
  </w:style>
  <w:style w:type="paragraph" w:customStyle="1" w:styleId="563">
    <w:name w:val="目次、索引正文"/>
    <w:autoRedefine/>
    <w:qFormat/>
    <w:uiPriority w:val="0"/>
    <w:pPr>
      <w:spacing w:line="320" w:lineRule="exact"/>
      <w:jc w:val="both"/>
    </w:pPr>
    <w:rPr>
      <w:rFonts w:ascii="宋体" w:hAnsi="Times New Roman" w:eastAsia="宋体" w:cs="Times New Roman"/>
      <w:kern w:val="0"/>
      <w:sz w:val="21"/>
      <w:szCs w:val="20"/>
      <w:lang w:val="en-US" w:eastAsia="zh-CN" w:bidi="ar-SA"/>
    </w:rPr>
  </w:style>
  <w:style w:type="paragraph" w:customStyle="1" w:styleId="564">
    <w:name w:val="其他标准称谓"/>
    <w:qFormat/>
    <w:uiPriority w:val="0"/>
    <w:pPr>
      <w:spacing w:line="0" w:lineRule="atLeast"/>
      <w:jc w:val="distribute"/>
    </w:pPr>
    <w:rPr>
      <w:rFonts w:ascii="黑体" w:hAnsi="宋体" w:eastAsia="黑体" w:cs="Times New Roman"/>
      <w:kern w:val="0"/>
      <w:sz w:val="52"/>
      <w:szCs w:val="20"/>
      <w:lang w:val="en-US" w:eastAsia="zh-CN" w:bidi="ar-SA"/>
    </w:rPr>
  </w:style>
  <w:style w:type="paragraph" w:customStyle="1" w:styleId="565">
    <w:name w:val="其他发布部门"/>
    <w:basedOn w:val="538"/>
    <w:autoRedefine/>
    <w:qFormat/>
    <w:uiPriority w:val="0"/>
    <w:pPr>
      <w:framePr w:wrap="around"/>
      <w:spacing w:line="0" w:lineRule="atLeast"/>
    </w:pPr>
    <w:rPr>
      <w:rFonts w:ascii="黑体" w:eastAsia="黑体"/>
      <w:b w:val="0"/>
    </w:rPr>
  </w:style>
  <w:style w:type="paragraph" w:customStyle="1" w:styleId="566">
    <w:name w:val="三级无标题条"/>
    <w:basedOn w:val="1"/>
    <w:qFormat/>
    <w:uiPriority w:val="0"/>
    <w:pPr>
      <w:tabs>
        <w:tab w:val="left" w:pos="2580"/>
      </w:tabs>
      <w:ind w:left="2580" w:hanging="420"/>
    </w:pPr>
    <w:rPr>
      <w:rFonts w:ascii="Times New Roman" w:hAnsi="Times New Roman" w:cs="Times New Roman"/>
      <w:szCs w:val="20"/>
    </w:rPr>
  </w:style>
  <w:style w:type="paragraph" w:customStyle="1" w:styleId="567">
    <w:name w:val="实施日期"/>
    <w:basedOn w:val="539"/>
    <w:qFormat/>
    <w:uiPriority w:val="0"/>
    <w:pPr>
      <w:framePr w:hSpace="0" w:wrap="around" w:xAlign="right"/>
      <w:jc w:val="right"/>
    </w:pPr>
  </w:style>
  <w:style w:type="paragraph" w:customStyle="1" w:styleId="568">
    <w:name w:val="示例"/>
    <w:next w:val="177"/>
    <w:qFormat/>
    <w:uiPriority w:val="0"/>
    <w:pPr>
      <w:tabs>
        <w:tab w:val="left" w:pos="816"/>
      </w:tabs>
      <w:ind w:left="960" w:firstLine="419" w:firstLineChars="233"/>
      <w:jc w:val="both"/>
    </w:pPr>
    <w:rPr>
      <w:rFonts w:ascii="宋体" w:hAnsi="Times New Roman" w:eastAsia="宋体" w:cs="Times New Roman"/>
      <w:kern w:val="0"/>
      <w:sz w:val="18"/>
      <w:szCs w:val="20"/>
      <w:lang w:val="en-US" w:eastAsia="zh-CN" w:bidi="ar-SA"/>
    </w:rPr>
  </w:style>
  <w:style w:type="paragraph" w:customStyle="1" w:styleId="569">
    <w:name w:val="数字编号列项（二级）"/>
    <w:autoRedefine/>
    <w:qFormat/>
    <w:uiPriority w:val="0"/>
    <w:pPr>
      <w:ind w:left="1260" w:leftChars="400" w:hanging="420" w:hangingChars="200"/>
      <w:jc w:val="both"/>
    </w:pPr>
    <w:rPr>
      <w:rFonts w:ascii="宋体" w:hAnsi="Times New Roman" w:eastAsia="宋体" w:cs="Times New Roman"/>
      <w:kern w:val="0"/>
      <w:sz w:val="21"/>
      <w:szCs w:val="20"/>
      <w:lang w:val="en-US" w:eastAsia="zh-CN" w:bidi="ar-SA"/>
    </w:rPr>
  </w:style>
  <w:style w:type="paragraph" w:customStyle="1" w:styleId="570">
    <w:name w:val="四级无标题条"/>
    <w:basedOn w:val="1"/>
    <w:qFormat/>
    <w:uiPriority w:val="0"/>
    <w:pPr>
      <w:tabs>
        <w:tab w:val="left" w:pos="3000"/>
      </w:tabs>
      <w:ind w:left="3000" w:hanging="420"/>
    </w:pPr>
    <w:rPr>
      <w:rFonts w:ascii="Times New Roman" w:hAnsi="Times New Roman" w:cs="Times New Roman"/>
      <w:szCs w:val="20"/>
    </w:rPr>
  </w:style>
  <w:style w:type="paragraph" w:customStyle="1" w:styleId="571">
    <w:name w:val="条文脚注"/>
    <w:basedOn w:val="47"/>
    <w:autoRedefine/>
    <w:qFormat/>
    <w:uiPriority w:val="0"/>
    <w:pPr>
      <w:ind w:left="780" w:leftChars="200" w:hanging="360" w:hangingChars="200"/>
      <w:jc w:val="both"/>
    </w:pPr>
    <w:rPr>
      <w:rFonts w:ascii="宋体"/>
    </w:rPr>
  </w:style>
  <w:style w:type="paragraph" w:customStyle="1" w:styleId="572">
    <w:name w:val="图表脚注"/>
    <w:next w:val="177"/>
    <w:autoRedefine/>
    <w:qFormat/>
    <w:uiPriority w:val="0"/>
    <w:pPr>
      <w:ind w:left="300" w:leftChars="200" w:hanging="100" w:hangingChars="100"/>
      <w:jc w:val="both"/>
    </w:pPr>
    <w:rPr>
      <w:rFonts w:ascii="宋体" w:hAnsi="Times New Roman" w:eastAsia="宋体" w:cs="Times New Roman"/>
      <w:kern w:val="0"/>
      <w:sz w:val="18"/>
      <w:szCs w:val="20"/>
      <w:lang w:val="en-US" w:eastAsia="zh-CN" w:bidi="ar-SA"/>
    </w:rPr>
  </w:style>
  <w:style w:type="paragraph" w:customStyle="1" w:styleId="573">
    <w:name w:val="文献分类号"/>
    <w:qFormat/>
    <w:uiPriority w:val="0"/>
    <w:pPr>
      <w:framePr w:hSpace="180" w:vSpace="180" w:wrap="around" w:vAnchor="margin" w:hAnchor="margin" w:y="1" w:anchorLock="1"/>
      <w:widowControl w:val="0"/>
      <w:tabs>
        <w:tab w:val="left" w:pos="2670"/>
      </w:tabs>
      <w:ind w:left="2670" w:hanging="420"/>
      <w:textAlignment w:val="center"/>
    </w:pPr>
    <w:rPr>
      <w:rFonts w:ascii="Times New Roman" w:hAnsi="Times New Roman" w:eastAsia="黑体" w:cs="Times New Roman"/>
      <w:kern w:val="0"/>
      <w:sz w:val="21"/>
      <w:szCs w:val="20"/>
      <w:lang w:val="en-US" w:eastAsia="zh-CN" w:bidi="ar-SA"/>
    </w:rPr>
  </w:style>
  <w:style w:type="paragraph" w:customStyle="1" w:styleId="574">
    <w:name w:val="无标题条"/>
    <w:next w:val="177"/>
    <w:autoRedefine/>
    <w:qFormat/>
    <w:uiPriority w:val="0"/>
    <w:pPr>
      <w:tabs>
        <w:tab w:val="left" w:pos="2100"/>
      </w:tabs>
      <w:ind w:left="2100" w:hanging="420"/>
      <w:jc w:val="both"/>
    </w:pPr>
    <w:rPr>
      <w:rFonts w:ascii="Times New Roman" w:hAnsi="Times New Roman" w:eastAsia="宋体" w:cs="Times New Roman"/>
      <w:kern w:val="0"/>
      <w:sz w:val="21"/>
      <w:szCs w:val="20"/>
      <w:lang w:val="en-US" w:eastAsia="zh-CN" w:bidi="ar-SA"/>
    </w:rPr>
  </w:style>
  <w:style w:type="paragraph" w:customStyle="1" w:styleId="575">
    <w:name w:val="五级条标题"/>
    <w:basedOn w:val="503"/>
    <w:next w:val="177"/>
    <w:autoRedefine/>
    <w:qFormat/>
    <w:uiPriority w:val="0"/>
    <w:pPr>
      <w:tabs>
        <w:tab w:val="left" w:pos="2940"/>
        <w:tab w:val="clear" w:pos="3058"/>
      </w:tabs>
      <w:ind w:left="2940" w:hanging="420"/>
      <w:outlineLvl w:val="6"/>
    </w:pPr>
    <w:rPr>
      <w:szCs w:val="20"/>
    </w:rPr>
  </w:style>
  <w:style w:type="paragraph" w:customStyle="1" w:styleId="576">
    <w:name w:val="五级无标题条"/>
    <w:basedOn w:val="1"/>
    <w:qFormat/>
    <w:uiPriority w:val="0"/>
    <w:rPr>
      <w:rFonts w:ascii="Times New Roman" w:hAnsi="Times New Roman" w:cs="Times New Roman"/>
      <w:szCs w:val="20"/>
    </w:rPr>
  </w:style>
  <w:style w:type="paragraph" w:customStyle="1" w:styleId="577">
    <w:name w:val="一级无标题条"/>
    <w:basedOn w:val="1"/>
    <w:autoRedefine/>
    <w:qFormat/>
    <w:uiPriority w:val="0"/>
    <w:pPr>
      <w:tabs>
        <w:tab w:val="left" w:pos="3090"/>
      </w:tabs>
      <w:ind w:left="3090" w:hanging="420"/>
    </w:pPr>
    <w:rPr>
      <w:rFonts w:ascii="Times New Roman" w:hAnsi="Times New Roman" w:cs="Times New Roman"/>
      <w:szCs w:val="20"/>
    </w:rPr>
  </w:style>
  <w:style w:type="paragraph" w:customStyle="1" w:styleId="578">
    <w:name w:val="正文图标题"/>
    <w:next w:val="177"/>
    <w:qFormat/>
    <w:uiPriority w:val="0"/>
    <w:pPr>
      <w:tabs>
        <w:tab w:val="left" w:pos="887"/>
      </w:tabs>
      <w:ind w:left="887" w:hanging="360"/>
      <w:jc w:val="center"/>
    </w:pPr>
    <w:rPr>
      <w:rFonts w:ascii="黑体" w:hAnsi="Times New Roman" w:eastAsia="黑体" w:cs="Times New Roman"/>
      <w:kern w:val="0"/>
      <w:sz w:val="21"/>
      <w:szCs w:val="20"/>
      <w:lang w:val="en-US" w:eastAsia="zh-CN" w:bidi="ar-SA"/>
    </w:rPr>
  </w:style>
  <w:style w:type="paragraph" w:customStyle="1" w:styleId="579">
    <w:name w:val="注："/>
    <w:next w:val="177"/>
    <w:qFormat/>
    <w:uiPriority w:val="0"/>
    <w:pPr>
      <w:widowControl w:val="0"/>
      <w:tabs>
        <w:tab w:val="left" w:pos="720"/>
      </w:tabs>
      <w:autoSpaceDE w:val="0"/>
      <w:autoSpaceDN w:val="0"/>
      <w:ind w:left="720" w:hanging="360"/>
      <w:jc w:val="both"/>
    </w:pPr>
    <w:rPr>
      <w:rFonts w:ascii="宋体" w:hAnsi="Times New Roman" w:eastAsia="宋体" w:cs="Times New Roman"/>
      <w:kern w:val="0"/>
      <w:sz w:val="18"/>
      <w:szCs w:val="20"/>
      <w:lang w:val="en-US" w:eastAsia="zh-CN" w:bidi="ar-SA"/>
    </w:rPr>
  </w:style>
  <w:style w:type="paragraph" w:customStyle="1" w:styleId="580">
    <w:name w:val="注×："/>
    <w:autoRedefine/>
    <w:qFormat/>
    <w:uiPriority w:val="0"/>
    <w:pPr>
      <w:widowControl w:val="0"/>
      <w:tabs>
        <w:tab w:val="left" w:pos="630"/>
        <w:tab w:val="left" w:pos="990"/>
      </w:tabs>
      <w:autoSpaceDE w:val="0"/>
      <w:autoSpaceDN w:val="0"/>
      <w:ind w:left="990" w:hanging="420"/>
      <w:jc w:val="both"/>
    </w:pPr>
    <w:rPr>
      <w:rFonts w:ascii="宋体" w:hAnsi="Times New Roman" w:eastAsia="宋体" w:cs="Times New Roman"/>
      <w:kern w:val="0"/>
      <w:sz w:val="18"/>
      <w:szCs w:val="20"/>
      <w:lang w:val="en-US" w:eastAsia="zh-CN" w:bidi="ar-SA"/>
    </w:rPr>
  </w:style>
  <w:style w:type="paragraph" w:customStyle="1" w:styleId="581">
    <w:name w:val="字母编号列项（一级）"/>
    <w:autoRedefine/>
    <w:qFormat/>
    <w:uiPriority w:val="0"/>
    <w:pPr>
      <w:tabs>
        <w:tab w:val="left" w:pos="3510"/>
      </w:tabs>
      <w:ind w:left="840" w:leftChars="200" w:hanging="420" w:hangingChars="200"/>
      <w:jc w:val="both"/>
    </w:pPr>
    <w:rPr>
      <w:rFonts w:ascii="宋体" w:hAnsi="Times New Roman" w:eastAsia="宋体" w:cs="Times New Roman"/>
      <w:kern w:val="0"/>
      <w:sz w:val="21"/>
      <w:szCs w:val="20"/>
      <w:lang w:val="en-US" w:eastAsia="zh-CN" w:bidi="ar-SA"/>
    </w:rPr>
  </w:style>
  <w:style w:type="paragraph" w:customStyle="1" w:styleId="582">
    <w:name w:val="CM78"/>
    <w:basedOn w:val="471"/>
    <w:next w:val="471"/>
    <w:qFormat/>
    <w:uiPriority w:val="0"/>
    <w:pPr>
      <w:spacing w:after="318"/>
    </w:pPr>
    <w:rPr>
      <w:color w:val="auto"/>
    </w:rPr>
  </w:style>
  <w:style w:type="paragraph" w:customStyle="1" w:styleId="583">
    <w:name w:val="CM59"/>
    <w:basedOn w:val="471"/>
    <w:next w:val="471"/>
    <w:autoRedefine/>
    <w:qFormat/>
    <w:uiPriority w:val="0"/>
    <w:pPr>
      <w:spacing w:after="273"/>
    </w:pPr>
    <w:rPr>
      <w:color w:val="auto"/>
    </w:rPr>
  </w:style>
  <w:style w:type="paragraph" w:customStyle="1" w:styleId="584">
    <w:name w:val="CM75"/>
    <w:basedOn w:val="471"/>
    <w:next w:val="471"/>
    <w:autoRedefine/>
    <w:qFormat/>
    <w:uiPriority w:val="0"/>
    <w:pPr>
      <w:spacing w:after="475"/>
    </w:pPr>
    <w:rPr>
      <w:color w:val="auto"/>
    </w:rPr>
  </w:style>
  <w:style w:type="paragraph" w:customStyle="1" w:styleId="585">
    <w:name w:val="CM77"/>
    <w:basedOn w:val="471"/>
    <w:next w:val="471"/>
    <w:autoRedefine/>
    <w:qFormat/>
    <w:uiPriority w:val="0"/>
    <w:pPr>
      <w:spacing w:after="583"/>
    </w:pPr>
    <w:rPr>
      <w:color w:val="auto"/>
    </w:rPr>
  </w:style>
  <w:style w:type="paragraph" w:customStyle="1" w:styleId="586">
    <w:name w:val="CM79"/>
    <w:basedOn w:val="471"/>
    <w:next w:val="471"/>
    <w:qFormat/>
    <w:uiPriority w:val="0"/>
    <w:pPr>
      <w:spacing w:after="145"/>
    </w:pPr>
    <w:rPr>
      <w:color w:val="auto"/>
    </w:rPr>
  </w:style>
  <w:style w:type="paragraph" w:customStyle="1" w:styleId="587">
    <w:name w:val="CM4"/>
    <w:basedOn w:val="471"/>
    <w:next w:val="471"/>
    <w:qFormat/>
    <w:uiPriority w:val="0"/>
    <w:pPr>
      <w:spacing w:line="546" w:lineRule="atLeast"/>
    </w:pPr>
    <w:rPr>
      <w:color w:val="auto"/>
    </w:rPr>
  </w:style>
  <w:style w:type="paragraph" w:customStyle="1" w:styleId="588">
    <w:name w:val="CM6"/>
    <w:basedOn w:val="471"/>
    <w:next w:val="471"/>
    <w:qFormat/>
    <w:uiPriority w:val="0"/>
    <w:pPr>
      <w:spacing w:line="546" w:lineRule="atLeast"/>
    </w:pPr>
    <w:rPr>
      <w:color w:val="auto"/>
    </w:rPr>
  </w:style>
  <w:style w:type="paragraph" w:customStyle="1" w:styleId="589">
    <w:name w:val="CM21"/>
    <w:basedOn w:val="471"/>
    <w:next w:val="471"/>
    <w:qFormat/>
    <w:uiPriority w:val="0"/>
    <w:pPr>
      <w:spacing w:line="548" w:lineRule="atLeast"/>
    </w:pPr>
    <w:rPr>
      <w:color w:val="auto"/>
    </w:rPr>
  </w:style>
  <w:style w:type="paragraph" w:customStyle="1" w:styleId="590">
    <w:name w:val="CM55"/>
    <w:basedOn w:val="471"/>
    <w:next w:val="471"/>
    <w:autoRedefine/>
    <w:qFormat/>
    <w:uiPriority w:val="0"/>
    <w:pPr>
      <w:spacing w:line="546" w:lineRule="atLeast"/>
    </w:pPr>
    <w:rPr>
      <w:color w:val="auto"/>
    </w:rPr>
  </w:style>
  <w:style w:type="paragraph" w:customStyle="1" w:styleId="591">
    <w:name w:val="CM8"/>
    <w:basedOn w:val="471"/>
    <w:next w:val="471"/>
    <w:autoRedefine/>
    <w:qFormat/>
    <w:uiPriority w:val="0"/>
    <w:pPr>
      <w:spacing w:line="548" w:lineRule="atLeast"/>
    </w:pPr>
    <w:rPr>
      <w:color w:val="auto"/>
    </w:rPr>
  </w:style>
  <w:style w:type="paragraph" w:customStyle="1" w:styleId="592">
    <w:name w:val="CM12"/>
    <w:basedOn w:val="471"/>
    <w:next w:val="471"/>
    <w:qFormat/>
    <w:uiPriority w:val="0"/>
    <w:pPr>
      <w:spacing w:line="548" w:lineRule="atLeast"/>
    </w:pPr>
    <w:rPr>
      <w:color w:val="auto"/>
    </w:rPr>
  </w:style>
  <w:style w:type="paragraph" w:customStyle="1" w:styleId="593">
    <w:name w:val="CM23"/>
    <w:basedOn w:val="471"/>
    <w:next w:val="471"/>
    <w:autoRedefine/>
    <w:qFormat/>
    <w:uiPriority w:val="0"/>
    <w:pPr>
      <w:spacing w:line="551" w:lineRule="atLeast"/>
    </w:pPr>
    <w:rPr>
      <w:color w:val="auto"/>
    </w:rPr>
  </w:style>
  <w:style w:type="paragraph" w:customStyle="1" w:styleId="594">
    <w:name w:val="CM24"/>
    <w:basedOn w:val="471"/>
    <w:next w:val="471"/>
    <w:autoRedefine/>
    <w:qFormat/>
    <w:uiPriority w:val="0"/>
    <w:pPr>
      <w:spacing w:line="551" w:lineRule="atLeast"/>
    </w:pPr>
    <w:rPr>
      <w:color w:val="auto"/>
    </w:rPr>
  </w:style>
  <w:style w:type="paragraph" w:customStyle="1" w:styleId="595">
    <w:name w:val="CM11"/>
    <w:basedOn w:val="471"/>
    <w:next w:val="471"/>
    <w:autoRedefine/>
    <w:qFormat/>
    <w:uiPriority w:val="0"/>
    <w:pPr>
      <w:spacing w:line="548" w:lineRule="atLeast"/>
    </w:pPr>
    <w:rPr>
      <w:color w:val="auto"/>
    </w:rPr>
  </w:style>
  <w:style w:type="paragraph" w:customStyle="1" w:styleId="596">
    <w:name w:val="CM5"/>
    <w:basedOn w:val="471"/>
    <w:next w:val="471"/>
    <w:autoRedefine/>
    <w:qFormat/>
    <w:uiPriority w:val="0"/>
    <w:pPr>
      <w:spacing w:line="548" w:lineRule="atLeast"/>
    </w:pPr>
    <w:rPr>
      <w:color w:val="auto"/>
    </w:rPr>
  </w:style>
  <w:style w:type="paragraph" w:customStyle="1" w:styleId="597">
    <w:name w:val="CM14"/>
    <w:basedOn w:val="471"/>
    <w:next w:val="471"/>
    <w:autoRedefine/>
    <w:qFormat/>
    <w:uiPriority w:val="0"/>
    <w:pPr>
      <w:spacing w:line="546" w:lineRule="atLeast"/>
    </w:pPr>
    <w:rPr>
      <w:color w:val="auto"/>
    </w:rPr>
  </w:style>
  <w:style w:type="paragraph" w:customStyle="1" w:styleId="598">
    <w:name w:val="CM15"/>
    <w:basedOn w:val="471"/>
    <w:next w:val="471"/>
    <w:qFormat/>
    <w:uiPriority w:val="0"/>
    <w:pPr>
      <w:spacing w:line="543" w:lineRule="atLeast"/>
    </w:pPr>
    <w:rPr>
      <w:color w:val="auto"/>
    </w:rPr>
  </w:style>
  <w:style w:type="paragraph" w:customStyle="1" w:styleId="599">
    <w:name w:val="CM27"/>
    <w:basedOn w:val="471"/>
    <w:next w:val="471"/>
    <w:autoRedefine/>
    <w:qFormat/>
    <w:uiPriority w:val="0"/>
    <w:pPr>
      <w:spacing w:line="548" w:lineRule="atLeast"/>
    </w:pPr>
    <w:rPr>
      <w:color w:val="auto"/>
    </w:rPr>
  </w:style>
  <w:style w:type="paragraph" w:customStyle="1" w:styleId="600">
    <w:name w:val="条(二级)"/>
    <w:basedOn w:val="3"/>
    <w:next w:val="1"/>
    <w:autoRedefine/>
    <w:qFormat/>
    <w:uiPriority w:val="0"/>
    <w:pPr>
      <w:adjustRightInd w:val="0"/>
      <w:spacing w:before="0" w:after="0" w:line="460" w:lineRule="exact"/>
      <w:jc w:val="left"/>
      <w:textAlignment w:val="baseline"/>
      <w:outlineLvl w:val="9"/>
    </w:pPr>
    <w:rPr>
      <w:rFonts w:ascii="宋体" w:eastAsia="宋体"/>
      <w:bCs w:val="0"/>
      <w:spacing w:val="3"/>
      <w:kern w:val="24"/>
      <w:sz w:val="24"/>
      <w:szCs w:val="20"/>
    </w:rPr>
  </w:style>
  <w:style w:type="character" w:customStyle="1" w:styleId="601">
    <w:name w:val="zw1"/>
    <w:autoRedefine/>
    <w:qFormat/>
    <w:uiPriority w:val="0"/>
    <w:rPr>
      <w:rFonts w:hint="eastAsia" w:ascii="宋体" w:hAnsi="宋体" w:eastAsia="宋体"/>
      <w:sz w:val="22"/>
      <w:szCs w:val="22"/>
    </w:rPr>
  </w:style>
  <w:style w:type="paragraph" w:customStyle="1" w:styleId="602">
    <w:name w:val="条(三级)"/>
    <w:basedOn w:val="1"/>
    <w:next w:val="1"/>
    <w:autoRedefine/>
    <w:qFormat/>
    <w:uiPriority w:val="0"/>
    <w:pPr>
      <w:keepNext/>
      <w:keepLines/>
      <w:adjustRightInd w:val="0"/>
      <w:spacing w:line="460" w:lineRule="exact"/>
      <w:jc w:val="left"/>
      <w:textAlignment w:val="baseline"/>
    </w:pPr>
    <w:rPr>
      <w:rFonts w:ascii="Times New Roman" w:hAnsi="Arial" w:cs="Times New Roman"/>
      <w:spacing w:val="3"/>
      <w:kern w:val="24"/>
      <w:sz w:val="24"/>
      <w:szCs w:val="20"/>
    </w:rPr>
  </w:style>
  <w:style w:type="paragraph" w:customStyle="1" w:styleId="603">
    <w:name w:val="样式111"/>
    <w:qFormat/>
    <w:uiPriority w:val="0"/>
    <w:pPr>
      <w:adjustRightInd w:val="0"/>
      <w:snapToGrid w:val="0"/>
      <w:jc w:val="both"/>
    </w:pPr>
    <w:rPr>
      <w:rFonts w:hint="eastAsia" w:ascii="宋体" w:hAnsi="Times New Roman" w:eastAsia="宋体" w:cs="Times New Roman"/>
      <w:kern w:val="0"/>
      <w:sz w:val="21"/>
      <w:szCs w:val="20"/>
      <w:lang w:val="en-US" w:eastAsia="zh-CN" w:bidi="ar-SA"/>
    </w:rPr>
  </w:style>
  <w:style w:type="character" w:customStyle="1" w:styleId="604">
    <w:name w:val="zw"/>
    <w:basedOn w:val="63"/>
    <w:qFormat/>
    <w:uiPriority w:val="0"/>
  </w:style>
  <w:style w:type="paragraph" w:customStyle="1" w:styleId="605">
    <w:name w:val="Right Par 1"/>
    <w:qFormat/>
    <w:uiPriority w:val="0"/>
    <w:pPr>
      <w:tabs>
        <w:tab w:val="left" w:pos="-720"/>
        <w:tab w:val="left" w:pos="0"/>
        <w:tab w:val="decimal" w:pos="720"/>
      </w:tabs>
      <w:suppressAutoHyphens/>
      <w:ind w:left="720" w:hanging="432"/>
    </w:pPr>
    <w:rPr>
      <w:rFonts w:ascii="Courier New" w:hAnsi="Courier New" w:eastAsia="宋体" w:cs="Times New Roman"/>
      <w:kern w:val="0"/>
      <w:sz w:val="24"/>
      <w:szCs w:val="20"/>
      <w:lang w:val="en-US" w:eastAsia="en-US" w:bidi="ar-SA"/>
    </w:rPr>
  </w:style>
  <w:style w:type="paragraph" w:customStyle="1" w:styleId="606">
    <w:name w:val="Right Par 2"/>
    <w:qFormat/>
    <w:uiPriority w:val="0"/>
    <w:pPr>
      <w:tabs>
        <w:tab w:val="left" w:pos="-720"/>
        <w:tab w:val="left" w:pos="0"/>
        <w:tab w:val="left" w:pos="720"/>
        <w:tab w:val="decimal" w:pos="1440"/>
      </w:tabs>
      <w:suppressAutoHyphens/>
      <w:ind w:left="1440" w:hanging="432"/>
    </w:pPr>
    <w:rPr>
      <w:rFonts w:ascii="Courier New" w:hAnsi="Courier New" w:eastAsia="宋体" w:cs="Times New Roman"/>
      <w:kern w:val="0"/>
      <w:sz w:val="24"/>
      <w:szCs w:val="20"/>
      <w:lang w:val="en-US" w:eastAsia="en-US" w:bidi="ar-SA"/>
    </w:rPr>
  </w:style>
  <w:style w:type="paragraph" w:customStyle="1" w:styleId="607">
    <w:name w:val="Right Par 3"/>
    <w:autoRedefine/>
    <w:qFormat/>
    <w:uiPriority w:val="0"/>
    <w:pPr>
      <w:tabs>
        <w:tab w:val="left" w:pos="-720"/>
        <w:tab w:val="left" w:pos="0"/>
        <w:tab w:val="left" w:pos="720"/>
        <w:tab w:val="left" w:pos="1440"/>
        <w:tab w:val="decimal" w:pos="2160"/>
      </w:tabs>
      <w:suppressAutoHyphens/>
      <w:ind w:left="2160" w:hanging="432"/>
    </w:pPr>
    <w:rPr>
      <w:rFonts w:ascii="Courier New" w:hAnsi="Courier New" w:eastAsia="宋体" w:cs="Times New Roman"/>
      <w:kern w:val="0"/>
      <w:sz w:val="24"/>
      <w:szCs w:val="20"/>
      <w:lang w:val="en-US" w:eastAsia="en-US" w:bidi="ar-SA"/>
    </w:rPr>
  </w:style>
  <w:style w:type="paragraph" w:customStyle="1" w:styleId="608">
    <w:name w:val="Right Par 4"/>
    <w:autoRedefine/>
    <w:qFormat/>
    <w:uiPriority w:val="0"/>
    <w:pPr>
      <w:tabs>
        <w:tab w:val="left" w:pos="-720"/>
        <w:tab w:val="left" w:pos="0"/>
        <w:tab w:val="left" w:pos="720"/>
        <w:tab w:val="left" w:pos="1440"/>
        <w:tab w:val="left" w:pos="2160"/>
        <w:tab w:val="decimal" w:pos="2880"/>
      </w:tabs>
      <w:suppressAutoHyphens/>
      <w:ind w:left="2880" w:hanging="432"/>
    </w:pPr>
    <w:rPr>
      <w:rFonts w:ascii="Courier New" w:hAnsi="Courier New" w:eastAsia="宋体" w:cs="Times New Roman"/>
      <w:kern w:val="0"/>
      <w:sz w:val="24"/>
      <w:szCs w:val="20"/>
      <w:lang w:val="en-US" w:eastAsia="en-US" w:bidi="ar-SA"/>
    </w:rPr>
  </w:style>
  <w:style w:type="paragraph" w:customStyle="1" w:styleId="609">
    <w:name w:val="Right Par 5"/>
    <w:qFormat/>
    <w:uiPriority w:val="0"/>
    <w:pPr>
      <w:tabs>
        <w:tab w:val="left" w:pos="-720"/>
        <w:tab w:val="left" w:pos="0"/>
        <w:tab w:val="left" w:pos="720"/>
        <w:tab w:val="left" w:pos="1440"/>
        <w:tab w:val="left" w:pos="2160"/>
        <w:tab w:val="left" w:pos="2880"/>
        <w:tab w:val="decimal" w:pos="3600"/>
      </w:tabs>
      <w:suppressAutoHyphens/>
      <w:ind w:left="3600" w:hanging="576"/>
    </w:pPr>
    <w:rPr>
      <w:rFonts w:ascii="Courier New" w:hAnsi="Courier New" w:eastAsia="宋体" w:cs="Times New Roman"/>
      <w:kern w:val="0"/>
      <w:sz w:val="24"/>
      <w:szCs w:val="20"/>
      <w:lang w:val="en-US" w:eastAsia="en-US" w:bidi="ar-SA"/>
    </w:rPr>
  </w:style>
  <w:style w:type="paragraph" w:customStyle="1" w:styleId="610">
    <w:name w:val="Right Par 6"/>
    <w:autoRedefine/>
    <w:qFormat/>
    <w:uiPriority w:val="0"/>
    <w:pPr>
      <w:tabs>
        <w:tab w:val="left" w:pos="-720"/>
        <w:tab w:val="left" w:pos="0"/>
        <w:tab w:val="left" w:pos="720"/>
        <w:tab w:val="left" w:pos="1440"/>
        <w:tab w:val="left" w:pos="2160"/>
        <w:tab w:val="left" w:pos="2880"/>
        <w:tab w:val="left" w:pos="3600"/>
        <w:tab w:val="decimal" w:pos="4320"/>
      </w:tabs>
      <w:suppressAutoHyphens/>
      <w:ind w:left="4320" w:hanging="576"/>
    </w:pPr>
    <w:rPr>
      <w:rFonts w:ascii="Courier New" w:hAnsi="Courier New" w:eastAsia="宋体" w:cs="Times New Roman"/>
      <w:kern w:val="0"/>
      <w:sz w:val="24"/>
      <w:szCs w:val="20"/>
      <w:lang w:val="en-US" w:eastAsia="en-US" w:bidi="ar-SA"/>
    </w:rPr>
  </w:style>
  <w:style w:type="paragraph" w:customStyle="1" w:styleId="611">
    <w:name w:val="Right Par 7"/>
    <w:autoRedefine/>
    <w:qFormat/>
    <w:uiPriority w:val="0"/>
    <w:pPr>
      <w:tabs>
        <w:tab w:val="left" w:pos="-720"/>
        <w:tab w:val="left" w:pos="0"/>
        <w:tab w:val="left" w:pos="720"/>
        <w:tab w:val="left" w:pos="1440"/>
        <w:tab w:val="left" w:pos="2160"/>
        <w:tab w:val="left" w:pos="2880"/>
        <w:tab w:val="left" w:pos="3600"/>
        <w:tab w:val="left" w:pos="4320"/>
        <w:tab w:val="decimal" w:pos="5040"/>
      </w:tabs>
      <w:suppressAutoHyphens/>
      <w:ind w:left="5040" w:hanging="432"/>
    </w:pPr>
    <w:rPr>
      <w:rFonts w:ascii="Courier New" w:hAnsi="Courier New" w:eastAsia="宋体" w:cs="Times New Roman"/>
      <w:kern w:val="0"/>
      <w:sz w:val="24"/>
      <w:szCs w:val="20"/>
      <w:lang w:val="en-US" w:eastAsia="en-US" w:bidi="ar-SA"/>
    </w:rPr>
  </w:style>
  <w:style w:type="paragraph" w:customStyle="1" w:styleId="612">
    <w:name w:val="Right Par 8"/>
    <w:qFormat/>
    <w:uiPriority w:val="0"/>
    <w:pPr>
      <w:tabs>
        <w:tab w:val="left" w:pos="-720"/>
        <w:tab w:val="left" w:pos="0"/>
        <w:tab w:val="left" w:pos="720"/>
        <w:tab w:val="left" w:pos="1440"/>
        <w:tab w:val="left" w:pos="2160"/>
        <w:tab w:val="left" w:pos="2880"/>
        <w:tab w:val="left" w:pos="3600"/>
        <w:tab w:val="left" w:pos="4320"/>
        <w:tab w:val="left" w:pos="5040"/>
        <w:tab w:val="decimal" w:pos="5760"/>
      </w:tabs>
      <w:suppressAutoHyphens/>
      <w:ind w:left="5760" w:hanging="432"/>
    </w:pPr>
    <w:rPr>
      <w:rFonts w:ascii="Courier New" w:hAnsi="Courier New" w:eastAsia="宋体" w:cs="Times New Roman"/>
      <w:kern w:val="0"/>
      <w:sz w:val="24"/>
      <w:szCs w:val="20"/>
      <w:lang w:val="en-US" w:eastAsia="en-US" w:bidi="ar-SA"/>
    </w:rPr>
  </w:style>
  <w:style w:type="paragraph" w:customStyle="1" w:styleId="613">
    <w:name w:val="Document 1"/>
    <w:autoRedefine/>
    <w:qFormat/>
    <w:uiPriority w:val="0"/>
    <w:pPr>
      <w:keepNext/>
      <w:keepLines/>
      <w:tabs>
        <w:tab w:val="left" w:pos="-720"/>
      </w:tabs>
      <w:suppressAutoHyphens/>
    </w:pPr>
    <w:rPr>
      <w:rFonts w:ascii="Courier New" w:hAnsi="Courier New" w:eastAsia="宋体" w:cs="Times New Roman"/>
      <w:kern w:val="0"/>
      <w:sz w:val="24"/>
      <w:szCs w:val="20"/>
      <w:lang w:val="en-US" w:eastAsia="en-US" w:bidi="ar-SA"/>
    </w:rPr>
  </w:style>
  <w:style w:type="paragraph" w:customStyle="1" w:styleId="614">
    <w:name w:val="Technical 5"/>
    <w:qFormat/>
    <w:uiPriority w:val="0"/>
    <w:pPr>
      <w:tabs>
        <w:tab w:val="left" w:pos="-720"/>
      </w:tabs>
      <w:suppressAutoHyphens/>
      <w:ind w:firstLine="720"/>
    </w:pPr>
    <w:rPr>
      <w:rFonts w:ascii="Courier New" w:hAnsi="Courier New" w:eastAsia="宋体" w:cs="Times New Roman"/>
      <w:b/>
      <w:kern w:val="0"/>
      <w:sz w:val="24"/>
      <w:szCs w:val="20"/>
      <w:lang w:val="en-US" w:eastAsia="en-US" w:bidi="ar-SA"/>
    </w:rPr>
  </w:style>
  <w:style w:type="paragraph" w:customStyle="1" w:styleId="615">
    <w:name w:val="Technical 6"/>
    <w:qFormat/>
    <w:uiPriority w:val="0"/>
    <w:pPr>
      <w:tabs>
        <w:tab w:val="left" w:pos="-720"/>
      </w:tabs>
      <w:suppressAutoHyphens/>
      <w:ind w:firstLine="720"/>
    </w:pPr>
    <w:rPr>
      <w:rFonts w:ascii="Courier New" w:hAnsi="Courier New" w:eastAsia="宋体" w:cs="Times New Roman"/>
      <w:b/>
      <w:kern w:val="0"/>
      <w:sz w:val="24"/>
      <w:szCs w:val="20"/>
      <w:lang w:val="en-US" w:eastAsia="en-US" w:bidi="ar-SA"/>
    </w:rPr>
  </w:style>
  <w:style w:type="paragraph" w:customStyle="1" w:styleId="616">
    <w:name w:val="Technical 4"/>
    <w:qFormat/>
    <w:uiPriority w:val="0"/>
    <w:pPr>
      <w:tabs>
        <w:tab w:val="left" w:pos="-720"/>
      </w:tabs>
      <w:suppressAutoHyphens/>
    </w:pPr>
    <w:rPr>
      <w:rFonts w:ascii="Courier New" w:hAnsi="Courier New" w:eastAsia="宋体" w:cs="Times New Roman"/>
      <w:b/>
      <w:kern w:val="0"/>
      <w:sz w:val="24"/>
      <w:szCs w:val="20"/>
      <w:lang w:val="en-US" w:eastAsia="en-US" w:bidi="ar-SA"/>
    </w:rPr>
  </w:style>
  <w:style w:type="paragraph" w:customStyle="1" w:styleId="617">
    <w:name w:val="Technical 7"/>
    <w:autoRedefine/>
    <w:qFormat/>
    <w:uiPriority w:val="0"/>
    <w:pPr>
      <w:tabs>
        <w:tab w:val="left" w:pos="-720"/>
      </w:tabs>
      <w:suppressAutoHyphens/>
      <w:ind w:firstLine="720"/>
    </w:pPr>
    <w:rPr>
      <w:rFonts w:ascii="Courier New" w:hAnsi="Courier New" w:eastAsia="宋体" w:cs="Times New Roman"/>
      <w:b/>
      <w:kern w:val="0"/>
      <w:sz w:val="24"/>
      <w:szCs w:val="20"/>
      <w:lang w:val="en-US" w:eastAsia="en-US" w:bidi="ar-SA"/>
    </w:rPr>
  </w:style>
  <w:style w:type="paragraph" w:customStyle="1" w:styleId="618">
    <w:name w:val="Technical 8"/>
    <w:qFormat/>
    <w:uiPriority w:val="0"/>
    <w:pPr>
      <w:tabs>
        <w:tab w:val="left" w:pos="-720"/>
      </w:tabs>
      <w:suppressAutoHyphens/>
      <w:ind w:firstLine="720"/>
    </w:pPr>
    <w:rPr>
      <w:rFonts w:ascii="Courier New" w:hAnsi="Courier New" w:eastAsia="宋体" w:cs="Times New Roman"/>
      <w:b/>
      <w:kern w:val="0"/>
      <w:sz w:val="24"/>
      <w:szCs w:val="20"/>
      <w:lang w:val="en-US" w:eastAsia="en-US" w:bidi="ar-SA"/>
    </w:rPr>
  </w:style>
  <w:style w:type="paragraph" w:customStyle="1" w:styleId="619">
    <w:name w:val="Pleading"/>
    <w:autoRedefine/>
    <w:qFormat/>
    <w:uiPriority w:val="0"/>
    <w:pPr>
      <w:tabs>
        <w:tab w:val="left" w:pos="-720"/>
      </w:tabs>
      <w:suppressAutoHyphens/>
      <w:spacing w:line="240" w:lineRule="exact"/>
    </w:pPr>
    <w:rPr>
      <w:rFonts w:ascii="Courier New" w:hAnsi="Courier New" w:eastAsia="宋体" w:cs="Times New Roman"/>
      <w:kern w:val="0"/>
      <w:sz w:val="24"/>
      <w:szCs w:val="20"/>
      <w:lang w:val="en-US" w:eastAsia="en-US" w:bidi="ar-SA"/>
    </w:rPr>
  </w:style>
  <w:style w:type="paragraph" w:customStyle="1" w:styleId="620">
    <w:name w:val="conditions"/>
    <w:basedOn w:val="1"/>
    <w:autoRedefine/>
    <w:qFormat/>
    <w:uiPriority w:val="0"/>
    <w:pPr>
      <w:widowControl/>
      <w:tabs>
        <w:tab w:val="left" w:pos="4200"/>
        <w:tab w:val="right" w:pos="8460"/>
      </w:tabs>
      <w:suppressAutoHyphens/>
      <w:spacing w:before="240" w:after="60" w:line="300" w:lineRule="auto"/>
      <w:ind w:left="630" w:right="-61"/>
    </w:pPr>
    <w:rPr>
      <w:rFonts w:ascii="Arial" w:hAnsi="Arial" w:cs="Times New Roman"/>
      <w:kern w:val="0"/>
      <w:sz w:val="24"/>
      <w:szCs w:val="20"/>
    </w:rPr>
  </w:style>
  <w:style w:type="paragraph" w:customStyle="1" w:styleId="621">
    <w:name w:val="bigbold"/>
    <w:basedOn w:val="1"/>
    <w:autoRedefine/>
    <w:qFormat/>
    <w:uiPriority w:val="0"/>
    <w:pPr>
      <w:widowControl/>
      <w:spacing w:before="100" w:beforeAutospacing="1" w:after="100" w:afterAutospacing="1"/>
      <w:jc w:val="left"/>
    </w:pPr>
    <w:rPr>
      <w:rFonts w:ascii="宋体" w:hAnsi="宋体" w:cs="Times New Roman"/>
      <w:kern w:val="0"/>
      <w:sz w:val="24"/>
    </w:rPr>
  </w:style>
  <w:style w:type="paragraph" w:customStyle="1" w:styleId="622">
    <w:name w:val="--"/>
    <w:basedOn w:val="1"/>
    <w:link w:val="623"/>
    <w:autoRedefine/>
    <w:qFormat/>
    <w:uiPriority w:val="0"/>
    <w:pPr>
      <w:widowControl/>
      <w:spacing w:before="100" w:beforeAutospacing="1" w:after="100" w:afterAutospacing="1"/>
      <w:jc w:val="left"/>
    </w:pPr>
    <w:rPr>
      <w:rFonts w:ascii="宋体" w:hAnsi="宋体" w:cs="Times New Roman"/>
      <w:kern w:val="0"/>
      <w:sz w:val="24"/>
    </w:rPr>
  </w:style>
  <w:style w:type="character" w:customStyle="1" w:styleId="623">
    <w:name w:val="-- Char"/>
    <w:link w:val="622"/>
    <w:autoRedefine/>
    <w:qFormat/>
    <w:uiPriority w:val="0"/>
    <w:rPr>
      <w:rFonts w:ascii="宋体" w:hAnsi="宋体" w:eastAsia="宋体" w:cs="Times New Roman"/>
      <w:kern w:val="0"/>
      <w:sz w:val="24"/>
    </w:rPr>
  </w:style>
  <w:style w:type="paragraph" w:customStyle="1" w:styleId="624">
    <w:name w:val="日期1"/>
    <w:basedOn w:val="1"/>
    <w:next w:val="1"/>
    <w:autoRedefine/>
    <w:qFormat/>
    <w:uiPriority w:val="0"/>
    <w:pPr>
      <w:adjustRightInd w:val="0"/>
      <w:textAlignment w:val="baseline"/>
    </w:pPr>
    <w:rPr>
      <w:rFonts w:ascii="宋体" w:hAnsi="Times New Roman" w:cs="Times New Roman"/>
      <w:kern w:val="0"/>
      <w:sz w:val="24"/>
      <w:szCs w:val="20"/>
    </w:rPr>
  </w:style>
  <w:style w:type="character" w:customStyle="1" w:styleId="625">
    <w:name w:val="f24"/>
    <w:basedOn w:val="63"/>
    <w:qFormat/>
    <w:uiPriority w:val="0"/>
  </w:style>
  <w:style w:type="character" w:customStyle="1" w:styleId="626">
    <w:name w:val="style81"/>
    <w:autoRedefine/>
    <w:qFormat/>
    <w:uiPriority w:val="0"/>
    <w:rPr>
      <w:rFonts w:hint="eastAsia" w:ascii="宋体" w:hAnsi="宋体" w:eastAsia="宋体"/>
      <w:sz w:val="32"/>
      <w:szCs w:val="32"/>
    </w:rPr>
  </w:style>
  <w:style w:type="paragraph" w:customStyle="1" w:styleId="627">
    <w:name w:val="CM25"/>
    <w:basedOn w:val="471"/>
    <w:next w:val="471"/>
    <w:autoRedefine/>
    <w:qFormat/>
    <w:uiPriority w:val="0"/>
    <w:pPr>
      <w:spacing w:line="358" w:lineRule="atLeast"/>
    </w:pPr>
    <w:rPr>
      <w:rFonts w:ascii="Times New Roman"/>
      <w:color w:val="auto"/>
    </w:rPr>
  </w:style>
  <w:style w:type="paragraph" w:customStyle="1" w:styleId="628">
    <w:name w:val="标题51"/>
    <w:basedOn w:val="1"/>
    <w:qFormat/>
    <w:uiPriority w:val="0"/>
    <w:pPr>
      <w:spacing w:line="360" w:lineRule="auto"/>
      <w:outlineLvl w:val="2"/>
    </w:pPr>
    <w:rPr>
      <w:rFonts w:ascii="黑体" w:hAnsi="Times New Roman" w:eastAsia="黑体" w:cs="Times New Roman"/>
      <w:b/>
      <w:sz w:val="24"/>
    </w:rPr>
  </w:style>
  <w:style w:type="paragraph" w:customStyle="1" w:styleId="629">
    <w:name w:val="a9"/>
    <w:basedOn w:val="1"/>
    <w:autoRedefine/>
    <w:qFormat/>
    <w:uiPriority w:val="0"/>
    <w:pPr>
      <w:widowControl/>
      <w:spacing w:before="100" w:beforeAutospacing="1" w:after="100" w:afterAutospacing="1"/>
      <w:jc w:val="left"/>
    </w:pPr>
    <w:rPr>
      <w:rFonts w:ascii="宋体" w:hAnsi="宋体" w:cs="Times New Roman"/>
      <w:kern w:val="0"/>
      <w:sz w:val="24"/>
    </w:rPr>
  </w:style>
  <w:style w:type="character" w:customStyle="1" w:styleId="630">
    <w:name w:val="p21"/>
    <w:qFormat/>
    <w:uiPriority w:val="0"/>
    <w:rPr>
      <w:sz w:val="18"/>
      <w:szCs w:val="18"/>
    </w:rPr>
  </w:style>
  <w:style w:type="character" w:customStyle="1" w:styleId="631">
    <w:name w:val="样式10 Char"/>
    <w:autoRedefine/>
    <w:qFormat/>
    <w:uiPriority w:val="0"/>
    <w:rPr>
      <w:rFonts w:ascii="宋体" w:hAnsi="宋体" w:eastAsia="宋体"/>
      <w:color w:val="000000"/>
      <w:kern w:val="2"/>
      <w:sz w:val="28"/>
      <w:szCs w:val="28"/>
      <w:lang w:val="en-US" w:eastAsia="zh-CN" w:bidi="ar-SA"/>
    </w:rPr>
  </w:style>
  <w:style w:type="character" w:customStyle="1" w:styleId="632">
    <w:name w:val="样式 标题 4 + 宋体 Char"/>
    <w:autoRedefine/>
    <w:qFormat/>
    <w:uiPriority w:val="0"/>
    <w:rPr>
      <w:rFonts w:eastAsia="宋体"/>
      <w:b/>
      <w:bCs/>
      <w:kern w:val="2"/>
      <w:sz w:val="28"/>
      <w:szCs w:val="28"/>
      <w:lang w:val="en-US" w:eastAsia="zh-CN" w:bidi="ar-SA"/>
    </w:rPr>
  </w:style>
  <w:style w:type="paragraph" w:customStyle="1" w:styleId="633">
    <w:name w:val="表格文本"/>
    <w:basedOn w:val="1"/>
    <w:next w:val="1"/>
    <w:qFormat/>
    <w:uiPriority w:val="0"/>
    <w:pPr>
      <w:spacing w:line="240" w:lineRule="exact"/>
    </w:pPr>
    <w:rPr>
      <w:rFonts w:ascii="Times New Roman" w:hAnsi="Times New Roman" w:cs="Times New Roman"/>
      <w:szCs w:val="20"/>
    </w:rPr>
  </w:style>
  <w:style w:type="paragraph" w:customStyle="1" w:styleId="634">
    <w:name w:val="表内字一"/>
    <w:basedOn w:val="1"/>
    <w:autoRedefine/>
    <w:qFormat/>
    <w:uiPriority w:val="0"/>
    <w:pPr>
      <w:ind w:right="113"/>
      <w:jc w:val="center"/>
    </w:pPr>
    <w:rPr>
      <w:rFonts w:ascii="宋体" w:hAnsi="宋体" w:cs="Times New Roman"/>
      <w:szCs w:val="21"/>
    </w:rPr>
  </w:style>
  <w:style w:type="character" w:customStyle="1" w:styleId="635">
    <w:name w:val="正文（首行缩进两字） Char2"/>
    <w:qFormat/>
    <w:uiPriority w:val="0"/>
    <w:rPr>
      <w:rFonts w:ascii="宋体" w:eastAsia="宋体"/>
      <w:kern w:val="2"/>
      <w:sz w:val="24"/>
      <w:lang w:val="en-US" w:eastAsia="zh-CN" w:bidi="ar-SA"/>
    </w:rPr>
  </w:style>
  <w:style w:type="character" w:customStyle="1" w:styleId="636">
    <w:name w:val="f14b1"/>
    <w:autoRedefine/>
    <w:qFormat/>
    <w:uiPriority w:val="0"/>
    <w:rPr>
      <w:b/>
      <w:bCs/>
      <w:sz w:val="21"/>
      <w:szCs w:val="21"/>
    </w:rPr>
  </w:style>
  <w:style w:type="paragraph" w:customStyle="1" w:styleId="637">
    <w:name w:val="我的正文"/>
    <w:basedOn w:val="1"/>
    <w:autoRedefine/>
    <w:qFormat/>
    <w:uiPriority w:val="0"/>
    <w:pPr>
      <w:spacing w:line="500" w:lineRule="exact"/>
      <w:ind w:firstLine="205" w:firstLineChars="205"/>
      <w:jc w:val="left"/>
    </w:pPr>
    <w:rPr>
      <w:rFonts w:ascii="宋体" w:hAnsi="宋体" w:cs="Times New Roman"/>
      <w:sz w:val="28"/>
      <w:szCs w:val="28"/>
    </w:rPr>
  </w:style>
  <w:style w:type="paragraph" w:customStyle="1" w:styleId="638">
    <w:name w:val="样式 标题 1 + 段前: 2 行 段后: 2 行"/>
    <w:basedOn w:val="2"/>
    <w:qFormat/>
    <w:uiPriority w:val="0"/>
    <w:pPr>
      <w:tabs>
        <w:tab w:val="left" w:pos="420"/>
      </w:tabs>
      <w:spacing w:beforeLines="100" w:afterLines="100" w:line="360" w:lineRule="auto"/>
      <w:ind w:left="420" w:hanging="420"/>
    </w:pPr>
    <w:rPr>
      <w:rFonts w:ascii="Times New Roman" w:hAnsi="Times New Roman" w:eastAsia="方正粗圆简体" w:cs="Times New Roman"/>
      <w:sz w:val="36"/>
      <w:szCs w:val="20"/>
    </w:rPr>
  </w:style>
  <w:style w:type="character" w:customStyle="1" w:styleId="639">
    <w:name w:val="style91"/>
    <w:qFormat/>
    <w:uiPriority w:val="0"/>
    <w:rPr>
      <w:color w:val="333333"/>
    </w:rPr>
  </w:style>
  <w:style w:type="paragraph" w:customStyle="1" w:styleId="640">
    <w:name w:val="文-5"/>
    <w:basedOn w:val="1"/>
    <w:autoRedefine/>
    <w:qFormat/>
    <w:uiPriority w:val="0"/>
    <w:pPr>
      <w:adjustRightInd w:val="0"/>
      <w:snapToGrid w:val="0"/>
      <w:spacing w:line="360" w:lineRule="exact"/>
      <w:jc w:val="center"/>
    </w:pPr>
    <w:rPr>
      <w:rFonts w:ascii="黑体" w:hAnsi="宋体" w:eastAsia="黑体" w:cs="Times New Roman"/>
      <w:snapToGrid w:val="0"/>
      <w:kern w:val="0"/>
      <w:szCs w:val="21"/>
    </w:rPr>
  </w:style>
  <w:style w:type="paragraph" w:customStyle="1" w:styleId="641">
    <w:name w:val="BG1"/>
    <w:basedOn w:val="1"/>
    <w:autoRedefine/>
    <w:qFormat/>
    <w:uiPriority w:val="0"/>
    <w:pPr>
      <w:autoSpaceDE w:val="0"/>
      <w:autoSpaceDN w:val="0"/>
      <w:spacing w:line="336" w:lineRule="auto"/>
      <w:jc w:val="center"/>
    </w:pPr>
    <w:rPr>
      <w:rFonts w:ascii="Times New Roman" w:hAnsi="Times New Roman" w:cs="Times New Roman"/>
      <w:kern w:val="0"/>
    </w:rPr>
  </w:style>
  <w:style w:type="paragraph" w:customStyle="1" w:styleId="642">
    <w:name w:val="xl60"/>
    <w:basedOn w:val="1"/>
    <w:qFormat/>
    <w:uiPriority w:val="0"/>
    <w:pPr>
      <w:widowControl/>
      <w:pBdr>
        <w:left w:val="single" w:color="auto" w:sz="8" w:space="0"/>
        <w:right w:val="single" w:color="auto" w:sz="4" w:space="0"/>
      </w:pBdr>
      <w:spacing w:before="100" w:after="100"/>
      <w:jc w:val="center"/>
      <w:textAlignment w:val="top"/>
    </w:pPr>
    <w:rPr>
      <w:rFonts w:ascii="Times New Roman" w:hAnsi="Times New Roman" w:cs="Times New Roman"/>
      <w:kern w:val="0"/>
      <w:sz w:val="24"/>
    </w:rPr>
  </w:style>
  <w:style w:type="paragraph" w:customStyle="1" w:styleId="643">
    <w:name w:val="Char Char Char Char Char Char1"/>
    <w:basedOn w:val="1"/>
    <w:autoRedefine/>
    <w:qFormat/>
    <w:uiPriority w:val="0"/>
    <w:rPr>
      <w:rFonts w:ascii="Times New Roman" w:hAnsi="Times New Roman" w:cs="Times New Roman"/>
    </w:rPr>
  </w:style>
  <w:style w:type="paragraph" w:customStyle="1" w:styleId="644">
    <w:name w:val="正文-使用"/>
    <w:basedOn w:val="1"/>
    <w:autoRedefine/>
    <w:qFormat/>
    <w:uiPriority w:val="0"/>
    <w:pPr>
      <w:adjustRightInd w:val="0"/>
      <w:snapToGrid w:val="0"/>
      <w:spacing w:line="360" w:lineRule="auto"/>
      <w:ind w:firstLine="482"/>
    </w:pPr>
    <w:rPr>
      <w:rFonts w:ascii="Times New Roman" w:hAnsi="Times New Roman" w:cs="Times New Roman"/>
      <w:sz w:val="24"/>
      <w:szCs w:val="20"/>
    </w:rPr>
  </w:style>
  <w:style w:type="paragraph" w:customStyle="1" w:styleId="645">
    <w:name w:val="Tblhead"/>
    <w:basedOn w:val="1"/>
    <w:next w:val="1"/>
    <w:qFormat/>
    <w:uiPriority w:val="0"/>
    <w:pPr>
      <w:pageBreakBefore/>
      <w:suppressAutoHyphens/>
      <w:autoSpaceDE w:val="0"/>
      <w:autoSpaceDN w:val="0"/>
      <w:adjustRightInd w:val="0"/>
      <w:jc w:val="center"/>
      <w:textAlignment w:val="baseline"/>
    </w:pPr>
    <w:rPr>
      <w:rFonts w:ascii="宋体" w:hAnsi="Times New Roman" w:cs="Times New Roman"/>
      <w:spacing w:val="-3"/>
      <w:kern w:val="0"/>
      <w:sz w:val="24"/>
      <w:szCs w:val="20"/>
    </w:rPr>
  </w:style>
  <w:style w:type="paragraph" w:customStyle="1" w:styleId="646">
    <w:name w:val="正文样式3"/>
    <w:basedOn w:val="1"/>
    <w:qFormat/>
    <w:uiPriority w:val="0"/>
    <w:pPr>
      <w:adjustRightInd w:val="0"/>
      <w:spacing w:line="20" w:lineRule="atLeast"/>
      <w:jc w:val="center"/>
      <w:textAlignment w:val="baseline"/>
    </w:pPr>
    <w:rPr>
      <w:rFonts w:ascii="Times New Roman" w:hAnsi="Times New Roman" w:cs="Times New Roman"/>
      <w:kern w:val="0"/>
      <w:sz w:val="24"/>
      <w:szCs w:val="20"/>
    </w:rPr>
  </w:style>
  <w:style w:type="character" w:customStyle="1" w:styleId="647">
    <w:name w:val="bt21"/>
    <w:autoRedefine/>
    <w:qFormat/>
    <w:uiPriority w:val="0"/>
    <w:rPr>
      <w:rFonts w:hint="eastAsia" w:ascii="黑体" w:eastAsia="黑体"/>
      <w:sz w:val="24"/>
      <w:szCs w:val="24"/>
    </w:rPr>
  </w:style>
  <w:style w:type="paragraph" w:customStyle="1" w:styleId="648">
    <w:name w:val="宋体"/>
    <w:basedOn w:val="1"/>
    <w:next w:val="3"/>
    <w:semiHidden/>
    <w:qFormat/>
    <w:uiPriority w:val="0"/>
    <w:pPr>
      <w:tabs>
        <w:tab w:val="left" w:pos="540"/>
      </w:tabs>
      <w:spacing w:line="360" w:lineRule="auto"/>
      <w:ind w:firstLine="200" w:firstLineChars="200"/>
    </w:pPr>
    <w:rPr>
      <w:rFonts w:ascii="Times New Roman" w:hAnsi="Times New Roman" w:cs="Times New Roman"/>
      <w:b/>
      <w:sz w:val="28"/>
      <w:szCs w:val="28"/>
    </w:rPr>
  </w:style>
  <w:style w:type="paragraph" w:customStyle="1" w:styleId="649">
    <w:name w:val="表内5"/>
    <w:basedOn w:val="1"/>
    <w:autoRedefine/>
    <w:qFormat/>
    <w:uiPriority w:val="0"/>
    <w:pPr>
      <w:adjustRightInd w:val="0"/>
      <w:snapToGrid w:val="0"/>
    </w:pPr>
    <w:rPr>
      <w:rFonts w:ascii="宋体" w:hAnsi="Times New Roman" w:cs="Times New Roman"/>
      <w:szCs w:val="20"/>
    </w:rPr>
  </w:style>
  <w:style w:type="character" w:customStyle="1" w:styleId="650">
    <w:name w:val="HTML 地址 Char"/>
    <w:basedOn w:val="63"/>
    <w:link w:val="30"/>
    <w:qFormat/>
    <w:uiPriority w:val="0"/>
    <w:rPr>
      <w:rFonts w:ascii="Times New Roman" w:hAnsi="Times New Roman" w:eastAsia="宋体" w:cs="Times New Roman"/>
      <w:i/>
      <w:iCs/>
      <w:sz w:val="24"/>
      <w:szCs w:val="20"/>
    </w:rPr>
  </w:style>
  <w:style w:type="paragraph" w:customStyle="1" w:styleId="651">
    <w:name w:val="样式 样式 宋体 四号 行距: 1.5 倍行距 + 首行缩进:  2 字符"/>
    <w:basedOn w:val="1"/>
    <w:autoRedefine/>
    <w:qFormat/>
    <w:uiPriority w:val="0"/>
    <w:pPr>
      <w:spacing w:line="480" w:lineRule="auto"/>
    </w:pPr>
    <w:rPr>
      <w:rFonts w:ascii="宋体" w:hAnsi="宋体" w:cs="宋体"/>
      <w:sz w:val="28"/>
      <w:szCs w:val="20"/>
    </w:rPr>
  </w:style>
  <w:style w:type="paragraph" w:customStyle="1" w:styleId="652">
    <w:name w:val="正文样式"/>
    <w:basedOn w:val="1"/>
    <w:link w:val="653"/>
    <w:qFormat/>
    <w:uiPriority w:val="0"/>
    <w:pPr>
      <w:adjustRightInd w:val="0"/>
      <w:snapToGrid w:val="0"/>
      <w:spacing w:line="360" w:lineRule="auto"/>
      <w:ind w:firstLine="524" w:firstLineChars="187"/>
    </w:pPr>
    <w:rPr>
      <w:rFonts w:ascii="宋体" w:hAnsi="宋体" w:cs="宋体"/>
      <w:bCs/>
      <w:sz w:val="28"/>
    </w:rPr>
  </w:style>
  <w:style w:type="character" w:customStyle="1" w:styleId="653">
    <w:name w:val="正文样式 Char"/>
    <w:link w:val="652"/>
    <w:autoRedefine/>
    <w:qFormat/>
    <w:uiPriority w:val="0"/>
    <w:rPr>
      <w:rFonts w:ascii="宋体" w:hAnsi="宋体" w:eastAsia="宋体" w:cs="宋体"/>
      <w:bCs/>
      <w:sz w:val="28"/>
    </w:rPr>
  </w:style>
  <w:style w:type="paragraph" w:customStyle="1" w:styleId="654">
    <w:name w:val="Char Char Char2 Char Char Char 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655">
    <w:name w:val="样式 标题 3 Char + 首行缩进:  2 字符 段前: 7.8 磅 段后: 7.8 磅"/>
    <w:basedOn w:val="4"/>
    <w:autoRedefine/>
    <w:qFormat/>
    <w:uiPriority w:val="0"/>
    <w:pPr>
      <w:spacing w:before="156" w:after="156" w:line="360" w:lineRule="auto"/>
      <w:ind w:firstLine="200" w:firstLineChars="200"/>
    </w:pPr>
    <w:rPr>
      <w:rFonts w:ascii="Times New Roman" w:hAnsi="Times New Roman" w:cs="宋体"/>
      <w:sz w:val="28"/>
      <w:szCs w:val="20"/>
    </w:rPr>
  </w:style>
  <w:style w:type="character" w:customStyle="1" w:styleId="656">
    <w:name w:val="style21"/>
    <w:qFormat/>
    <w:uiPriority w:val="0"/>
    <w:rPr>
      <w:color w:val="000000"/>
    </w:rPr>
  </w:style>
  <w:style w:type="character" w:customStyle="1" w:styleId="657">
    <w:name w:val="样式 黑体 四号"/>
    <w:autoRedefine/>
    <w:qFormat/>
    <w:uiPriority w:val="0"/>
    <w:rPr>
      <w:rFonts w:ascii="黑体" w:hAnsi="黑体" w:eastAsia="黑体"/>
      <w:sz w:val="28"/>
    </w:rPr>
  </w:style>
  <w:style w:type="paragraph" w:customStyle="1" w:styleId="658">
    <w:name w:val="样式 样式3 + 首行缩进:  2 字符"/>
    <w:basedOn w:val="309"/>
    <w:qFormat/>
    <w:uiPriority w:val="0"/>
    <w:pPr>
      <w:spacing w:before="100" w:beforeAutospacing="1" w:after="100" w:afterAutospacing="1" w:line="520" w:lineRule="exact"/>
      <w:ind w:firstLine="664" w:firstLineChars="200"/>
      <w:jc w:val="center"/>
    </w:pPr>
    <w:rPr>
      <w:rFonts w:ascii="黑体" w:hAnsi="宋体" w:eastAsia="楷体_GB2312" w:cs="宋体"/>
      <w:bCs w:val="0"/>
      <w:spacing w:val="6"/>
      <w:kern w:val="2"/>
      <w:sz w:val="32"/>
    </w:rPr>
  </w:style>
  <w:style w:type="paragraph" w:customStyle="1" w:styleId="659">
    <w:name w:val="样式-2"/>
    <w:basedOn w:val="658"/>
    <w:autoRedefine/>
    <w:qFormat/>
    <w:uiPriority w:val="0"/>
    <w:pPr>
      <w:spacing w:before="0" w:beforeAutospacing="0" w:after="0" w:afterAutospacing="0" w:line="360" w:lineRule="auto"/>
      <w:ind w:firstLine="0" w:firstLineChars="0"/>
      <w:jc w:val="both"/>
      <w:outlineLvl w:val="0"/>
    </w:pPr>
    <w:rPr>
      <w:rFonts w:ascii="宋体" w:eastAsia="宋体"/>
      <w:b/>
      <w:color w:val="0000FF"/>
      <w:sz w:val="28"/>
      <w:szCs w:val="28"/>
    </w:rPr>
  </w:style>
  <w:style w:type="paragraph" w:customStyle="1" w:styleId="660">
    <w:name w:val="样式 样式-2 + 首行缩进:  2 字符"/>
    <w:basedOn w:val="659"/>
    <w:qFormat/>
    <w:uiPriority w:val="0"/>
  </w:style>
  <w:style w:type="paragraph" w:customStyle="1" w:styleId="661">
    <w:name w:val="样式 标题 2 + Times New Roman"/>
    <w:basedOn w:val="3"/>
    <w:link w:val="662"/>
    <w:autoRedefine/>
    <w:qFormat/>
    <w:uiPriority w:val="0"/>
    <w:pPr>
      <w:spacing w:beforeLines="50" w:afterLines="50" w:line="360" w:lineRule="auto"/>
      <w:ind w:firstLine="562" w:firstLineChars="200"/>
    </w:pPr>
    <w:rPr>
      <w:rFonts w:ascii="Times New Roman" w:hAnsi="Times New Roman"/>
      <w:szCs w:val="28"/>
    </w:rPr>
  </w:style>
  <w:style w:type="character" w:customStyle="1" w:styleId="662">
    <w:name w:val="样式 标题 2 + Times New Roman Char"/>
    <w:link w:val="661"/>
    <w:autoRedefine/>
    <w:qFormat/>
    <w:uiPriority w:val="0"/>
    <w:rPr>
      <w:rFonts w:ascii="Times New Roman" w:hAnsi="Times New Roman" w:eastAsia="黑体" w:cs="Times New Roman"/>
      <w:b/>
      <w:bCs/>
      <w:sz w:val="32"/>
      <w:szCs w:val="28"/>
    </w:rPr>
  </w:style>
  <w:style w:type="paragraph" w:customStyle="1" w:styleId="663">
    <w:name w:val="宋体四号"/>
    <w:basedOn w:val="1"/>
    <w:link w:val="664"/>
    <w:autoRedefine/>
    <w:qFormat/>
    <w:uiPriority w:val="0"/>
    <w:pPr>
      <w:spacing w:line="360" w:lineRule="auto"/>
      <w:ind w:firstLine="480" w:firstLineChars="200"/>
    </w:pPr>
    <w:rPr>
      <w:rFonts w:ascii="ˎ̥" w:hAnsi="ˎ̥" w:cs="Times New Roman"/>
      <w:bCs/>
      <w:kern w:val="0"/>
      <w:sz w:val="24"/>
    </w:rPr>
  </w:style>
  <w:style w:type="character" w:customStyle="1" w:styleId="664">
    <w:name w:val="宋体四号 Char"/>
    <w:link w:val="663"/>
    <w:qFormat/>
    <w:uiPriority w:val="0"/>
    <w:rPr>
      <w:rFonts w:ascii="ˎ̥" w:hAnsi="ˎ̥" w:eastAsia="宋体" w:cs="Times New Roman"/>
      <w:bCs/>
      <w:kern w:val="0"/>
      <w:sz w:val="24"/>
    </w:rPr>
  </w:style>
  <w:style w:type="paragraph" w:customStyle="1" w:styleId="665">
    <w:name w:val="二级标题 Char Char Char"/>
    <w:basedOn w:val="1"/>
    <w:next w:val="1"/>
    <w:qFormat/>
    <w:uiPriority w:val="0"/>
    <w:pPr>
      <w:ind w:firstLine="200" w:firstLineChars="200"/>
    </w:pPr>
    <w:rPr>
      <w:rFonts w:ascii="宋体" w:hAnsi="宋体" w:cs="宋体"/>
      <w:sz w:val="24"/>
    </w:rPr>
  </w:style>
  <w:style w:type="character" w:customStyle="1" w:styleId="666">
    <w:name w:val="称呼 Char"/>
    <w:basedOn w:val="63"/>
    <w:link w:val="20"/>
    <w:qFormat/>
    <w:uiPriority w:val="0"/>
    <w:rPr>
      <w:rFonts w:ascii="Times New Roman" w:hAnsi="Times New Roman" w:eastAsia="楷体_GB2312" w:cs="Times New Roman"/>
      <w:szCs w:val="20"/>
    </w:rPr>
  </w:style>
  <w:style w:type="paragraph" w:customStyle="1" w:styleId="667">
    <w:name w:val="样式17"/>
    <w:basedOn w:val="1"/>
    <w:link w:val="668"/>
    <w:autoRedefine/>
    <w:qFormat/>
    <w:uiPriority w:val="0"/>
    <w:pPr>
      <w:tabs>
        <w:tab w:val="left" w:pos="1620"/>
      </w:tabs>
      <w:adjustRightInd w:val="0"/>
      <w:snapToGrid w:val="0"/>
      <w:spacing w:line="360" w:lineRule="auto"/>
    </w:pPr>
    <w:rPr>
      <w:rFonts w:ascii="宋体" w:hAnsi="宋体" w:cs="Times New Roman"/>
      <w:bCs/>
      <w:color w:val="000000"/>
      <w:kern w:val="0"/>
      <w:szCs w:val="21"/>
    </w:rPr>
  </w:style>
  <w:style w:type="character" w:customStyle="1" w:styleId="668">
    <w:name w:val="样式17 Char Char"/>
    <w:link w:val="667"/>
    <w:autoRedefine/>
    <w:qFormat/>
    <w:uiPriority w:val="0"/>
    <w:rPr>
      <w:rFonts w:ascii="宋体" w:hAnsi="宋体" w:eastAsia="宋体" w:cs="Times New Roman"/>
      <w:bCs/>
      <w:color w:val="000000"/>
      <w:kern w:val="0"/>
      <w:szCs w:val="21"/>
    </w:rPr>
  </w:style>
  <w:style w:type="character" w:customStyle="1" w:styleId="669">
    <w:name w:val="题注1 Char Char"/>
    <w:qFormat/>
    <w:uiPriority w:val="0"/>
    <w:rPr>
      <w:rFonts w:ascii="Arial" w:hAnsi="Arial" w:eastAsia="黑体" w:cs="黑体"/>
      <w:kern w:val="2"/>
      <w:lang w:val="en-US" w:eastAsia="zh-CN" w:bidi="ar-SA"/>
    </w:rPr>
  </w:style>
  <w:style w:type="paragraph" w:customStyle="1" w:styleId="670">
    <w:name w:val="小表格"/>
    <w:basedOn w:val="1"/>
    <w:autoRedefine/>
    <w:qFormat/>
    <w:uiPriority w:val="0"/>
    <w:pPr>
      <w:autoSpaceDE w:val="0"/>
      <w:autoSpaceDN w:val="0"/>
      <w:adjustRightInd w:val="0"/>
      <w:snapToGrid w:val="0"/>
      <w:jc w:val="center"/>
    </w:pPr>
    <w:rPr>
      <w:rFonts w:hint="eastAsia" w:ascii="仿宋_GB2312" w:hAnsi="Times New Roman" w:cs="Times New Roman"/>
      <w:kern w:val="0"/>
      <w:szCs w:val="20"/>
    </w:rPr>
  </w:style>
  <w:style w:type="character" w:customStyle="1" w:styleId="671">
    <w:name w:val="样式1 Char Char"/>
    <w:qFormat/>
    <w:uiPriority w:val="0"/>
    <w:rPr>
      <w:rFonts w:ascii="宋体" w:hAnsi="宋体" w:eastAsia="宋体"/>
      <w:kern w:val="2"/>
      <w:sz w:val="21"/>
      <w:szCs w:val="21"/>
      <w:lang w:val="en-US" w:eastAsia="zh-CN" w:bidi="ar-SA"/>
    </w:rPr>
  </w:style>
  <w:style w:type="paragraph" w:customStyle="1" w:styleId="672">
    <w:name w:val="表1"/>
    <w:basedOn w:val="1"/>
    <w:qFormat/>
    <w:uiPriority w:val="0"/>
    <w:pPr>
      <w:jc w:val="center"/>
    </w:pPr>
    <w:rPr>
      <w:rFonts w:ascii="Times New Roman" w:hAnsi="Times New Roman" w:cs="Times New Roman"/>
    </w:rPr>
  </w:style>
  <w:style w:type="character" w:customStyle="1" w:styleId="673">
    <w:name w:val="样式8 Char"/>
    <w:link w:val="674"/>
    <w:autoRedefine/>
    <w:semiHidden/>
    <w:qFormat/>
    <w:uiPriority w:val="0"/>
    <w:rPr>
      <w:rFonts w:ascii="黑体" w:eastAsia="黑体"/>
      <w:bCs/>
      <w:sz w:val="24"/>
    </w:rPr>
  </w:style>
  <w:style w:type="paragraph" w:customStyle="1" w:styleId="674">
    <w:name w:val="样式8"/>
    <w:basedOn w:val="8"/>
    <w:link w:val="673"/>
    <w:semiHidden/>
    <w:qFormat/>
    <w:uiPriority w:val="0"/>
    <w:pPr>
      <w:spacing w:beforeLines="50" w:afterLines="50" w:line="400" w:lineRule="exact"/>
      <w:ind w:firstLine="0" w:firstLineChars="0"/>
      <w:jc w:val="center"/>
    </w:pPr>
    <w:rPr>
      <w:rFonts w:ascii="黑体" w:eastAsia="黑体" w:hAnsiTheme="minorHAnsi" w:cstheme="minorBidi"/>
      <w:bCs/>
      <w:sz w:val="24"/>
    </w:rPr>
  </w:style>
  <w:style w:type="paragraph" w:customStyle="1" w:styleId="675">
    <w:name w:val="样式14"/>
    <w:basedOn w:val="1"/>
    <w:qFormat/>
    <w:uiPriority w:val="0"/>
    <w:pPr>
      <w:overflowPunct w:val="0"/>
      <w:spacing w:line="360" w:lineRule="auto"/>
      <w:ind w:firstLine="560" w:firstLineChars="200"/>
    </w:pPr>
    <w:rPr>
      <w:rFonts w:ascii="Times New Roman" w:hAnsi="Times New Roman" w:cs="宋体"/>
      <w:sz w:val="28"/>
      <w:szCs w:val="20"/>
    </w:rPr>
  </w:style>
  <w:style w:type="character" w:customStyle="1" w:styleId="676">
    <w:name w:val="样式48 Char"/>
    <w:link w:val="677"/>
    <w:autoRedefine/>
    <w:semiHidden/>
    <w:qFormat/>
    <w:uiPriority w:val="0"/>
    <w:rPr>
      <w:rFonts w:ascii="宋体" w:hAnsi="宋体" w:eastAsia="宋体"/>
      <w:sz w:val="28"/>
      <w:szCs w:val="28"/>
    </w:rPr>
  </w:style>
  <w:style w:type="paragraph" w:customStyle="1" w:styleId="677">
    <w:name w:val="样式48"/>
    <w:basedOn w:val="1"/>
    <w:link w:val="676"/>
    <w:autoRedefine/>
    <w:semiHidden/>
    <w:qFormat/>
    <w:uiPriority w:val="0"/>
    <w:pPr>
      <w:spacing w:line="560" w:lineRule="exact"/>
      <w:ind w:firstLine="560" w:firstLineChars="200"/>
    </w:pPr>
    <w:rPr>
      <w:rFonts w:ascii="宋体" w:hAnsi="宋体" w:cstheme="minorBidi"/>
      <w:sz w:val="28"/>
      <w:szCs w:val="28"/>
    </w:rPr>
  </w:style>
  <w:style w:type="character" w:customStyle="1" w:styleId="678">
    <w:name w:val="样式41 Char"/>
    <w:link w:val="679"/>
    <w:autoRedefine/>
    <w:semiHidden/>
    <w:qFormat/>
    <w:uiPriority w:val="0"/>
    <w:rPr>
      <w:rFonts w:ascii="黑体" w:eastAsia="黑体"/>
      <w:sz w:val="24"/>
    </w:rPr>
  </w:style>
  <w:style w:type="paragraph" w:customStyle="1" w:styleId="679">
    <w:name w:val="样式41"/>
    <w:basedOn w:val="1"/>
    <w:link w:val="678"/>
    <w:semiHidden/>
    <w:qFormat/>
    <w:uiPriority w:val="0"/>
    <w:pPr>
      <w:spacing w:beforeLines="50" w:afterLines="50" w:line="400" w:lineRule="exact"/>
      <w:jc w:val="center"/>
    </w:pPr>
    <w:rPr>
      <w:rFonts w:ascii="黑体" w:eastAsia="黑体" w:hAnsiTheme="minorHAnsi" w:cstheme="minorBidi"/>
      <w:sz w:val="24"/>
    </w:rPr>
  </w:style>
  <w:style w:type="character" w:customStyle="1" w:styleId="680">
    <w:name w:val="标题 2 Char2"/>
    <w:qFormat/>
    <w:uiPriority w:val="0"/>
    <w:rPr>
      <w:rFonts w:ascii="黑体" w:hAnsi="宋体" w:eastAsia="黑体"/>
      <w:b/>
      <w:bCs/>
      <w:snapToGrid w:val="0"/>
      <w:sz w:val="28"/>
      <w:szCs w:val="32"/>
      <w:lang w:val="en-US" w:eastAsia="zh-CN" w:bidi="ar-SA"/>
    </w:rPr>
  </w:style>
  <w:style w:type="paragraph" w:customStyle="1" w:styleId="681">
    <w:name w:val="Char4"/>
    <w:basedOn w:val="1"/>
    <w:qFormat/>
    <w:uiPriority w:val="0"/>
    <w:rPr>
      <w:rFonts w:ascii="Times New Roman" w:hAnsi="Times New Roman" w:cs="Times New Roman"/>
    </w:rPr>
  </w:style>
  <w:style w:type="character" w:customStyle="1" w:styleId="682">
    <w:name w:val="安全专篇顶格 Char"/>
    <w:link w:val="683"/>
    <w:qFormat/>
    <w:uiPriority w:val="0"/>
    <w:rPr>
      <w:sz w:val="28"/>
      <w:szCs w:val="22"/>
    </w:rPr>
  </w:style>
  <w:style w:type="paragraph" w:customStyle="1" w:styleId="683">
    <w:name w:val="安全专篇顶格"/>
    <w:basedOn w:val="1"/>
    <w:link w:val="682"/>
    <w:autoRedefine/>
    <w:qFormat/>
    <w:uiPriority w:val="0"/>
    <w:pPr>
      <w:spacing w:line="360" w:lineRule="auto"/>
    </w:pPr>
    <w:rPr>
      <w:rFonts w:asciiTheme="minorHAnsi" w:hAnsiTheme="minorHAnsi" w:eastAsiaTheme="minorEastAsia" w:cstheme="minorBidi"/>
      <w:sz w:val="28"/>
      <w:szCs w:val="22"/>
    </w:rPr>
  </w:style>
  <w:style w:type="character" w:customStyle="1" w:styleId="684">
    <w:name w:val="安全专篇正文 Char"/>
    <w:link w:val="685"/>
    <w:qFormat/>
    <w:uiPriority w:val="0"/>
    <w:rPr>
      <w:bCs/>
      <w:sz w:val="28"/>
      <w:szCs w:val="28"/>
      <w:lang w:val="en-GB"/>
    </w:rPr>
  </w:style>
  <w:style w:type="paragraph" w:customStyle="1" w:styleId="685">
    <w:name w:val="安全专篇正文"/>
    <w:basedOn w:val="1"/>
    <w:link w:val="684"/>
    <w:qFormat/>
    <w:uiPriority w:val="0"/>
    <w:pPr>
      <w:spacing w:line="360" w:lineRule="auto"/>
      <w:ind w:firstLine="560" w:firstLineChars="200"/>
    </w:pPr>
    <w:rPr>
      <w:rFonts w:asciiTheme="minorHAnsi" w:hAnsiTheme="minorHAnsi" w:eastAsiaTheme="minorEastAsia" w:cstheme="minorBidi"/>
      <w:bCs/>
      <w:sz w:val="28"/>
      <w:szCs w:val="28"/>
      <w:lang w:val="en-GB"/>
    </w:rPr>
  </w:style>
  <w:style w:type="paragraph" w:customStyle="1" w:styleId="686">
    <w:name w:val="Char Char1 Char Char Char Char"/>
    <w:basedOn w:val="1"/>
    <w:qFormat/>
    <w:uiPriority w:val="0"/>
    <w:pPr>
      <w:tabs>
        <w:tab w:val="left" w:pos="426"/>
      </w:tabs>
      <w:ind w:left="426" w:hanging="420"/>
    </w:pPr>
    <w:rPr>
      <w:rFonts w:ascii="Times New Roman" w:hAnsi="Times New Roman" w:cs="Times New Roman"/>
    </w:rPr>
  </w:style>
  <w:style w:type="character" w:customStyle="1" w:styleId="687">
    <w:name w:val="apple-converted-space"/>
    <w:basedOn w:val="63"/>
    <w:qFormat/>
    <w:uiPriority w:val="0"/>
  </w:style>
  <w:style w:type="paragraph" w:customStyle="1" w:styleId="688">
    <w:name w:val="表格格式"/>
    <w:basedOn w:val="1"/>
    <w:link w:val="689"/>
    <w:qFormat/>
    <w:uiPriority w:val="0"/>
    <w:pPr>
      <w:jc w:val="left"/>
    </w:pPr>
    <w:rPr>
      <w:rFonts w:ascii="Times New Roman" w:hAnsi="Times New Roman" w:cs="Times New Roman"/>
      <w:bCs/>
      <w:szCs w:val="21"/>
    </w:rPr>
  </w:style>
  <w:style w:type="character" w:customStyle="1" w:styleId="689">
    <w:name w:val="表格格式 Char"/>
    <w:link w:val="688"/>
    <w:autoRedefine/>
    <w:qFormat/>
    <w:uiPriority w:val="0"/>
    <w:rPr>
      <w:rFonts w:ascii="Times New Roman" w:hAnsi="Times New Roman" w:eastAsia="宋体" w:cs="Times New Roman"/>
      <w:bCs/>
      <w:szCs w:val="21"/>
    </w:rPr>
  </w:style>
  <w:style w:type="paragraph" w:customStyle="1" w:styleId="690">
    <w:name w:val="图表1.1.1"/>
    <w:basedOn w:val="1"/>
    <w:link w:val="691"/>
    <w:autoRedefine/>
    <w:qFormat/>
    <w:uiPriority w:val="0"/>
    <w:pPr>
      <w:adjustRightInd w:val="0"/>
      <w:snapToGrid w:val="0"/>
      <w:spacing w:line="360" w:lineRule="auto"/>
      <w:ind w:firstLine="560" w:firstLineChars="200"/>
      <w:jc w:val="left"/>
    </w:pPr>
    <w:rPr>
      <w:rFonts w:ascii="宋体" w:hAnsi="宋体" w:cs="Times New Roman"/>
      <w:sz w:val="28"/>
      <w:szCs w:val="28"/>
    </w:rPr>
  </w:style>
  <w:style w:type="character" w:customStyle="1" w:styleId="691">
    <w:name w:val="图表1.1.1 Char"/>
    <w:link w:val="690"/>
    <w:qFormat/>
    <w:uiPriority w:val="0"/>
    <w:rPr>
      <w:rFonts w:ascii="宋体" w:hAnsi="宋体" w:eastAsia="宋体" w:cs="Times New Roman"/>
      <w:sz w:val="28"/>
      <w:szCs w:val="28"/>
    </w:rPr>
  </w:style>
  <w:style w:type="paragraph" w:customStyle="1" w:styleId="692">
    <w:name w:val="图片文字"/>
    <w:basedOn w:val="1"/>
    <w:link w:val="693"/>
    <w:qFormat/>
    <w:uiPriority w:val="0"/>
    <w:rPr>
      <w:rFonts w:cs="Times New Roman"/>
    </w:rPr>
  </w:style>
  <w:style w:type="character" w:customStyle="1" w:styleId="693">
    <w:name w:val="图片文字 Char"/>
    <w:link w:val="692"/>
    <w:qFormat/>
    <w:uiPriority w:val="0"/>
    <w:rPr>
      <w:rFonts w:ascii="CG Times" w:hAnsi="CG Times" w:eastAsia="宋体" w:cs="Times New Roman"/>
    </w:rPr>
  </w:style>
  <w:style w:type="paragraph" w:customStyle="1" w:styleId="694">
    <w:name w:val="样式 正文缩进正文（首行缩进两字） + 宋体 行距: 1.5 倍行距"/>
    <w:basedOn w:val="8"/>
    <w:qFormat/>
    <w:uiPriority w:val="0"/>
    <w:pPr>
      <w:adjustRightInd w:val="0"/>
      <w:spacing w:line="300" w:lineRule="auto"/>
      <w:ind w:firstLine="482" w:firstLineChars="0"/>
      <w:jc w:val="left"/>
      <w:textAlignment w:val="baseline"/>
    </w:pPr>
    <w:rPr>
      <w:rFonts w:ascii="宋体" w:hAnsi="宋体" w:cs="宋体"/>
      <w:sz w:val="24"/>
      <w:szCs w:val="20"/>
    </w:rPr>
  </w:style>
  <w:style w:type="paragraph" w:customStyle="1" w:styleId="695">
    <w:name w:val="表格-顶格"/>
    <w:basedOn w:val="1"/>
    <w:link w:val="696"/>
    <w:qFormat/>
    <w:uiPriority w:val="0"/>
    <w:pPr>
      <w:adjustRightInd w:val="0"/>
      <w:snapToGrid w:val="0"/>
      <w:ind w:left="59" w:hanging="59" w:hangingChars="28"/>
    </w:pPr>
    <w:rPr>
      <w:rFonts w:ascii="Times New Roman" w:hAnsi="Times New Roman" w:cs="Times New Roman"/>
      <w:szCs w:val="21"/>
    </w:rPr>
  </w:style>
  <w:style w:type="character" w:customStyle="1" w:styleId="696">
    <w:name w:val="表格-顶格 Char"/>
    <w:link w:val="695"/>
    <w:qFormat/>
    <w:uiPriority w:val="0"/>
    <w:rPr>
      <w:rFonts w:ascii="Times New Roman" w:hAnsi="Times New Roman" w:eastAsia="宋体" w:cs="Times New Roman"/>
      <w:szCs w:val="21"/>
    </w:rPr>
  </w:style>
  <w:style w:type="character" w:customStyle="1" w:styleId="697">
    <w:name w:val="正文2 Char"/>
    <w:autoRedefine/>
    <w:qFormat/>
    <w:uiPriority w:val="0"/>
    <w:rPr>
      <w:rFonts w:eastAsia="宋体"/>
      <w:kern w:val="2"/>
      <w:sz w:val="28"/>
      <w:szCs w:val="28"/>
      <w:lang w:val="en-US" w:eastAsia="zh-CN" w:bidi="ar-SA"/>
    </w:rPr>
  </w:style>
  <w:style w:type="paragraph" w:customStyle="1" w:styleId="698">
    <w:name w:val="图标题"/>
    <w:basedOn w:val="1"/>
    <w:qFormat/>
    <w:uiPriority w:val="0"/>
    <w:pPr>
      <w:spacing w:beforeLines="50" w:afterLines="100" w:line="360" w:lineRule="auto"/>
      <w:jc w:val="center"/>
    </w:pPr>
    <w:rPr>
      <w:rFonts w:ascii="Times New Roman" w:hAnsi="Times New Roman" w:eastAsia="黑体" w:cs="Times New Roman"/>
      <w:b/>
      <w:sz w:val="28"/>
      <w:szCs w:val="28"/>
    </w:rPr>
  </w:style>
  <w:style w:type="paragraph" w:customStyle="1" w:styleId="699">
    <w:name w:val="正文01"/>
    <w:basedOn w:val="1"/>
    <w:link w:val="700"/>
    <w:autoRedefine/>
    <w:semiHidden/>
    <w:qFormat/>
    <w:uiPriority w:val="0"/>
    <w:pPr>
      <w:spacing w:before="60" w:line="460" w:lineRule="exact"/>
      <w:ind w:firstLine="200" w:firstLineChars="200"/>
    </w:pPr>
    <w:rPr>
      <w:rFonts w:ascii="Times New Roman" w:hAnsi="Times New Roman" w:cs="Times New Roman"/>
      <w:sz w:val="24"/>
    </w:rPr>
  </w:style>
  <w:style w:type="character" w:customStyle="1" w:styleId="700">
    <w:name w:val="正文01 Char"/>
    <w:link w:val="699"/>
    <w:semiHidden/>
    <w:qFormat/>
    <w:uiPriority w:val="0"/>
    <w:rPr>
      <w:rFonts w:ascii="Times New Roman" w:hAnsi="Times New Roman" w:eastAsia="宋体" w:cs="Times New Roman"/>
      <w:sz w:val="24"/>
    </w:rPr>
  </w:style>
  <w:style w:type="paragraph" w:customStyle="1" w:styleId="701">
    <w:name w:val="镇"/>
    <w:basedOn w:val="1"/>
    <w:link w:val="702"/>
    <w:qFormat/>
    <w:uiPriority w:val="0"/>
    <w:pPr>
      <w:spacing w:line="520" w:lineRule="exact"/>
      <w:ind w:firstLine="552" w:firstLineChars="197"/>
    </w:pPr>
    <w:rPr>
      <w:rFonts w:ascii="Times New Roman" w:hAnsi="Times New Roman" w:cs="Times New Roman"/>
      <w:color w:val="000000"/>
      <w:kern w:val="0"/>
      <w:sz w:val="28"/>
      <w:szCs w:val="20"/>
    </w:rPr>
  </w:style>
  <w:style w:type="character" w:customStyle="1" w:styleId="702">
    <w:name w:val="镇 Char"/>
    <w:link w:val="701"/>
    <w:autoRedefine/>
    <w:qFormat/>
    <w:uiPriority w:val="0"/>
    <w:rPr>
      <w:rFonts w:ascii="Times New Roman" w:hAnsi="Times New Roman" w:eastAsia="宋体" w:cs="Times New Roman"/>
      <w:color w:val="000000"/>
      <w:kern w:val="0"/>
      <w:sz w:val="28"/>
      <w:szCs w:val="20"/>
    </w:rPr>
  </w:style>
  <w:style w:type="paragraph" w:customStyle="1" w:styleId="703">
    <w:name w:val="正文首行缩进1"/>
    <w:basedOn w:val="1"/>
    <w:link w:val="704"/>
    <w:qFormat/>
    <w:uiPriority w:val="0"/>
    <w:pPr>
      <w:tabs>
        <w:tab w:val="left" w:pos="540"/>
        <w:tab w:val="left" w:pos="1440"/>
        <w:tab w:val="left" w:pos="2448"/>
        <w:tab w:val="left" w:pos="3000"/>
        <w:tab w:val="left" w:pos="3888"/>
        <w:tab w:val="left" w:pos="4800"/>
        <w:tab w:val="left" w:pos="5040"/>
        <w:tab w:val="left" w:pos="5883"/>
        <w:tab w:val="left" w:pos="6300"/>
        <w:tab w:val="left" w:pos="7353"/>
        <w:tab w:val="left" w:pos="8613"/>
      </w:tabs>
      <w:autoSpaceDE w:val="0"/>
      <w:autoSpaceDN w:val="0"/>
      <w:spacing w:line="560" w:lineRule="atLeast"/>
      <w:ind w:firstLine="560" w:firstLineChars="200"/>
      <w:textAlignment w:val="baseline"/>
    </w:pPr>
    <w:rPr>
      <w:rFonts w:ascii="Times New Roman" w:hAnsi="Times New Roman" w:cs="Times New Roman"/>
      <w:kern w:val="0"/>
      <w:sz w:val="28"/>
    </w:rPr>
  </w:style>
  <w:style w:type="character" w:customStyle="1" w:styleId="704">
    <w:name w:val="正文首行缩进1 Char Char"/>
    <w:link w:val="703"/>
    <w:qFormat/>
    <w:uiPriority w:val="0"/>
    <w:rPr>
      <w:rFonts w:ascii="Times New Roman" w:hAnsi="Times New Roman" w:eastAsia="宋体" w:cs="Times New Roman"/>
      <w:kern w:val="0"/>
      <w:sz w:val="28"/>
    </w:rPr>
  </w:style>
  <w:style w:type="paragraph" w:customStyle="1" w:styleId="705">
    <w:name w:val="正文000000000000000 宋体 小四 黑色 首行缩进:  0.85 厘米 行距: 固定值 22 磅"/>
    <w:basedOn w:val="1"/>
    <w:link w:val="706"/>
    <w:qFormat/>
    <w:uiPriority w:val="0"/>
    <w:pPr>
      <w:spacing w:line="460" w:lineRule="exact"/>
      <w:ind w:firstLine="200" w:firstLineChars="200"/>
    </w:pPr>
    <w:rPr>
      <w:rFonts w:ascii="Times New Roman" w:hAnsi="Times New Roman" w:cs="Times New Roman"/>
      <w:color w:val="000000"/>
      <w:sz w:val="24"/>
    </w:rPr>
  </w:style>
  <w:style w:type="character" w:customStyle="1" w:styleId="706">
    <w:name w:val="正文000000000000000 宋体 小四 黑色 首行缩进:  0.85 厘米 行距: 固定值 22 磅 Char"/>
    <w:link w:val="705"/>
    <w:autoRedefine/>
    <w:qFormat/>
    <w:uiPriority w:val="0"/>
    <w:rPr>
      <w:rFonts w:ascii="Times New Roman" w:hAnsi="Times New Roman" w:eastAsia="宋体" w:cs="Times New Roman"/>
      <w:color w:val="000000"/>
      <w:sz w:val="24"/>
    </w:rPr>
  </w:style>
  <w:style w:type="paragraph" w:customStyle="1" w:styleId="707">
    <w:name w:val="表注第一行"/>
    <w:basedOn w:val="1"/>
    <w:autoRedefine/>
    <w:qFormat/>
    <w:uiPriority w:val="0"/>
    <w:pPr>
      <w:spacing w:beforeLines="100" w:line="360" w:lineRule="auto"/>
      <w:ind w:firstLine="200" w:firstLineChars="200"/>
    </w:pPr>
    <w:rPr>
      <w:rFonts w:ascii="Times New Roman" w:hAnsi="Times New Roman" w:cs="Times New Roman"/>
      <w:color w:val="000000"/>
      <w:szCs w:val="21"/>
    </w:rPr>
  </w:style>
  <w:style w:type="paragraph" w:customStyle="1" w:styleId="708">
    <w:name w:val="！！一级标题"/>
    <w:basedOn w:val="2"/>
    <w:next w:val="1"/>
    <w:link w:val="709"/>
    <w:autoRedefine/>
    <w:qFormat/>
    <w:uiPriority w:val="0"/>
    <w:pPr>
      <w:keepLines w:val="0"/>
      <w:tabs>
        <w:tab w:val="left" w:pos="720"/>
      </w:tabs>
      <w:spacing w:beforeLines="150" w:afterLines="150" w:line="240" w:lineRule="auto"/>
      <w:ind w:left="720" w:hanging="720"/>
      <w:jc w:val="center"/>
    </w:pPr>
    <w:rPr>
      <w:rFonts w:ascii="Times New Roman" w:hAnsi="Times New Roman" w:eastAsia="黑体" w:cs="Times New Roman"/>
      <w:b w:val="0"/>
      <w:color w:val="000000"/>
      <w:kern w:val="2"/>
      <w:sz w:val="30"/>
      <w:szCs w:val="32"/>
    </w:rPr>
  </w:style>
  <w:style w:type="character" w:customStyle="1" w:styleId="709">
    <w:name w:val="！！一级标题 Char Char"/>
    <w:link w:val="708"/>
    <w:autoRedefine/>
    <w:qFormat/>
    <w:uiPriority w:val="0"/>
    <w:rPr>
      <w:rFonts w:ascii="Times New Roman" w:hAnsi="Times New Roman" w:eastAsia="黑体" w:cs="Times New Roman"/>
      <w:bCs/>
      <w:color w:val="000000"/>
      <w:sz w:val="30"/>
      <w:szCs w:val="32"/>
    </w:rPr>
  </w:style>
  <w:style w:type="character" w:customStyle="1" w:styleId="710">
    <w:name w:val="！！表格文字 Char Char"/>
    <w:link w:val="711"/>
    <w:autoRedefine/>
    <w:qFormat/>
    <w:uiPriority w:val="0"/>
  </w:style>
  <w:style w:type="paragraph" w:customStyle="1" w:styleId="711">
    <w:name w:val="！！表格文字"/>
    <w:basedOn w:val="1"/>
    <w:link w:val="710"/>
    <w:autoRedefine/>
    <w:qFormat/>
    <w:uiPriority w:val="0"/>
    <w:pPr>
      <w:tabs>
        <w:tab w:val="left" w:pos="0"/>
      </w:tabs>
      <w:spacing w:before="24" w:line="288" w:lineRule="auto"/>
      <w:jc w:val="left"/>
    </w:pPr>
    <w:rPr>
      <w:rFonts w:asciiTheme="minorHAnsi" w:hAnsiTheme="minorHAnsi" w:eastAsiaTheme="minorEastAsia" w:cstheme="minorBidi"/>
    </w:rPr>
  </w:style>
  <w:style w:type="character" w:customStyle="1" w:styleId="712">
    <w:name w:val="！！表格文本 Char Char"/>
    <w:link w:val="713"/>
    <w:autoRedefine/>
    <w:qFormat/>
    <w:uiPriority w:val="0"/>
  </w:style>
  <w:style w:type="paragraph" w:customStyle="1" w:styleId="713">
    <w:name w:val="！！表格文本"/>
    <w:basedOn w:val="1"/>
    <w:link w:val="712"/>
    <w:autoRedefine/>
    <w:qFormat/>
    <w:uiPriority w:val="0"/>
    <w:pPr>
      <w:spacing w:beforeLines="20" w:afterLines="20"/>
    </w:pPr>
    <w:rPr>
      <w:rFonts w:asciiTheme="minorHAnsi" w:hAnsiTheme="minorHAnsi" w:eastAsiaTheme="minorEastAsia" w:cstheme="minorBidi"/>
    </w:rPr>
  </w:style>
  <w:style w:type="character" w:customStyle="1" w:styleId="714">
    <w:name w:val="第1.1.1.1节 Char"/>
    <w:link w:val="715"/>
    <w:autoRedefine/>
    <w:qFormat/>
    <w:uiPriority w:val="0"/>
    <w:rPr>
      <w:rFonts w:ascii="CG Times" w:hAnsi="CG Times" w:cs="CG Times"/>
      <w:b/>
      <w:sz w:val="28"/>
      <w:szCs w:val="28"/>
    </w:rPr>
  </w:style>
  <w:style w:type="paragraph" w:customStyle="1" w:styleId="715">
    <w:name w:val="第1.1.1.1节"/>
    <w:basedOn w:val="1"/>
    <w:link w:val="714"/>
    <w:autoRedefine/>
    <w:qFormat/>
    <w:uiPriority w:val="0"/>
    <w:pPr>
      <w:spacing w:line="560" w:lineRule="exact"/>
      <w:outlineLvl w:val="3"/>
    </w:pPr>
    <w:rPr>
      <w:rFonts w:eastAsiaTheme="minorEastAsia"/>
      <w:b/>
      <w:sz w:val="28"/>
      <w:szCs w:val="28"/>
    </w:rPr>
  </w:style>
  <w:style w:type="character" w:customStyle="1" w:styleId="716">
    <w:name w:val="正文首行缩进 2 Char1"/>
    <w:basedOn w:val="118"/>
    <w:link w:val="60"/>
    <w:autoRedefine/>
    <w:semiHidden/>
    <w:qFormat/>
    <w:uiPriority w:val="99"/>
    <w:rPr>
      <w:rFonts w:ascii="Times New Roman" w:hAnsi="Times New Roman" w:eastAsia="宋体" w:cs="Times New Roman"/>
    </w:rPr>
  </w:style>
  <w:style w:type="character" w:customStyle="1" w:styleId="717">
    <w:name w:val="font21"/>
    <w:basedOn w:val="63"/>
    <w:autoRedefine/>
    <w:qFormat/>
    <w:uiPriority w:val="0"/>
    <w:rPr>
      <w:rFonts w:hint="eastAsia" w:ascii="宋体" w:hAnsi="宋体" w:eastAsia="宋体" w:cs="宋体"/>
      <w:color w:val="000000"/>
      <w:sz w:val="22"/>
      <w:szCs w:val="22"/>
      <w:u w:val="none"/>
    </w:rPr>
  </w:style>
  <w:style w:type="character" w:customStyle="1" w:styleId="718">
    <w:name w:val="font01"/>
    <w:basedOn w:val="63"/>
    <w:autoRedefine/>
    <w:qFormat/>
    <w:uiPriority w:val="0"/>
    <w:rPr>
      <w:rFonts w:hint="eastAsia" w:ascii="宋体" w:hAnsi="宋体" w:eastAsia="宋体" w:cs="宋体"/>
      <w:color w:val="000000"/>
      <w:sz w:val="24"/>
      <w:szCs w:val="24"/>
      <w:u w:val="none"/>
    </w:rPr>
  </w:style>
  <w:style w:type="paragraph" w:customStyle="1" w:styleId="719">
    <w:name w:val="正文1111"/>
    <w:basedOn w:val="1"/>
    <w:autoRedefine/>
    <w:qFormat/>
    <w:uiPriority w:val="0"/>
    <w:pPr>
      <w:widowControl/>
      <w:spacing w:line="360" w:lineRule="auto"/>
      <w:ind w:firstLine="200" w:firstLineChars="200"/>
      <w:jc w:val="left"/>
    </w:pPr>
    <w:rPr>
      <w:rFonts w:ascii="宋体" w:hAnsi="宋体" w:cs="宋体"/>
      <w:kern w:val="0"/>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7.png"/><Relationship Id="rId33" Type="http://schemas.openxmlformats.org/officeDocument/2006/relationships/image" Target="media/image16.jpeg"/><Relationship Id="rId32" Type="http://schemas.openxmlformats.org/officeDocument/2006/relationships/image" Target="media/image15.png"/><Relationship Id="rId31" Type="http://schemas.openxmlformats.org/officeDocument/2006/relationships/image" Target="media/image14.jpeg"/><Relationship Id="rId30" Type="http://schemas.openxmlformats.org/officeDocument/2006/relationships/image" Target="media/image13.png"/><Relationship Id="rId3" Type="http://schemas.openxmlformats.org/officeDocument/2006/relationships/header" Target="header1.xml"/><Relationship Id="rId29" Type="http://schemas.openxmlformats.org/officeDocument/2006/relationships/image" Target="media/image12.jpeg"/><Relationship Id="rId28" Type="http://schemas.openxmlformats.org/officeDocument/2006/relationships/image" Target="media/image11.png"/><Relationship Id="rId27" Type="http://schemas.openxmlformats.org/officeDocument/2006/relationships/image" Target="media/image10.jpeg"/><Relationship Id="rId26" Type="http://schemas.openxmlformats.org/officeDocument/2006/relationships/image" Target="media/image9.jpeg"/><Relationship Id="rId25" Type="http://schemas.openxmlformats.org/officeDocument/2006/relationships/image" Target="media/image8.jpeg"/><Relationship Id="rId24" Type="http://schemas.openxmlformats.org/officeDocument/2006/relationships/image" Target="media/image7.jpeg"/><Relationship Id="rId23" Type="http://schemas.openxmlformats.org/officeDocument/2006/relationships/image" Target="media/image6.png"/><Relationship Id="rId22" Type="http://schemas.openxmlformats.org/officeDocument/2006/relationships/image" Target="media/image5.png"/><Relationship Id="rId21" Type="http://schemas.openxmlformats.org/officeDocument/2006/relationships/image" Target="media/image4.png"/><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42"/>
    <customShpInfo spid="_x0000_s1043"/>
    <customShpInfo spid="_x0000_s1044"/>
    <customShpInfo spid="_x0000_s1045"/>
    <customShpInfo spid="_x0000_s1046"/>
    <customShpInfo spid="_x0000_s1048"/>
    <customShpInfo spid="_x0000_s1049"/>
    <customShpInfo spid="_x0000_s1050"/>
    <customShpInfo spid="_x0000_s1051"/>
    <customShpInfo spid="_x0000_s1052"/>
    <customShpInfo spid="_x0000_s1053"/>
    <customShpInfo spid="_x0000_s1054"/>
    <customShpInfo spid="_x0000_s1055"/>
    <customShpInfo spid="_x0000_s1047"/>
    <customShpInfo spid="_x0000_s1041"/>
    <customShpInfo spid="_x0000_s1106"/>
    <customShpInfo spid="_x0000_s1107"/>
    <customShpInfo spid="_x0000_s1056"/>
    <customShpInfo spid="_x0000_s1109"/>
    <customShpInfo spid="_x0000_s1108"/>
    <customShpInfo spid="_x0000_s1075"/>
    <customShpInfo spid="_x0000_s1073"/>
    <customShpInfo spid="_x0000_s1105"/>
    <customShpInfo spid="_x0000_s1104"/>
    <customShpInfo spid="_x0000_s1103"/>
    <customShpInfo spid="_x0000_s1102"/>
    <customShpInfo spid="_x0000_s1074"/>
    <customShpInfo spid="_x0000_s1070"/>
    <customShpInfo spid="_x0000_s1096"/>
    <customShpInfo spid="_x0000_s1061"/>
    <customShpInfo spid="_x0000_s1063"/>
    <customShpInfo spid="_x0000_s1065"/>
    <customShpInfo spid="_x0000_s1066"/>
    <customShpInfo spid="_x0000_s1067"/>
    <customShpInfo spid="_x0000_s1068"/>
    <customShpInfo spid="_x0000_s1091"/>
    <customShpInfo spid="_x0000_s1092"/>
    <customShpInfo spid="_x0000_s1093"/>
    <customShpInfo spid="_x0000_s1094"/>
    <customShpInfo spid="_x0000_s1095"/>
    <customShpInfo spid="_x0000_s1097"/>
    <customShpInfo spid="_x0000_s1098"/>
    <customShpInfo spid="_x0000_s1099"/>
    <customShpInfo spid="_x0000_s1083"/>
    <customShpInfo spid="_x0000_s1084"/>
    <customShpInfo spid="_x0000_s1085"/>
    <customShpInfo spid="_x0000_s1086"/>
    <customShpInfo spid="_x0000_s1087"/>
    <customShpInfo spid="_x0000_s1088"/>
    <customShpInfo spid="_x0000_s1089"/>
    <customShpInfo spid="_x0000_s1090"/>
    <customShpInfo spid="_x0000_s1072"/>
    <customShpInfo spid="_x0000_s1071"/>
    <customShpInfo spid="_x0000_s1060"/>
    <customShpInfo spid="_x0000_s1110"/>
    <customShpInfo spid="_x0000_s1076"/>
    <customShpInfo spid="_x0000_s1077"/>
    <customShpInfo spid="_x0000_s1112"/>
    <customShpInfo spid="_x0000_s1114"/>
    <customShpInfo spid="_x0000_s111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102</Pages>
  <Words>57017</Words>
  <Characters>65165</Characters>
  <Lines>399</Lines>
  <Paragraphs>112</Paragraphs>
  <TotalTime>1</TotalTime>
  <ScaleCrop>false</ScaleCrop>
  <LinksUpToDate>false</LinksUpToDate>
  <CharactersWithSpaces>65446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2020-12-29T23:33:00Z</dcterms:created>
  <dc:creator>利登 马</dc:creator>
  <cp:lastModifiedBy>南方</cp:lastModifiedBy>
  <cp:lastPrinted>2023-11-13T22:43:00Z</cp:lastPrinted>
  <dcterms:modified xsi:type="dcterms:W3CDTF">2024-10-12T06:55:33Z</dcterms:modified>
  <cp:revision>257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9C0FEB5734E342D9A049F1BE0E7034B5_12</vt:lpwstr>
  </property>
</Properties>
</file>