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line="500" w:lineRule="exact"/>
        <w:jc w:val="center"/>
        <w:outlineLvl w:val="0"/>
        <w:rPr>
          <w:rFonts w:ascii="宋体" w:hAnsi="宋体" w:eastAsia="宋体" w:cs="宋体"/>
          <w:b/>
          <w:sz w:val="44"/>
          <w:szCs w:val="44"/>
        </w:rPr>
      </w:pPr>
      <w:r>
        <w:rPr>
          <w:rFonts w:hint="eastAsia" w:ascii="宋体" w:hAnsi="宋体" w:eastAsia="宋体" w:cs="宋体"/>
          <w:b/>
          <w:sz w:val="44"/>
          <w:szCs w:val="44"/>
        </w:rPr>
        <w:t>其他需要说明的事项</w:t>
      </w:r>
    </w:p>
    <w:p>
      <w:pPr>
        <w:snapToGrid/>
        <w:spacing w:before="157" w:after="0" w:line="500" w:lineRule="exact"/>
        <w:rPr>
          <w:rFonts w:ascii="Times New Roman" w:hAnsi="Times New Roman" w:eastAsia="宋体"/>
          <w:b/>
          <w:bCs/>
          <w:sz w:val="36"/>
          <w:szCs w:val="36"/>
        </w:rPr>
      </w:pPr>
    </w:p>
    <w:p>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sz w:val="32"/>
          <w:szCs w:val="32"/>
        </w:rPr>
        <w:t>1环境保护设施设计、施工和验收过程简况</w:t>
      </w:r>
    </w:p>
    <w:p>
      <w:pPr>
        <w:keepNext w:val="0"/>
        <w:keepLines w:val="0"/>
        <w:pageBreakBefore w:val="0"/>
        <w:widowControl/>
        <w:kinsoku/>
        <w:wordWrap/>
        <w:overflowPunct/>
        <w:topLinePunct w:val="0"/>
        <w:autoSpaceDE/>
        <w:autoSpaceDN/>
        <w:bidi w:val="0"/>
        <w:adjustRightInd w:val="0"/>
        <w:snapToGrid w:val="0"/>
        <w:spacing w:after="0" w:line="360" w:lineRule="auto"/>
        <w:ind w:firstLine="562" w:firstLineChars="200"/>
        <w:jc w:val="both"/>
        <w:textAlignment w:val="auto"/>
        <w:rPr>
          <w:rFonts w:hint="default" w:ascii="Times New Roman" w:hAnsi="Times New Roman" w:eastAsia="宋体" w:cs="Times New Roman"/>
          <w:sz w:val="28"/>
          <w:szCs w:val="28"/>
        </w:rPr>
      </w:pPr>
      <w:r>
        <w:rPr>
          <w:rFonts w:hint="default" w:ascii="Times New Roman" w:hAnsi="Times New Roman" w:eastAsia="宋体" w:cs="Times New Roman"/>
          <w:b/>
          <w:bCs/>
          <w:sz w:val="28"/>
          <w:szCs w:val="28"/>
        </w:rPr>
        <w:t>1.1设计、施工简况</w:t>
      </w:r>
    </w:p>
    <w:p>
      <w:pPr>
        <w:pStyle w:val="9"/>
        <w:keepNext w:val="0"/>
        <w:keepLines w:val="0"/>
        <w:pageBreakBefore w:val="0"/>
        <w:kinsoku/>
        <w:wordWrap/>
        <w:overflowPunct/>
        <w:topLinePunct w:val="0"/>
        <w:autoSpaceDE/>
        <w:autoSpaceDN/>
        <w:bidi w:val="0"/>
        <w:adjustRightInd w:val="0"/>
        <w:snapToGrid w:val="0"/>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（1）污水处理依托设施</w:t>
      </w:r>
    </w:p>
    <w:p>
      <w:pPr>
        <w:pStyle w:val="9"/>
        <w:keepNext w:val="0"/>
        <w:keepLines w:val="0"/>
        <w:pageBreakBefore w:val="0"/>
        <w:widowControl w:val="0"/>
        <w:kinsoku/>
        <w:wordWrap/>
        <w:overflowPunct/>
        <w:topLinePunct w:val="0"/>
        <w:autoSpaceDE/>
        <w:autoSpaceDN/>
        <w:bidi w:val="0"/>
        <w:adjustRightInd w:val="0"/>
        <w:snapToGrid w:val="0"/>
        <w:ind w:firstLine="480" w:firstLineChars="200"/>
        <w:jc w:val="both"/>
        <w:textAlignment w:val="auto"/>
        <w:rPr>
          <w:rFonts w:hint="eastAsia"/>
          <w:sz w:val="24"/>
          <w:lang w:eastAsia="zh-CN"/>
        </w:rPr>
      </w:pPr>
      <w:r>
        <w:rPr>
          <w:rFonts w:hint="default" w:ascii="Times New Roman" w:hAnsi="Times New Roman" w:cs="Times New Roman"/>
          <w:bCs/>
          <w:color w:val="000000"/>
          <w:sz w:val="24"/>
          <w:lang w:val="zh-CN"/>
        </w:rPr>
        <w:t>运行期产生的污水主要包括</w:t>
      </w:r>
      <w:r>
        <w:rPr>
          <w:rFonts w:hint="eastAsia"/>
          <w:sz w:val="24"/>
        </w:rPr>
        <w:t>油田回注水、溢流水、反冲洗水、生活污水</w:t>
      </w:r>
      <w:r>
        <w:rPr>
          <w:rFonts w:hint="default" w:ascii="Times New Roman" w:hAnsi="Times New Roman" w:cs="Times New Roman"/>
          <w:bCs/>
          <w:color w:val="000000"/>
          <w:sz w:val="24"/>
          <w:lang w:val="zh-CN"/>
        </w:rPr>
        <w:t>。</w:t>
      </w:r>
      <w:r>
        <w:rPr>
          <w:rFonts w:hint="eastAsia"/>
          <w:sz w:val="24"/>
        </w:rPr>
        <w:t>废水全部处理达标后回注地下油层，无外排。生活</w:t>
      </w:r>
      <w:r>
        <w:rPr>
          <w:rFonts w:hint="eastAsia"/>
          <w:sz w:val="24"/>
          <w:lang w:val="en-US" w:eastAsia="zh-CN"/>
        </w:rPr>
        <w:t>污</w:t>
      </w:r>
      <w:r>
        <w:rPr>
          <w:rFonts w:hint="eastAsia"/>
          <w:sz w:val="24"/>
        </w:rPr>
        <w:t>水收集用于站内绿化</w:t>
      </w:r>
      <w:r>
        <w:rPr>
          <w:rFonts w:hint="eastAsia"/>
          <w:sz w:val="24"/>
          <w:lang w:eastAsia="zh-CN"/>
        </w:rPr>
        <w:t>。</w:t>
      </w:r>
    </w:p>
    <w:p>
      <w:pPr>
        <w:pStyle w:val="9"/>
        <w:keepNext w:val="0"/>
        <w:keepLines w:val="0"/>
        <w:pageBreakBefore w:val="0"/>
        <w:widowControl w:val="0"/>
        <w:kinsoku/>
        <w:wordWrap/>
        <w:overflowPunct/>
        <w:topLinePunct w:val="0"/>
        <w:autoSpaceDE/>
        <w:autoSpaceDN/>
        <w:bidi w:val="0"/>
        <w:adjustRightInd w:val="0"/>
        <w:snapToGrid w:val="0"/>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（2）污染性气体回收处理依托设施</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宋体" w:hAnsi="宋体" w:eastAsia="宋体" w:cs="宋体"/>
          <w:sz w:val="24"/>
        </w:rPr>
      </w:pPr>
      <w:r>
        <w:rPr>
          <w:rFonts w:hint="eastAsia" w:ascii="宋体" w:hAnsi="宋体" w:eastAsia="宋体" w:cs="宋体"/>
          <w:sz w:val="24"/>
          <w:szCs w:val="24"/>
        </w:rPr>
        <w:t>项目施工期采取的措施为：</w:t>
      </w:r>
      <w:r>
        <w:rPr>
          <w:rFonts w:hint="eastAsia" w:ascii="宋体" w:hAnsi="宋体" w:eastAsia="宋体" w:cs="宋体"/>
          <w:sz w:val="24"/>
        </w:rPr>
        <w:t>及时洒水降尘，缩短扬尘污染的时段和范围；大风天禁止施工作业，散体材料装卸采取防风遮挡措施；对施工临时堆放的土方，加盖保护网、喷淋保湿防止扬尘；</w:t>
      </w:r>
      <w:r>
        <w:rPr>
          <w:rFonts w:hint="eastAsia" w:ascii="宋体" w:hAnsi="宋体" w:eastAsia="宋体" w:cs="宋体"/>
          <w:sz w:val="24"/>
          <w:szCs w:val="24"/>
        </w:rPr>
        <w:t>选用了技术先进的动力机械设备，使用了品质较好的燃油，加强了设备的管理和维护</w:t>
      </w:r>
      <w:r>
        <w:rPr>
          <w:rFonts w:hint="eastAsia" w:ascii="宋体" w:hAnsi="宋体" w:eastAsia="宋体" w:cs="宋体"/>
          <w:sz w:val="24"/>
        </w:rPr>
        <w:t>。</w:t>
      </w:r>
    </w:p>
    <w:p>
      <w:pPr>
        <w:pStyle w:val="9"/>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运营期排放的废气主要为</w:t>
      </w:r>
      <w:r>
        <w:rPr>
          <w:rFonts w:hint="eastAsia" w:ascii="Times New Roman" w:hAnsi="Times New Roman" w:cs="Times New Roman"/>
          <w:sz w:val="24"/>
          <w:szCs w:val="24"/>
          <w:lang w:val="en-US" w:eastAsia="zh-CN"/>
        </w:rPr>
        <w:t>700m</w:t>
      </w:r>
      <w:r>
        <w:rPr>
          <w:rFonts w:hint="eastAsia" w:ascii="Times New Roman" w:hAnsi="Times New Roman" w:cs="Times New Roman"/>
          <w:sz w:val="24"/>
          <w:szCs w:val="24"/>
          <w:vertAlign w:val="superscript"/>
          <w:lang w:val="en-US" w:eastAsia="zh-CN"/>
        </w:rPr>
        <w:t>3</w:t>
      </w:r>
      <w:r>
        <w:rPr>
          <w:rFonts w:hint="eastAsia" w:ascii="Times New Roman" w:hAnsi="Times New Roman" w:cs="Times New Roman"/>
          <w:sz w:val="24"/>
          <w:szCs w:val="24"/>
          <w:vertAlign w:val="baseline"/>
          <w:lang w:val="en-US" w:eastAsia="zh-CN"/>
        </w:rPr>
        <w:t>注水罐内的少量漂浮的原油通过呼吸阀排放</w:t>
      </w:r>
      <w:r>
        <w:rPr>
          <w:rFonts w:hint="default" w:ascii="Times New Roman" w:hAnsi="Times New Roman" w:cs="Times New Roman"/>
          <w:sz w:val="24"/>
          <w:szCs w:val="24"/>
        </w:rPr>
        <w:t>的</w:t>
      </w:r>
      <w:r>
        <w:rPr>
          <w:rFonts w:hint="eastAsia" w:ascii="Times New Roman" w:hAnsi="Times New Roman" w:cs="Times New Roman"/>
          <w:sz w:val="24"/>
          <w:szCs w:val="24"/>
          <w:lang w:val="en-US" w:eastAsia="zh-CN"/>
        </w:rPr>
        <w:t>极少量</w:t>
      </w:r>
      <w:r>
        <w:rPr>
          <w:rFonts w:hint="default" w:ascii="Times New Roman" w:hAnsi="Times New Roman" w:cs="Times New Roman"/>
          <w:sz w:val="24"/>
          <w:szCs w:val="24"/>
        </w:rPr>
        <w:t>无组织</w:t>
      </w:r>
      <w:r>
        <w:rPr>
          <w:rFonts w:hint="eastAsia" w:ascii="Times New Roman" w:hAnsi="Times New Roman" w:cs="Times New Roman"/>
          <w:sz w:val="24"/>
          <w:szCs w:val="24"/>
          <w:lang w:val="en-US" w:eastAsia="zh-CN"/>
        </w:rPr>
        <w:t>挥发的非甲烷总烃</w:t>
      </w:r>
      <w:r>
        <w:rPr>
          <w:rFonts w:hint="default" w:ascii="Times New Roman" w:hAnsi="Times New Roman" w:cs="Times New Roman"/>
          <w:sz w:val="24"/>
          <w:szCs w:val="24"/>
        </w:rPr>
        <w:t>。</w:t>
      </w:r>
    </w:p>
    <w:p>
      <w:pPr>
        <w:pStyle w:val="9"/>
        <w:keepNext w:val="0"/>
        <w:keepLines w:val="0"/>
        <w:pageBreakBefore w:val="0"/>
        <w:widowControl w:val="0"/>
        <w:kinsoku/>
        <w:wordWrap/>
        <w:overflowPunct/>
        <w:topLinePunct w:val="0"/>
        <w:autoSpaceDE/>
        <w:autoSpaceDN/>
        <w:bidi w:val="0"/>
        <w:adjustRightInd w:val="0"/>
        <w:snapToGrid w:val="0"/>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（3）噪声处理设施</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施工期噪声主要来自</w:t>
      </w:r>
      <w:r>
        <w:rPr>
          <w:rFonts w:hint="eastAsia" w:ascii="宋体" w:hAnsi="宋体" w:eastAsia="宋体" w:cs="宋体"/>
          <w:sz w:val="24"/>
        </w:rPr>
        <w:t>施工作业挖掘机、吊装机</w:t>
      </w:r>
      <w:r>
        <w:rPr>
          <w:rFonts w:hint="default" w:ascii="Times New Roman" w:hAnsi="Times New Roman" w:eastAsia="宋体" w:cs="Times New Roman"/>
          <w:sz w:val="24"/>
          <w:szCs w:val="24"/>
        </w:rPr>
        <w:t>。</w:t>
      </w:r>
      <w:r>
        <w:rPr>
          <w:rFonts w:hint="eastAsia" w:ascii="宋体" w:hAnsi="宋体" w:eastAsia="宋体" w:cs="宋体"/>
          <w:sz w:val="24"/>
          <w:szCs w:val="24"/>
        </w:rPr>
        <w:t>施工过程中</w:t>
      </w:r>
      <w:r>
        <w:rPr>
          <w:rFonts w:hint="eastAsia" w:ascii="宋体" w:hAnsi="宋体" w:eastAsia="宋体" w:cs="宋体"/>
          <w:color w:val="000000"/>
          <w:sz w:val="24"/>
        </w:rPr>
        <w:t>选用</w:t>
      </w:r>
      <w:r>
        <w:rPr>
          <w:rFonts w:hint="eastAsia" w:ascii="宋体" w:hAnsi="宋体" w:eastAsia="宋体" w:cs="宋体"/>
          <w:color w:val="000000"/>
          <w:sz w:val="24"/>
          <w:lang w:val="en-US" w:eastAsia="zh-CN"/>
        </w:rPr>
        <w:t>了</w:t>
      </w:r>
      <w:r>
        <w:rPr>
          <w:rFonts w:hint="eastAsia" w:ascii="宋体" w:hAnsi="宋体" w:eastAsia="宋体" w:cs="宋体"/>
          <w:color w:val="000000"/>
          <w:sz w:val="24"/>
        </w:rPr>
        <w:t>低噪音作业设备，合理安排作业时间，施工期结束后噪声随即消失。</w:t>
      </w:r>
    </w:p>
    <w:p>
      <w:pPr>
        <w:pStyle w:val="9"/>
        <w:keepNext w:val="0"/>
        <w:keepLines w:val="0"/>
        <w:pageBreakBefore w:val="0"/>
        <w:widowControl w:val="0"/>
        <w:kinsoku/>
        <w:wordWrap/>
        <w:overflowPunct/>
        <w:topLinePunct w:val="0"/>
        <w:autoSpaceDE/>
        <w:autoSpaceDN/>
        <w:bidi w:val="0"/>
        <w:adjustRightInd w:val="0"/>
        <w:snapToGrid w:val="0"/>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rPr>
        <w:t>本项目正常运营过程中主要噪声源是</w:t>
      </w:r>
      <w:r>
        <w:rPr>
          <w:rFonts w:hint="eastAsia"/>
          <w:sz w:val="24"/>
        </w:rPr>
        <w:t>泵房内的注水泵、提升泵的运行噪声</w:t>
      </w:r>
      <w:r>
        <w:rPr>
          <w:rFonts w:hint="eastAsia"/>
          <w:sz w:val="24"/>
          <w:lang w:eastAsia="zh-CN"/>
        </w:rPr>
        <w:t>。</w:t>
      </w:r>
      <w:r>
        <w:rPr>
          <w:rFonts w:hint="eastAsia"/>
          <w:sz w:val="24"/>
          <w:lang w:val="en-US" w:eastAsia="zh-CN"/>
        </w:rPr>
        <w:t>运行期间</w:t>
      </w:r>
      <w:r>
        <w:rPr>
          <w:rFonts w:hint="eastAsia"/>
          <w:sz w:val="24"/>
        </w:rPr>
        <w:t>选用</w:t>
      </w:r>
      <w:r>
        <w:rPr>
          <w:rFonts w:hint="eastAsia"/>
          <w:sz w:val="24"/>
          <w:lang w:val="en-US" w:eastAsia="zh-CN"/>
        </w:rPr>
        <w:t>了</w:t>
      </w:r>
      <w:r>
        <w:rPr>
          <w:rFonts w:hint="eastAsia"/>
          <w:sz w:val="24"/>
        </w:rPr>
        <w:t>低噪声设备，采取</w:t>
      </w:r>
      <w:r>
        <w:rPr>
          <w:rFonts w:hint="eastAsia"/>
          <w:sz w:val="24"/>
          <w:lang w:val="en-US" w:eastAsia="zh-CN"/>
        </w:rPr>
        <w:t>了</w:t>
      </w:r>
      <w:r>
        <w:rPr>
          <w:rFonts w:hint="eastAsia"/>
          <w:sz w:val="24"/>
        </w:rPr>
        <w:t>减震等措施</w:t>
      </w:r>
      <w:r>
        <w:rPr>
          <w:rFonts w:hint="eastAsia"/>
          <w:sz w:val="24"/>
          <w:lang w:eastAsia="zh-CN"/>
        </w:rPr>
        <w:t>，</w:t>
      </w:r>
      <w:r>
        <w:rPr>
          <w:rFonts w:hint="eastAsia"/>
          <w:sz w:val="24"/>
          <w:lang w:val="en-US" w:eastAsia="zh-CN"/>
        </w:rPr>
        <w:t>减轻噪声对周围环境的影响。</w:t>
      </w:r>
    </w:p>
    <w:p>
      <w:pPr>
        <w:pStyle w:val="9"/>
        <w:keepNext w:val="0"/>
        <w:keepLines w:val="0"/>
        <w:pageBreakBefore w:val="0"/>
        <w:widowControl w:val="0"/>
        <w:kinsoku/>
        <w:wordWrap/>
        <w:overflowPunct/>
        <w:topLinePunct w:val="0"/>
        <w:autoSpaceDE/>
        <w:autoSpaceDN/>
        <w:bidi w:val="0"/>
        <w:adjustRightInd w:val="0"/>
        <w:snapToGrid w:val="0"/>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（4）固体废物、危险废物处理依托设施</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eastAsia"/>
          <w:sz w:val="24"/>
          <w:szCs w:val="24"/>
        </w:rPr>
      </w:pPr>
      <w:r>
        <w:rPr>
          <w:rFonts w:hint="default" w:ascii="Times New Roman" w:hAnsi="Times New Roman" w:eastAsia="宋体" w:cs="Times New Roman"/>
          <w:sz w:val="24"/>
          <w:szCs w:val="24"/>
        </w:rPr>
        <w:t>本项目固体废物主要为</w:t>
      </w:r>
      <w:r>
        <w:rPr>
          <w:rFonts w:hint="eastAsia" w:ascii="Times New Roman" w:hAnsi="Times New Roman" w:eastAsia="宋体" w:cs="Times New Roman"/>
          <w:sz w:val="24"/>
          <w:szCs w:val="24"/>
          <w:lang w:val="en-US" w:eastAsia="zh-CN"/>
        </w:rPr>
        <w:t>少量的</w:t>
      </w:r>
      <w:r>
        <w:rPr>
          <w:rFonts w:hint="default" w:ascii="Times New Roman" w:hAnsi="Times New Roman" w:eastAsia="宋体" w:cs="Times New Roman"/>
          <w:sz w:val="24"/>
          <w:szCs w:val="24"/>
        </w:rPr>
        <w:t>施工</w:t>
      </w:r>
      <w:r>
        <w:rPr>
          <w:rFonts w:hint="eastAsia" w:ascii="宋体" w:hAnsi="宋体" w:eastAsia="宋体" w:cs="宋体"/>
          <w:sz w:val="24"/>
          <w:szCs w:val="24"/>
        </w:rPr>
        <w:t>废料。</w:t>
      </w:r>
      <w:r>
        <w:rPr>
          <w:rFonts w:hint="eastAsia" w:ascii="宋体" w:hAnsi="宋体" w:eastAsia="宋体" w:cs="宋体"/>
          <w:bCs/>
          <w:sz w:val="24"/>
          <w:szCs w:val="24"/>
        </w:rPr>
        <w:t>施工废料能够回收的进行回收利用，不能回收的堆存，委托当地环卫部门清运</w:t>
      </w:r>
      <w:r>
        <w:rPr>
          <w:rFonts w:hint="eastAsia" w:ascii="宋体" w:hAnsi="宋体" w:eastAsia="宋体" w:cs="宋体"/>
          <w:sz w:val="24"/>
          <w:szCs w:val="24"/>
        </w:rPr>
        <w:t>。</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w:t>
      </w:r>
      <w:r>
        <w:rPr>
          <w:rFonts w:hint="eastAsia" w:ascii="Times New Roman" w:hAnsi="Times New Roman" w:eastAsia="宋体" w:cs="Times New Roman"/>
          <w:sz w:val="24"/>
          <w:szCs w:val="24"/>
          <w:lang w:val="en-US" w:eastAsia="zh-CN"/>
        </w:rPr>
        <w:t>项目</w:t>
      </w:r>
      <w:r>
        <w:rPr>
          <w:rFonts w:hint="default" w:ascii="Times New Roman" w:hAnsi="Times New Roman" w:eastAsia="宋体" w:cs="Times New Roman"/>
          <w:sz w:val="24"/>
          <w:szCs w:val="24"/>
        </w:rPr>
        <w:t>运行期间产生的固体废物主要有油泥砂。</w:t>
      </w:r>
      <w:r>
        <w:rPr>
          <w:rFonts w:hint="default" w:ascii="Times New Roman" w:hAnsi="Times New Roman" w:eastAsia="宋体" w:cs="Times New Roman"/>
          <w:sz w:val="24"/>
          <w:lang w:val="en-US" w:eastAsia="zh-CN"/>
        </w:rPr>
        <w:t>至验收阶段</w:t>
      </w:r>
      <w:r>
        <w:rPr>
          <w:rFonts w:hint="default" w:ascii="Times New Roman" w:hAnsi="Times New Roman" w:eastAsia="宋体" w:cs="Times New Roman"/>
          <w:sz w:val="24"/>
        </w:rPr>
        <w:t>站内700m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污水接收罐内，</w:t>
      </w:r>
      <w:r>
        <w:rPr>
          <w:rFonts w:hint="default" w:ascii="Times New Roman" w:hAnsi="Times New Roman" w:eastAsia="宋体" w:cs="Times New Roman"/>
          <w:sz w:val="24"/>
          <w:lang w:val="en-US" w:eastAsia="zh-CN"/>
        </w:rPr>
        <w:t>未</w:t>
      </w:r>
      <w:r>
        <w:rPr>
          <w:rFonts w:hint="default" w:ascii="Times New Roman" w:hAnsi="Times New Roman" w:eastAsia="宋体" w:cs="Times New Roman"/>
          <w:sz w:val="24"/>
        </w:rPr>
        <w:t>产生的油泥砂，</w:t>
      </w:r>
      <w:r>
        <w:rPr>
          <w:rFonts w:hint="default" w:ascii="Times New Roman" w:hAnsi="Times New Roman" w:eastAsia="宋体" w:cs="Times New Roman"/>
          <w:sz w:val="24"/>
          <w:lang w:val="en-US" w:eastAsia="zh-CN"/>
        </w:rPr>
        <w:t>后期运行产生的油泥砂暂存于纯梁首站油泥砂贮存池，</w:t>
      </w:r>
      <w:r>
        <w:rPr>
          <w:rFonts w:hint="default" w:ascii="Times New Roman" w:hAnsi="Times New Roman" w:eastAsia="宋体" w:cs="Times New Roman"/>
          <w:color w:val="auto"/>
          <w:sz w:val="24"/>
          <w:lang w:val="en-US" w:eastAsia="zh-CN"/>
        </w:rPr>
        <w:t>最终由</w:t>
      </w:r>
      <w:r>
        <w:rPr>
          <w:rFonts w:hint="default" w:ascii="Times New Roman" w:hAnsi="Times New Roman" w:eastAsia="宋体" w:cs="Times New Roman"/>
          <w:sz w:val="24"/>
          <w:lang w:val="en-US" w:eastAsia="zh-CN"/>
        </w:rPr>
        <w:t>胜利油田金岛实业责任</w:t>
      </w:r>
      <w:r>
        <w:rPr>
          <w:rFonts w:hint="default" w:ascii="Times New Roman" w:hAnsi="Times New Roman" w:eastAsia="宋体" w:cs="Times New Roman"/>
          <w:sz w:val="24"/>
        </w:rPr>
        <w:t>有限公司</w:t>
      </w:r>
      <w:r>
        <w:rPr>
          <w:rFonts w:hint="default" w:ascii="Times New Roman" w:hAnsi="Times New Roman" w:eastAsia="宋体" w:cs="Times New Roman"/>
          <w:sz w:val="24"/>
          <w:lang w:val="en-US" w:eastAsia="zh-CN"/>
        </w:rPr>
        <w:t>拉运</w:t>
      </w:r>
      <w:r>
        <w:rPr>
          <w:rFonts w:hint="default" w:ascii="Times New Roman" w:hAnsi="Times New Roman" w:eastAsia="宋体" w:cs="Times New Roman"/>
          <w:sz w:val="24"/>
        </w:rPr>
        <w:t>进行无害化处置。</w:t>
      </w:r>
    </w:p>
    <w:p>
      <w:pPr>
        <w:keepNext w:val="0"/>
        <w:keepLines w:val="0"/>
        <w:pageBreakBefore w:val="0"/>
        <w:widowControl/>
        <w:kinsoku/>
        <w:wordWrap/>
        <w:overflowPunct/>
        <w:topLinePunct w:val="0"/>
        <w:autoSpaceDE/>
        <w:autoSpaceDN/>
        <w:bidi w:val="0"/>
        <w:adjustRightInd w:val="0"/>
        <w:snapToGrid w:val="0"/>
        <w:spacing w:after="0" w:line="360" w:lineRule="auto"/>
        <w:ind w:firstLine="562" w:firstLineChars="200"/>
        <w:jc w:val="both"/>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1.2验收过程简况</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本项目验收过程见表</w:t>
      </w:r>
      <w:r>
        <w:rPr>
          <w:rStyle w:val="10"/>
          <w:rFonts w:hint="default" w:ascii="Times New Roman" w:hAnsi="Times New Roman" w:cs="Times New Roman"/>
        </w:rPr>
        <w:t>1</w:t>
      </w:r>
      <w:r>
        <w:rPr>
          <w:rFonts w:hint="default" w:ascii="Times New Roman" w:hAnsi="Times New Roman" w:eastAsia="宋体" w:cs="Times New Roman"/>
          <w:color w:val="000000"/>
          <w:sz w:val="24"/>
          <w:szCs w:val="24"/>
        </w:rPr>
        <w:t>。</w:t>
      </w:r>
    </w:p>
    <w:p>
      <w:pPr>
        <w:pStyle w:val="11"/>
        <w:keepNext w:val="0"/>
        <w:keepLines w:val="0"/>
        <w:pageBreakBefore w:val="0"/>
        <w:widowControl w:val="0"/>
        <w:kinsoku/>
        <w:wordWrap/>
        <w:overflowPunct/>
        <w:topLinePunct w:val="0"/>
        <w:autoSpaceDE/>
        <w:autoSpaceDN/>
        <w:bidi w:val="0"/>
        <w:adjustRightInd w:val="0"/>
        <w:snapToGrid/>
        <w:spacing w:beforeLines="0" w:line="240" w:lineRule="auto"/>
        <w:textAlignment w:val="auto"/>
        <w:rPr>
          <w:rFonts w:hint="default" w:ascii="Times New Roman" w:hAnsi="Times New Roman" w:cs="Times New Roman"/>
          <w:b/>
          <w:bCs w:val="0"/>
          <w:kern w:val="0"/>
        </w:rPr>
      </w:pPr>
    </w:p>
    <w:p>
      <w:pPr>
        <w:pStyle w:val="11"/>
        <w:keepNext w:val="0"/>
        <w:keepLines w:val="0"/>
        <w:pageBreakBefore w:val="0"/>
        <w:widowControl w:val="0"/>
        <w:kinsoku/>
        <w:wordWrap/>
        <w:overflowPunct/>
        <w:topLinePunct w:val="0"/>
        <w:autoSpaceDE/>
        <w:autoSpaceDN/>
        <w:bidi w:val="0"/>
        <w:adjustRightInd w:val="0"/>
        <w:snapToGrid/>
        <w:spacing w:beforeLines="0" w:line="240" w:lineRule="auto"/>
        <w:textAlignment w:val="auto"/>
        <w:rPr>
          <w:rFonts w:hint="default" w:ascii="Times New Roman" w:hAnsi="Times New Roman" w:cs="Times New Roman"/>
          <w:b/>
          <w:bCs w:val="0"/>
          <w:kern w:val="0"/>
        </w:rPr>
      </w:pPr>
    </w:p>
    <w:p>
      <w:pPr>
        <w:pStyle w:val="11"/>
        <w:keepNext w:val="0"/>
        <w:keepLines w:val="0"/>
        <w:pageBreakBefore w:val="0"/>
        <w:widowControl w:val="0"/>
        <w:kinsoku/>
        <w:wordWrap/>
        <w:overflowPunct/>
        <w:topLinePunct w:val="0"/>
        <w:autoSpaceDE/>
        <w:autoSpaceDN/>
        <w:bidi w:val="0"/>
        <w:adjustRightInd w:val="0"/>
        <w:snapToGrid/>
        <w:spacing w:beforeLines="0" w:line="240" w:lineRule="auto"/>
        <w:textAlignment w:val="auto"/>
        <w:rPr>
          <w:rFonts w:hint="default" w:ascii="Times New Roman" w:hAnsi="Times New Roman" w:cs="Times New Roman"/>
          <w:b/>
          <w:bCs w:val="0"/>
          <w:kern w:val="0"/>
          <w:sz w:val="24"/>
          <w:szCs w:val="24"/>
        </w:rPr>
      </w:pPr>
      <w:r>
        <w:rPr>
          <w:rFonts w:hint="default" w:ascii="Times New Roman" w:hAnsi="Times New Roman" w:cs="Times New Roman"/>
          <w:b/>
          <w:bCs w:val="0"/>
          <w:kern w:val="0"/>
          <w:sz w:val="24"/>
          <w:szCs w:val="24"/>
        </w:rPr>
        <w:t>表1  竣工环境保护验收过程一览表</w:t>
      </w:r>
    </w:p>
    <w:tbl>
      <w:tblPr>
        <w:tblStyle w:val="7"/>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1"/>
        <w:gridCol w:w="3321"/>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741" w:type="dxa"/>
            <w:vAlign w:val="center"/>
          </w:tcPr>
          <w:p>
            <w:pPr>
              <w:pStyle w:val="12"/>
              <w:rPr>
                <w:rFonts w:hint="default" w:ascii="Times New Roman" w:hAnsi="Times New Roman" w:cs="Times New Roman"/>
                <w:highlight w:val="yellow"/>
              </w:rPr>
            </w:pPr>
            <w:r>
              <w:rPr>
                <w:rFonts w:hint="default" w:ascii="Times New Roman" w:hAnsi="Times New Roman" w:cs="Times New Roman"/>
              </w:rPr>
              <w:t>项目名称</w:t>
            </w:r>
          </w:p>
        </w:tc>
        <w:tc>
          <w:tcPr>
            <w:tcW w:w="3321" w:type="dxa"/>
          </w:tcPr>
          <w:p>
            <w:pPr>
              <w:pStyle w:val="12"/>
              <w:rPr>
                <w:rFonts w:hint="default" w:ascii="Times New Roman" w:hAnsi="Times New Roman" w:cs="Times New Roman"/>
              </w:rPr>
            </w:pPr>
            <w:r>
              <w:rPr>
                <w:rFonts w:hint="default" w:ascii="Times New Roman" w:hAnsi="Times New Roman" w:cs="Times New Roman"/>
              </w:rPr>
              <w:t>程序流程</w:t>
            </w:r>
          </w:p>
        </w:tc>
        <w:tc>
          <w:tcPr>
            <w:tcW w:w="3224" w:type="dxa"/>
            <w:vAlign w:val="center"/>
          </w:tcPr>
          <w:p>
            <w:pPr>
              <w:pStyle w:val="12"/>
              <w:rPr>
                <w:rFonts w:hint="default" w:ascii="Times New Roman" w:hAnsi="Times New Roman" w:cs="Times New Roman"/>
              </w:rPr>
            </w:pPr>
            <w:r>
              <w:rPr>
                <w:rFonts w:hint="default" w:ascii="Times New Roman" w:hAnsi="Times New Roman" w:cs="Times New Roman"/>
              </w:rPr>
              <w:t>时间节点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741" w:type="dxa"/>
            <w:vMerge w:val="restart"/>
            <w:vAlign w:val="center"/>
          </w:tcPr>
          <w:p>
            <w:pPr>
              <w:pStyle w:val="12"/>
              <w:jc w:val="both"/>
              <w:rPr>
                <w:rFonts w:hint="default" w:ascii="Times New Roman" w:hAnsi="Times New Roman" w:cs="Times New Roman"/>
                <w:highlight w:val="yellow"/>
              </w:rPr>
            </w:pPr>
            <w:r>
              <w:rPr>
                <w:rFonts w:hint="default" w:ascii="Times New Roman" w:hAnsi="Times New Roman" w:cs="Times New Roman"/>
                <w:color w:val="000000"/>
                <w:sz w:val="21"/>
                <w:szCs w:val="21"/>
              </w:rPr>
              <w:t>中国石油化工股份有限公司胜利油田分公司</w:t>
            </w:r>
            <w:r>
              <w:rPr>
                <w:rFonts w:hint="eastAsia" w:ascii="Times New Roman" w:hAnsi="Times New Roman" w:cs="Times New Roman"/>
                <w:color w:val="000000"/>
                <w:sz w:val="21"/>
                <w:szCs w:val="21"/>
                <w:lang w:val="en-US" w:eastAsia="zh-CN"/>
              </w:rPr>
              <w:t>纯梁</w:t>
            </w:r>
            <w:r>
              <w:rPr>
                <w:rFonts w:hint="default" w:ascii="Times New Roman" w:hAnsi="Times New Roman" w:cs="Times New Roman"/>
                <w:color w:val="000000"/>
                <w:sz w:val="21"/>
                <w:szCs w:val="21"/>
              </w:rPr>
              <w:t>采油厂</w:t>
            </w:r>
            <w:r>
              <w:rPr>
                <w:kern w:val="2"/>
                <w:sz w:val="21"/>
                <w:szCs w:val="21"/>
              </w:rPr>
              <w:t>纯五注精细水处理扩容改造工程</w:t>
            </w:r>
          </w:p>
        </w:tc>
        <w:tc>
          <w:tcPr>
            <w:tcW w:w="3321" w:type="dxa"/>
          </w:tcPr>
          <w:p>
            <w:pPr>
              <w:pStyle w:val="12"/>
              <w:rPr>
                <w:rFonts w:hint="default" w:ascii="Times New Roman" w:hAnsi="Times New Roman" w:cs="Times New Roman"/>
              </w:rPr>
            </w:pPr>
            <w:r>
              <w:rPr>
                <w:rFonts w:hint="default" w:ascii="Times New Roman" w:hAnsi="Times New Roman" w:cs="Times New Roman"/>
              </w:rPr>
              <w:t>竣工时间</w:t>
            </w:r>
          </w:p>
        </w:tc>
        <w:tc>
          <w:tcPr>
            <w:tcW w:w="3224" w:type="dxa"/>
            <w:vAlign w:val="center"/>
          </w:tcPr>
          <w:p>
            <w:pPr>
              <w:pStyle w:val="12"/>
              <w:jc w:val="center"/>
              <w:rPr>
                <w:rFonts w:hint="default" w:ascii="Times New Roman" w:hAnsi="Times New Roman" w:cs="Times New Roman"/>
              </w:rPr>
            </w:pPr>
            <w:r>
              <w:rPr>
                <w:rFonts w:hint="default" w:ascii="Times New Roman" w:hAnsi="Times New Roman" w:cs="Times New Roman"/>
              </w:rPr>
              <w:t>201</w:t>
            </w:r>
            <w:r>
              <w:rPr>
                <w:rFonts w:hint="eastAsia" w:ascii="Times New Roman" w:hAnsi="Times New Roman" w:cs="Times New Roman"/>
                <w:lang w:val="en-US" w:eastAsia="zh-CN"/>
              </w:rPr>
              <w:t>9</w:t>
            </w:r>
            <w:r>
              <w:rPr>
                <w:rFonts w:hint="default" w:ascii="Times New Roman" w:hAnsi="Times New Roman" w:cs="Times New Roman"/>
              </w:rPr>
              <w:t>年</w:t>
            </w:r>
            <w:r>
              <w:rPr>
                <w:rFonts w:hint="eastAsia" w:ascii="Times New Roman" w:hAnsi="Times New Roman" w:cs="Times New Roman"/>
                <w:lang w:val="en-US" w:eastAsia="zh-CN"/>
              </w:rPr>
              <w:t>3</w:t>
            </w:r>
            <w:r>
              <w:rPr>
                <w:rFonts w:hint="default" w:ascii="Times New Roman" w:hAnsi="Times New Roman" w:cs="Times New Roma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741" w:type="dxa"/>
            <w:vMerge w:val="continue"/>
            <w:vAlign w:val="center"/>
          </w:tcPr>
          <w:p>
            <w:pPr>
              <w:pStyle w:val="12"/>
              <w:rPr>
                <w:rFonts w:hint="default" w:ascii="Times New Roman" w:hAnsi="Times New Roman" w:cs="Times New Roman"/>
                <w:highlight w:val="yellow"/>
              </w:rPr>
            </w:pPr>
          </w:p>
        </w:tc>
        <w:tc>
          <w:tcPr>
            <w:tcW w:w="3321" w:type="dxa"/>
          </w:tcPr>
          <w:p>
            <w:pPr>
              <w:pStyle w:val="12"/>
              <w:rPr>
                <w:rFonts w:hint="default" w:ascii="Times New Roman" w:hAnsi="Times New Roman" w:cs="Times New Roman"/>
              </w:rPr>
            </w:pPr>
            <w:r>
              <w:rPr>
                <w:rFonts w:hint="default" w:ascii="Times New Roman" w:hAnsi="Times New Roman" w:cs="Times New Roman"/>
              </w:rPr>
              <w:t>竣工公示时间</w:t>
            </w:r>
          </w:p>
        </w:tc>
        <w:tc>
          <w:tcPr>
            <w:tcW w:w="3224" w:type="dxa"/>
            <w:vAlign w:val="center"/>
          </w:tcPr>
          <w:p>
            <w:pPr>
              <w:pStyle w:val="12"/>
              <w:jc w:val="center"/>
              <w:rPr>
                <w:rFonts w:hint="default" w:ascii="Times New Roman" w:hAnsi="Times New Roman" w:cs="Times New Roman"/>
              </w:rPr>
            </w:pPr>
            <w:r>
              <w:rPr>
                <w:rFonts w:hint="default" w:ascii="Times New Roman" w:hAnsi="Times New Roman" w:cs="Times New Roman"/>
              </w:rPr>
              <w:t>201</w:t>
            </w:r>
            <w:r>
              <w:rPr>
                <w:rFonts w:hint="default" w:ascii="Times New Roman" w:hAnsi="Times New Roman" w:cs="Times New Roman"/>
                <w:lang w:val="en-US" w:eastAsia="zh-CN"/>
              </w:rPr>
              <w:t>9</w:t>
            </w:r>
            <w:r>
              <w:rPr>
                <w:rFonts w:hint="default" w:ascii="Times New Roman" w:hAnsi="Times New Roman" w:cs="Times New Roman"/>
              </w:rPr>
              <w:t>年</w:t>
            </w:r>
            <w:r>
              <w:rPr>
                <w:rFonts w:hint="eastAsia" w:ascii="Times New Roman" w:hAnsi="Times New Roman" w:cs="Times New Roman"/>
                <w:lang w:val="en-US" w:eastAsia="zh-CN"/>
              </w:rPr>
              <w:t>4</w:t>
            </w:r>
            <w:r>
              <w:rPr>
                <w:rFonts w:hint="default" w:ascii="Times New Roman" w:hAnsi="Times New Roman" w:cs="Times New Roman"/>
              </w:rPr>
              <w:t>月</w:t>
            </w:r>
            <w:r>
              <w:rPr>
                <w:rFonts w:hint="default" w:ascii="Times New Roman" w:hAnsi="Times New Roman" w:cs="Times New Roman"/>
                <w:lang w:val="en-US" w:eastAsia="zh-CN"/>
              </w:rPr>
              <w:t>2</w:t>
            </w:r>
            <w:r>
              <w:rPr>
                <w:rFonts w:hint="eastAsia" w:ascii="Times New Roman" w:hAnsi="Times New Roman" w:cs="Times New Roman"/>
                <w:lang w:val="en-US" w:eastAsia="zh-CN"/>
              </w:rPr>
              <w:t>5</w:t>
            </w:r>
            <w:r>
              <w:rPr>
                <w:rFonts w:hint="default" w:ascii="Times New Roman" w:hAnsi="Times New Roman" w:cs="Times New Roma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741" w:type="dxa"/>
            <w:vMerge w:val="continue"/>
            <w:vAlign w:val="center"/>
          </w:tcPr>
          <w:p>
            <w:pPr>
              <w:pStyle w:val="12"/>
              <w:rPr>
                <w:rFonts w:hint="default" w:ascii="Times New Roman" w:hAnsi="Times New Roman" w:cs="Times New Roman"/>
                <w:highlight w:val="yellow"/>
              </w:rPr>
            </w:pPr>
          </w:p>
        </w:tc>
        <w:tc>
          <w:tcPr>
            <w:tcW w:w="3321" w:type="dxa"/>
          </w:tcPr>
          <w:p>
            <w:pPr>
              <w:pStyle w:val="12"/>
              <w:rPr>
                <w:rFonts w:hint="default" w:ascii="Times New Roman" w:hAnsi="Times New Roman" w:cs="Times New Roman"/>
              </w:rPr>
            </w:pPr>
            <w:r>
              <w:rPr>
                <w:rFonts w:hint="default" w:ascii="Times New Roman" w:hAnsi="Times New Roman" w:cs="Times New Roman"/>
              </w:rPr>
              <w:t>委托时间</w:t>
            </w:r>
          </w:p>
        </w:tc>
        <w:tc>
          <w:tcPr>
            <w:tcW w:w="3224" w:type="dxa"/>
            <w:vAlign w:val="center"/>
          </w:tcPr>
          <w:p>
            <w:pPr>
              <w:pStyle w:val="12"/>
              <w:jc w:val="center"/>
              <w:rPr>
                <w:rFonts w:hint="default" w:ascii="Times New Roman" w:hAnsi="Times New Roman" w:cs="Times New Roman"/>
              </w:rPr>
            </w:pPr>
            <w:r>
              <w:rPr>
                <w:rFonts w:hint="default" w:ascii="Times New Roman" w:hAnsi="Times New Roman" w:cs="Times New Roman"/>
              </w:rPr>
              <w:t>2018年12月1</w:t>
            </w:r>
            <w:r>
              <w:rPr>
                <w:rFonts w:hint="default" w:ascii="Times New Roman" w:hAnsi="Times New Roman" w:cs="Times New Roman"/>
                <w:lang w:val="en-US" w:eastAsia="zh-CN"/>
              </w:rPr>
              <w:t>0</w:t>
            </w:r>
            <w:r>
              <w:rPr>
                <w:rFonts w:hint="default" w:ascii="Times New Roman" w:hAnsi="Times New Roman" w:cs="Times New Roma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741" w:type="dxa"/>
            <w:vMerge w:val="continue"/>
            <w:vAlign w:val="center"/>
          </w:tcPr>
          <w:p>
            <w:pPr>
              <w:pStyle w:val="12"/>
              <w:rPr>
                <w:rFonts w:hint="default" w:ascii="Times New Roman" w:hAnsi="Times New Roman" w:cs="Times New Roman"/>
                <w:highlight w:val="yellow"/>
              </w:rPr>
            </w:pPr>
          </w:p>
        </w:tc>
        <w:tc>
          <w:tcPr>
            <w:tcW w:w="3321" w:type="dxa"/>
          </w:tcPr>
          <w:p>
            <w:pPr>
              <w:pStyle w:val="12"/>
              <w:rPr>
                <w:rFonts w:hint="default" w:ascii="Times New Roman" w:hAnsi="Times New Roman" w:cs="Times New Roman"/>
              </w:rPr>
            </w:pPr>
            <w:r>
              <w:rPr>
                <w:rFonts w:hint="default" w:ascii="Times New Roman" w:hAnsi="Times New Roman" w:cs="Times New Roman"/>
              </w:rPr>
              <w:t>现场踏勘、调查时间</w:t>
            </w:r>
          </w:p>
        </w:tc>
        <w:tc>
          <w:tcPr>
            <w:tcW w:w="3224" w:type="dxa"/>
            <w:vAlign w:val="center"/>
          </w:tcPr>
          <w:p>
            <w:pPr>
              <w:pStyle w:val="12"/>
              <w:jc w:val="center"/>
              <w:rPr>
                <w:rFonts w:hint="default" w:ascii="Times New Roman" w:hAnsi="Times New Roman" w:eastAsia="宋体" w:cs="Times New Roman"/>
                <w:lang w:val="en-US" w:eastAsia="zh-CN"/>
              </w:rPr>
            </w:pPr>
            <w:r>
              <w:rPr>
                <w:rFonts w:hint="default" w:ascii="Times New Roman" w:hAnsi="Times New Roman" w:cs="Times New Roman"/>
              </w:rPr>
              <w:t>201</w:t>
            </w:r>
            <w:r>
              <w:rPr>
                <w:rFonts w:hint="eastAsia" w:ascii="Times New Roman" w:hAnsi="Times New Roman" w:cs="Times New Roman"/>
                <w:lang w:val="en-US" w:eastAsia="zh-CN"/>
              </w:rPr>
              <w:t>9</w:t>
            </w:r>
            <w:r>
              <w:rPr>
                <w:rFonts w:hint="default" w:ascii="Times New Roman" w:hAnsi="Times New Roman" w:cs="Times New Roman"/>
              </w:rPr>
              <w:t>年</w:t>
            </w:r>
            <w:r>
              <w:rPr>
                <w:rFonts w:hint="eastAsia" w:ascii="Times New Roman" w:hAnsi="Times New Roman" w:cs="Times New Roman"/>
                <w:lang w:val="en-US" w:eastAsia="zh-CN"/>
              </w:rPr>
              <w:t>4</w:t>
            </w:r>
            <w:r>
              <w:rPr>
                <w:rFonts w:hint="default" w:ascii="Times New Roman" w:hAnsi="Times New Roman" w:cs="Times New Roman"/>
              </w:rPr>
              <w:t>月</w:t>
            </w:r>
            <w:r>
              <w:rPr>
                <w:rFonts w:hint="eastAsia" w:ascii="Times New Roman" w:hAnsi="Times New Roman" w:cs="Times New Roman"/>
                <w:lang w:val="en-US" w:eastAsia="zh-CN"/>
              </w:rPr>
              <w:t>3</w:t>
            </w:r>
            <w:r>
              <w:rPr>
                <w:rFonts w:hint="default" w:ascii="Times New Roman" w:hAnsi="Times New Roman" w:cs="Times New Roman"/>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741" w:type="dxa"/>
            <w:vMerge w:val="continue"/>
            <w:vAlign w:val="center"/>
          </w:tcPr>
          <w:p>
            <w:pPr>
              <w:pStyle w:val="12"/>
              <w:rPr>
                <w:rFonts w:hint="default" w:ascii="Times New Roman" w:hAnsi="Times New Roman" w:cs="Times New Roman"/>
                <w:highlight w:val="yellow"/>
              </w:rPr>
            </w:pPr>
          </w:p>
        </w:tc>
        <w:tc>
          <w:tcPr>
            <w:tcW w:w="3321" w:type="dxa"/>
            <w:vAlign w:val="center"/>
          </w:tcPr>
          <w:p>
            <w:pPr>
              <w:pStyle w:val="12"/>
              <w:rPr>
                <w:rFonts w:hint="default" w:ascii="Times New Roman" w:hAnsi="Times New Roman" w:cs="Times New Roman"/>
              </w:rPr>
            </w:pPr>
            <w:r>
              <w:rPr>
                <w:rFonts w:hint="default" w:ascii="Times New Roman" w:hAnsi="Times New Roman" w:cs="Times New Roman"/>
              </w:rPr>
              <w:t>检测时间</w:t>
            </w:r>
          </w:p>
        </w:tc>
        <w:tc>
          <w:tcPr>
            <w:tcW w:w="3224" w:type="dxa"/>
            <w:vAlign w:val="center"/>
          </w:tcPr>
          <w:p>
            <w:pPr>
              <w:pStyle w:val="12"/>
              <w:jc w:val="center"/>
              <w:rPr>
                <w:rFonts w:hint="default" w:ascii="Times New Roman" w:hAnsi="Times New Roman" w:eastAsia="宋体" w:cs="Times New Roman"/>
                <w:lang w:val="en-US" w:eastAsia="zh-CN"/>
              </w:rPr>
            </w:pPr>
            <w:r>
              <w:rPr>
                <w:rFonts w:hint="default" w:ascii="Times New Roman" w:hAnsi="Times New Roman" w:cs="Times New Roman"/>
              </w:rPr>
              <w:t>2019年</w:t>
            </w:r>
            <w:r>
              <w:rPr>
                <w:rFonts w:hint="eastAsia" w:ascii="Times New Roman" w:hAnsi="Times New Roman" w:cs="Times New Roman"/>
                <w:lang w:val="en-US" w:eastAsia="zh-CN"/>
              </w:rPr>
              <w:t>4</w:t>
            </w:r>
            <w:r>
              <w:rPr>
                <w:rFonts w:hint="default" w:ascii="Times New Roman" w:hAnsi="Times New Roman" w:cs="Times New Roman"/>
              </w:rPr>
              <w:t>月</w:t>
            </w:r>
            <w:r>
              <w:rPr>
                <w:rFonts w:hint="eastAsia" w:ascii="Times New Roman" w:hAnsi="Times New Roman" w:cs="Times New Roman"/>
                <w:lang w:val="en-US" w:eastAsia="zh-CN"/>
              </w:rPr>
              <w:t>3日-7日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2741" w:type="dxa"/>
            <w:vMerge w:val="continue"/>
            <w:vAlign w:val="center"/>
          </w:tcPr>
          <w:p>
            <w:pPr>
              <w:pStyle w:val="12"/>
              <w:rPr>
                <w:rFonts w:hint="default" w:ascii="Times New Roman" w:hAnsi="Times New Roman" w:cs="Times New Roman"/>
                <w:highlight w:val="yellow"/>
              </w:rPr>
            </w:pPr>
          </w:p>
        </w:tc>
        <w:tc>
          <w:tcPr>
            <w:tcW w:w="3321" w:type="dxa"/>
          </w:tcPr>
          <w:p>
            <w:pPr>
              <w:pStyle w:val="12"/>
              <w:rPr>
                <w:rFonts w:hint="default" w:ascii="Times New Roman" w:hAnsi="Times New Roman" w:cs="Times New Roman"/>
              </w:rPr>
            </w:pPr>
            <w:r>
              <w:rPr>
                <w:rFonts w:hint="default" w:ascii="Times New Roman" w:hAnsi="Times New Roman" w:cs="Times New Roman"/>
              </w:rPr>
              <w:t>自主验收时间</w:t>
            </w:r>
          </w:p>
        </w:tc>
        <w:tc>
          <w:tcPr>
            <w:tcW w:w="3224" w:type="dxa"/>
            <w:vAlign w:val="center"/>
          </w:tcPr>
          <w:p>
            <w:pPr>
              <w:pStyle w:val="12"/>
              <w:jc w:val="center"/>
              <w:rPr>
                <w:rFonts w:hint="default" w:ascii="Times New Roman" w:hAnsi="Times New Roman" w:cs="Times New Roman"/>
              </w:rPr>
            </w:pPr>
            <w:r>
              <w:rPr>
                <w:rFonts w:hint="default" w:ascii="Times New Roman" w:hAnsi="Times New Roman" w:cs="Times New Roman"/>
              </w:rPr>
              <w:t>2019年</w:t>
            </w:r>
            <w:r>
              <w:rPr>
                <w:rFonts w:hint="eastAsia" w:ascii="Times New Roman" w:hAnsi="Times New Roman" w:cs="Times New Roman"/>
                <w:lang w:val="en-US" w:eastAsia="zh-CN"/>
              </w:rPr>
              <w:t>7</w:t>
            </w:r>
            <w:r>
              <w:rPr>
                <w:rFonts w:hint="default" w:ascii="Times New Roman" w:hAnsi="Times New Roman" w:cs="Times New Roman"/>
              </w:rPr>
              <w:t>月</w:t>
            </w:r>
            <w:r>
              <w:rPr>
                <w:rFonts w:hint="eastAsia" w:ascii="Times New Roman" w:hAnsi="Times New Roman" w:cs="Times New Roman"/>
                <w:lang w:val="en-US" w:eastAsia="zh-CN"/>
              </w:rPr>
              <w:t>5</w:t>
            </w:r>
            <w:r>
              <w:rPr>
                <w:rFonts w:hint="default" w:ascii="Times New Roman" w:hAnsi="Times New Roman" w:cs="Times New Roman"/>
              </w:rPr>
              <w:t>日</w:t>
            </w:r>
          </w:p>
        </w:tc>
      </w:tr>
    </w:tbl>
    <w:p>
      <w:pPr>
        <w:spacing w:after="0" w:line="360" w:lineRule="auto"/>
        <w:ind w:firstLine="482"/>
        <w:jc w:val="both"/>
        <w:rPr>
          <w:rFonts w:hint="default" w:ascii="Times New Roman" w:hAnsi="Times New Roman" w:eastAsia="宋体" w:cs="Times New Roman"/>
          <w:b/>
          <w:bCs/>
          <w:sz w:val="32"/>
          <w:szCs w:val="32"/>
        </w:rPr>
      </w:pPr>
      <w:bookmarkStart w:id="1" w:name="_GoBack"/>
      <w:bookmarkEnd w:id="1"/>
    </w:p>
    <w:p>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sz w:val="32"/>
          <w:szCs w:val="32"/>
        </w:rPr>
        <w:t>2其他环境保护措施的落实情况</w:t>
      </w:r>
    </w:p>
    <w:p>
      <w:pPr>
        <w:keepNext w:val="0"/>
        <w:keepLines w:val="0"/>
        <w:pageBreakBefore w:val="0"/>
        <w:widowControl/>
        <w:kinsoku/>
        <w:wordWrap/>
        <w:overflowPunct/>
        <w:topLinePunct w:val="0"/>
        <w:autoSpaceDE/>
        <w:autoSpaceDN/>
        <w:bidi w:val="0"/>
        <w:adjustRightInd w:val="0"/>
        <w:snapToGrid w:val="0"/>
        <w:spacing w:after="0" w:line="360" w:lineRule="auto"/>
        <w:ind w:firstLine="562" w:firstLineChars="200"/>
        <w:jc w:val="both"/>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2.1制度措施落实情况</w:t>
      </w: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2.1.1环保组织机构</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建设单位QHSE管理科负责全公司环保专业技术综合管理，机关各业务部门按各自环保管理职责负责分管业务范围内的环保管理。采油厂所属各单位、直属单位按采油厂环保管理实施细则负责本单位环保管理。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施工期，项目管理部门设置专门的环保岗位，配备一名环保专业人员，负责监督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在生产运营期，由建设单位QHSE管理科统一负责本项目的环保管理工作、环保文件和技术资料的归档，协助进行环保工程的验收，负责运营期间的环境监测、事故防范和外部协调工作。</w:t>
      </w:r>
    </w:p>
    <w:p>
      <w:pPr>
        <w:spacing w:after="0" w:line="360" w:lineRule="auto"/>
        <w:ind w:firstLine="482"/>
        <w:jc w:val="both"/>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2.1.2环境风险防范措施</w:t>
      </w:r>
    </w:p>
    <w:p>
      <w:pPr>
        <w:pStyle w:val="11"/>
        <w:keepNext w:val="0"/>
        <w:keepLines w:val="0"/>
        <w:pageBreakBefore w:val="0"/>
        <w:kinsoku/>
        <w:wordWrap/>
        <w:overflowPunct/>
        <w:topLinePunct w:val="0"/>
        <w:autoSpaceDE/>
        <w:autoSpaceDN/>
        <w:bidi w:val="0"/>
        <w:adjustRightInd w:val="0"/>
        <w:snapToGrid w:val="0"/>
        <w:spacing w:before="0" w:beforeLines="0" w:line="360" w:lineRule="auto"/>
        <w:ind w:firstLine="480" w:firstLineChars="200"/>
        <w:jc w:val="both"/>
        <w:textAlignment w:val="auto"/>
        <w:rPr>
          <w:rFonts w:hint="default" w:ascii="Times New Roman" w:hAnsi="Times New Roman" w:cs="Times New Roman"/>
          <w:bCs w:val="0"/>
          <w:kern w:val="0"/>
          <w:sz w:val="24"/>
          <w:szCs w:val="24"/>
        </w:rPr>
      </w:pPr>
      <w:bookmarkStart w:id="0" w:name="_Toc32727"/>
      <w:r>
        <w:rPr>
          <w:rFonts w:hint="default" w:ascii="Times New Roman" w:hAnsi="Times New Roman" w:cs="Times New Roman"/>
          <w:bCs w:val="0"/>
          <w:kern w:val="0"/>
          <w:sz w:val="24"/>
          <w:szCs w:val="24"/>
        </w:rPr>
        <w:t>为了确保各项设施的有效运行，胜利油田分公司</w:t>
      </w:r>
      <w:r>
        <w:rPr>
          <w:rFonts w:hint="eastAsia" w:ascii="Times New Roman" w:hAnsi="Times New Roman" w:cs="Times New Roman"/>
          <w:bCs w:val="0"/>
          <w:kern w:val="0"/>
          <w:sz w:val="24"/>
          <w:szCs w:val="24"/>
          <w:lang w:val="en-US" w:eastAsia="zh-CN"/>
        </w:rPr>
        <w:t>纯梁</w:t>
      </w:r>
      <w:r>
        <w:rPr>
          <w:rFonts w:hint="default" w:ascii="Times New Roman" w:hAnsi="Times New Roman" w:cs="Times New Roman"/>
          <w:bCs w:val="0"/>
          <w:kern w:val="0"/>
          <w:sz w:val="24"/>
          <w:szCs w:val="24"/>
        </w:rPr>
        <w:t>采油厂制定了相关环保设备操作规程、设备运转记录、保养记录等。操作人员根据各项制度进行设备检修和保养，通过监测、巡查等方式及时发现该项目设施运行中出现的问题，由生产调度会安排解决问题，并严格督察解决的结果，以确保环保设施的正常运行。</w:t>
      </w:r>
      <w:bookmarkEnd w:id="0"/>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项目的风险事故</w:t>
      </w:r>
      <w:r>
        <w:rPr>
          <w:rFonts w:hint="eastAsia" w:ascii="宋体" w:hAnsi="宋体" w:eastAsia="宋体" w:cs="宋体"/>
          <w:sz w:val="24"/>
          <w:szCs w:val="24"/>
        </w:rPr>
        <w:t>主要是，发生罐体、管线锈蚀穿孔泄漏事故对土壤生态环境及地表水环境的影响。</w:t>
      </w:r>
    </w:p>
    <w:p>
      <w:pPr>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default" w:ascii="Times New Roman" w:hAnsi="Times New Roman" w:eastAsia="宋体" w:cs="Times New Roman"/>
          <w:kern w:val="0"/>
          <w:sz w:val="24"/>
          <w:szCs w:val="24"/>
          <w:lang w:val="zh-CN"/>
        </w:rPr>
      </w:pPr>
      <w:r>
        <w:rPr>
          <w:rFonts w:hint="default" w:ascii="Times New Roman" w:hAnsi="Times New Roman" w:eastAsia="宋体" w:cs="Times New Roman"/>
          <w:kern w:val="0"/>
          <w:sz w:val="24"/>
          <w:szCs w:val="24"/>
        </w:rPr>
        <w:t>（1）及时发现并通知首站关闭泵和阀门外，泄漏的污水将通过收集系统，收集到污水回收池，由提升泵输送至完好的污水罐中，不会溢流至站外。</w:t>
      </w:r>
    </w:p>
    <w:p>
      <w:pPr>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kern w:val="0"/>
          <w:sz w:val="24"/>
          <w:szCs w:val="24"/>
          <w:lang w:val="zh-CN"/>
        </w:rPr>
        <w:t>（</w:t>
      </w:r>
      <w:r>
        <w:rPr>
          <w:rFonts w:hint="default" w:ascii="Times New Roman" w:hAnsi="Times New Roman" w:eastAsia="宋体" w:cs="Times New Roman"/>
          <w:kern w:val="0"/>
          <w:sz w:val="24"/>
          <w:szCs w:val="24"/>
        </w:rPr>
        <w:t>2</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lang w:val="en-US" w:eastAsia="zh-CN"/>
        </w:rPr>
        <w:t>运营期间为确保各项设施的有效运行，</w:t>
      </w:r>
      <w:r>
        <w:rPr>
          <w:rFonts w:hint="default" w:ascii="Times New Roman" w:hAnsi="Times New Roman" w:eastAsia="宋体" w:cs="Times New Roman"/>
          <w:kern w:val="0"/>
          <w:sz w:val="24"/>
          <w:szCs w:val="24"/>
        </w:rPr>
        <w:t>操作人员根据各项制度进行设备检修和保养，通过监测、巡查等方式及时发现该项目设施运行中出现的问题</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lang w:val="zh-CN"/>
        </w:rPr>
        <w:t>从现场调查的情况看，建设单位加强运行管理，定期进行巡检，及时消除泄露隐患。</w:t>
      </w:r>
    </w:p>
    <w:p>
      <w:pPr>
        <w:spacing w:after="0" w:line="360" w:lineRule="auto"/>
        <w:ind w:firstLine="482"/>
        <w:jc w:val="both"/>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2.1.3环境监测计划</w:t>
      </w:r>
    </w:p>
    <w:p>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rPr>
      </w:pPr>
      <w:r>
        <w:rPr>
          <w:rFonts w:hint="default" w:ascii="Times New Roman" w:hAnsi="Times New Roman" w:cs="Times New Roman"/>
        </w:rPr>
        <w:t>本项目已经按环评文件及审批决定要求制定环境监测计划，目前，企业刚通过竣工环保验收，工作时间较短，尚未进行环境监测。</w:t>
      </w:r>
    </w:p>
    <w:p>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rPr>
      </w:pPr>
      <w:r>
        <w:rPr>
          <w:rFonts w:hint="default" w:ascii="Times New Roman" w:hAnsi="Times New Roman" w:cs="Times New Roman"/>
        </w:rPr>
        <w:t>通过现场调查发现，</w:t>
      </w:r>
      <w:r>
        <w:rPr>
          <w:rFonts w:hint="eastAsia" w:ascii="Times New Roman" w:hAnsi="Times New Roman" w:cs="Times New Roman"/>
          <w:lang w:val="en-US" w:eastAsia="zh-CN"/>
        </w:rPr>
        <w:t>纯梁</w:t>
      </w:r>
      <w:r>
        <w:rPr>
          <w:rFonts w:hint="default" w:ascii="Times New Roman" w:hAnsi="Times New Roman" w:cs="Times New Roman"/>
        </w:rPr>
        <w:t>采油厂及其下属各施工单位和运营单位对环境保护工作比较重视，在施工期及运营期建立了HSE管理体系。</w:t>
      </w:r>
    </w:p>
    <w:p>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rPr>
      </w:pPr>
      <w:r>
        <w:rPr>
          <w:rFonts w:hint="default" w:ascii="Times New Roman" w:hAnsi="Times New Roman" w:cs="Times New Roman"/>
        </w:rPr>
        <w:t>从现场调查和监测资料查阅来看，</w:t>
      </w:r>
      <w:r>
        <w:rPr>
          <w:rFonts w:hint="eastAsia" w:ascii="Times New Roman" w:hAnsi="Times New Roman" w:cs="Times New Roman"/>
          <w:lang w:val="en-US" w:eastAsia="zh-CN"/>
        </w:rPr>
        <w:t>纯梁</w:t>
      </w:r>
      <w:r>
        <w:rPr>
          <w:rFonts w:hint="default" w:ascii="Times New Roman" w:hAnsi="Times New Roman" w:cs="Times New Roman"/>
        </w:rPr>
        <w:t>采油厂按照</w:t>
      </w:r>
      <w:r>
        <w:rPr>
          <w:rFonts w:hint="default" w:ascii="Times New Roman" w:hAnsi="Times New Roman" w:cs="Times New Roman"/>
          <w:color w:val="000000" w:themeColor="text1"/>
          <w14:textFill>
            <w14:solidFill>
              <w14:schemeClr w14:val="tx1"/>
            </w14:solidFill>
          </w14:textFill>
        </w:rPr>
        <w:t>胜利油田QHSSE委员会</w:t>
      </w:r>
      <w:r>
        <w:rPr>
          <w:rFonts w:hint="default" w:ascii="Times New Roman" w:hAnsi="Times New Roman" w:cs="Times New Roman"/>
        </w:rPr>
        <w:t>的监测计划，对废气、固体废物处置、噪声进行了现场监测。</w:t>
      </w:r>
    </w:p>
    <w:p>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snapToGrid w:val="0"/>
          <w:kern w:val="2"/>
        </w:rPr>
      </w:pPr>
      <w:r>
        <w:rPr>
          <w:rFonts w:hint="default" w:ascii="Times New Roman" w:hAnsi="Times New Roman" w:cs="Times New Roman"/>
        </w:rPr>
        <w:t>建设单位对污染源、污染治理设施运行效果制定了详细的环境监测计划，建设单位环境监测计划见表2。</w:t>
      </w:r>
    </w:p>
    <w:p>
      <w:pPr>
        <w:keepNext w:val="0"/>
        <w:keepLines w:val="0"/>
        <w:pageBreakBefore w:val="0"/>
        <w:widowControl w:val="0"/>
        <w:kinsoku/>
        <w:wordWrap/>
        <w:overflowPunct/>
        <w:topLinePunct w:val="0"/>
        <w:autoSpaceDE/>
        <w:autoSpaceDN/>
        <w:bidi w:val="0"/>
        <w:adjustRightInd w:val="0"/>
        <w:snapToGrid w:val="0"/>
        <w:spacing w:before="0" w:beforeLines="0" w:after="0" w:line="240" w:lineRule="auto"/>
        <w:jc w:val="center"/>
        <w:textAlignment w:val="auto"/>
        <w:rPr>
          <w:rFonts w:hint="default" w:ascii="Times New Roman" w:hAnsi="Times New Roman" w:eastAsia="宋体" w:cs="Times New Roman"/>
          <w:b/>
          <w:bCs w:val="0"/>
          <w:kern w:val="2"/>
          <w:sz w:val="24"/>
          <w:szCs w:val="24"/>
          <w:lang w:val="en-US" w:eastAsia="zh-CN" w:bidi="ar-SA"/>
        </w:rPr>
      </w:pPr>
      <w:r>
        <w:rPr>
          <w:rFonts w:hint="default" w:ascii="Times New Roman" w:hAnsi="Times New Roman" w:eastAsia="宋体" w:cs="Times New Roman"/>
          <w:b/>
          <w:bCs w:val="0"/>
          <w:kern w:val="2"/>
          <w:sz w:val="24"/>
          <w:szCs w:val="24"/>
          <w:lang w:val="en-US" w:eastAsia="zh-CN" w:bidi="ar-SA"/>
        </w:rPr>
        <w:t>表2  环境监测计划表</w:t>
      </w:r>
    </w:p>
    <w:tbl>
      <w:tblPr>
        <w:tblStyle w:val="6"/>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2246"/>
        <w:gridCol w:w="1171"/>
        <w:gridCol w:w="1527"/>
        <w:gridCol w:w="3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83"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监测类别</w:t>
            </w:r>
          </w:p>
        </w:tc>
        <w:tc>
          <w:tcPr>
            <w:tcW w:w="2246"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监测项目</w:t>
            </w:r>
          </w:p>
        </w:tc>
        <w:tc>
          <w:tcPr>
            <w:tcW w:w="1171"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监测布点</w:t>
            </w:r>
          </w:p>
        </w:tc>
        <w:tc>
          <w:tcPr>
            <w:tcW w:w="1527"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监测频次</w:t>
            </w:r>
          </w:p>
        </w:tc>
        <w:tc>
          <w:tcPr>
            <w:tcW w:w="3259" w:type="dxa"/>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1083"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大气环境</w:t>
            </w:r>
          </w:p>
        </w:tc>
        <w:tc>
          <w:tcPr>
            <w:tcW w:w="2246"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非甲烷总烃</w:t>
            </w:r>
          </w:p>
        </w:tc>
        <w:tc>
          <w:tcPr>
            <w:tcW w:w="1171"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eastAsia" w:ascii="Times New Roman" w:hAnsi="Times New Roman" w:eastAsia="宋体" w:cs="Times New Roman"/>
                <w:kern w:val="2"/>
                <w:sz w:val="21"/>
                <w:szCs w:val="21"/>
                <w:lang w:val="en-US" w:eastAsia="zh-CN"/>
              </w:rPr>
              <w:t>站</w:t>
            </w:r>
            <w:r>
              <w:rPr>
                <w:rFonts w:hint="default" w:ascii="Times New Roman" w:hAnsi="Times New Roman" w:eastAsia="宋体" w:cs="Times New Roman"/>
                <w:kern w:val="2"/>
                <w:sz w:val="21"/>
                <w:szCs w:val="21"/>
              </w:rPr>
              <w:t>场边界</w:t>
            </w:r>
          </w:p>
        </w:tc>
        <w:tc>
          <w:tcPr>
            <w:tcW w:w="1527"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每年1次，每次不少于2天</w:t>
            </w:r>
          </w:p>
        </w:tc>
        <w:tc>
          <w:tcPr>
            <w:tcW w:w="3259" w:type="dxa"/>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非甲烷总烃执行《大气污染物综合排放标准》（GB 16297-1996）无组织排放限值</w:t>
            </w:r>
            <w:r>
              <w:rPr>
                <w:rFonts w:hint="default" w:ascii="Times New Roman" w:hAnsi="Times New Roman" w:eastAsia="宋体" w:cs="Times New Roman"/>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83"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地表水环境</w:t>
            </w:r>
          </w:p>
        </w:tc>
        <w:tc>
          <w:tcPr>
            <w:tcW w:w="2246"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pH、石油类、生化需氧量、化学需氧量、悬浮物、氨氮、挥发酚</w:t>
            </w:r>
          </w:p>
        </w:tc>
        <w:tc>
          <w:tcPr>
            <w:tcW w:w="1171" w:type="dxa"/>
            <w:shd w:val="clear" w:color="auto" w:fill="auto"/>
            <w:vAlign w:val="center"/>
          </w:tcPr>
          <w:p>
            <w:pPr>
              <w:widowControl w:val="0"/>
              <w:spacing w:after="0"/>
              <w:jc w:val="center"/>
              <w:textAlignment w:val="center"/>
              <w:rPr>
                <w:rFonts w:hint="eastAsia"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工农河</w:t>
            </w:r>
          </w:p>
        </w:tc>
        <w:tc>
          <w:tcPr>
            <w:tcW w:w="1527"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每年1次</w:t>
            </w:r>
          </w:p>
        </w:tc>
        <w:tc>
          <w:tcPr>
            <w:tcW w:w="3259" w:type="dxa"/>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eastAsia" w:ascii="Times New Roman" w:hAnsi="Times New Roman" w:eastAsia="宋体" w:cs="Times New Roman"/>
                <w:kern w:val="2"/>
                <w:sz w:val="21"/>
                <w:szCs w:val="21"/>
                <w:lang w:val="en-US" w:eastAsia="zh-CN"/>
              </w:rPr>
              <w:t>工农河</w:t>
            </w:r>
            <w:r>
              <w:rPr>
                <w:rFonts w:hint="default" w:ascii="Times New Roman" w:hAnsi="Times New Roman" w:eastAsia="宋体" w:cs="Times New Roman"/>
                <w:kern w:val="2"/>
                <w:sz w:val="21"/>
                <w:szCs w:val="21"/>
              </w:rPr>
              <w:t>执行《地表水环境质量标准》（GB3838-2002）中的Ⅴ类水域标准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83"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声环境</w:t>
            </w:r>
          </w:p>
        </w:tc>
        <w:tc>
          <w:tcPr>
            <w:tcW w:w="2246"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等效连续A声级</w:t>
            </w:r>
          </w:p>
        </w:tc>
        <w:tc>
          <w:tcPr>
            <w:tcW w:w="1171"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eastAsia" w:ascii="Times New Roman" w:hAnsi="Times New Roman" w:eastAsia="宋体" w:cs="Times New Roman"/>
                <w:kern w:val="2"/>
                <w:sz w:val="21"/>
                <w:szCs w:val="21"/>
                <w:lang w:val="en-US" w:eastAsia="zh-CN"/>
              </w:rPr>
              <w:t>站</w:t>
            </w:r>
            <w:r>
              <w:rPr>
                <w:rFonts w:hint="default" w:ascii="Times New Roman" w:hAnsi="Times New Roman" w:eastAsia="宋体" w:cs="Times New Roman"/>
                <w:kern w:val="2"/>
                <w:sz w:val="21"/>
                <w:szCs w:val="21"/>
              </w:rPr>
              <w:t>场边界</w:t>
            </w:r>
          </w:p>
        </w:tc>
        <w:tc>
          <w:tcPr>
            <w:tcW w:w="1527" w:type="dxa"/>
            <w:shd w:val="clear" w:color="auto" w:fill="auto"/>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每年1次，每次监测1天，分昼间和夜间</w:t>
            </w:r>
          </w:p>
        </w:tc>
        <w:tc>
          <w:tcPr>
            <w:tcW w:w="3259" w:type="dxa"/>
            <w:vAlign w:val="center"/>
          </w:tcPr>
          <w:p>
            <w:pPr>
              <w:widowControl w:val="0"/>
              <w:spacing w:after="0"/>
              <w:jc w:val="center"/>
              <w:textAlignment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《工业企业厂界环境噪声排放标准》（GB 13348-2008）2类</w:t>
            </w:r>
          </w:p>
        </w:tc>
      </w:tr>
    </w:tbl>
    <w:p>
      <w:pPr>
        <w:pStyle w:val="11"/>
        <w:keepNext w:val="0"/>
        <w:keepLines w:val="0"/>
        <w:pageBreakBefore w:val="0"/>
        <w:widowControl w:val="0"/>
        <w:kinsoku/>
        <w:wordWrap/>
        <w:overflowPunct/>
        <w:topLinePunct w:val="0"/>
        <w:autoSpaceDE/>
        <w:autoSpaceDN/>
        <w:bidi w:val="0"/>
        <w:adjustRightInd w:val="0"/>
        <w:snapToGrid w:val="0"/>
        <w:spacing w:beforeLines="0" w:line="240" w:lineRule="auto"/>
        <w:jc w:val="both"/>
        <w:textAlignment w:val="auto"/>
        <w:rPr>
          <w:rFonts w:hint="default" w:ascii="Times New Roman" w:hAnsi="Times New Roman" w:eastAsia="宋体" w:cs="Times New Roman"/>
          <w:b/>
          <w:bCs/>
          <w:sz w:val="24"/>
          <w:szCs w:val="24"/>
        </w:rPr>
      </w:pPr>
    </w:p>
    <w:p>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sz w:val="32"/>
          <w:szCs w:val="32"/>
        </w:rPr>
        <w:t>3整改工作情况</w:t>
      </w:r>
    </w:p>
    <w:p>
      <w:pPr>
        <w:keepNext w:val="0"/>
        <w:keepLines w:val="0"/>
        <w:pageBreakBefore w:val="0"/>
        <w:widowControl/>
        <w:kinsoku/>
        <w:wordWrap/>
        <w:overflowPunct/>
        <w:topLinePunct w:val="0"/>
        <w:autoSpaceDE/>
        <w:autoSpaceDN/>
        <w:bidi w:val="0"/>
        <w:adjustRightInd w:val="0"/>
        <w:snapToGrid w:val="0"/>
        <w:spacing w:after="0" w:line="360" w:lineRule="auto"/>
        <w:ind w:firstLine="562" w:firstLineChars="200"/>
        <w:jc w:val="both"/>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3.1报告</w:t>
      </w:r>
      <w:r>
        <w:rPr>
          <w:rFonts w:hint="eastAsia" w:ascii="Times New Roman" w:hAnsi="Times New Roman" w:eastAsia="宋体" w:cs="Times New Roman"/>
          <w:b/>
          <w:bCs/>
          <w:sz w:val="28"/>
          <w:szCs w:val="28"/>
          <w:lang w:val="en-US" w:eastAsia="zh-CN"/>
        </w:rPr>
        <w:t>表</w:t>
      </w:r>
      <w:r>
        <w:rPr>
          <w:rFonts w:hint="default" w:ascii="Times New Roman" w:hAnsi="Times New Roman" w:eastAsia="宋体" w:cs="Times New Roman"/>
          <w:b/>
          <w:bCs/>
          <w:sz w:val="28"/>
          <w:szCs w:val="28"/>
        </w:rPr>
        <w:t>中提出的原有工程整改情况</w:t>
      </w:r>
    </w:p>
    <w:p>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rPr>
      </w:pPr>
      <w:r>
        <w:rPr>
          <w:rFonts w:hint="default" w:ascii="Times New Roman" w:hAnsi="Times New Roman" w:cs="Times New Roman"/>
          <w:snapToGrid w:val="0"/>
        </w:rPr>
        <w:t>本项目为</w:t>
      </w:r>
      <w:r>
        <w:rPr>
          <w:rFonts w:hint="eastAsia" w:ascii="Times New Roman" w:hAnsi="Times New Roman" w:cs="Times New Roman"/>
          <w:snapToGrid w:val="0"/>
          <w:lang w:val="en-US" w:eastAsia="zh-CN"/>
        </w:rPr>
        <w:t>改扩建</w:t>
      </w:r>
      <w:r>
        <w:rPr>
          <w:rFonts w:hint="default" w:ascii="Times New Roman" w:hAnsi="Times New Roman" w:cs="Times New Roman"/>
          <w:snapToGrid w:val="0"/>
        </w:rPr>
        <w:t>项目，不存在原有工程的整改情况</w:t>
      </w:r>
      <w:r>
        <w:rPr>
          <w:rFonts w:hint="default" w:ascii="Times New Roman" w:hAnsi="Times New Roman" w:cs="Times New Roma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CF5DAF"/>
    <w:rsid w:val="1EC4713E"/>
    <w:rsid w:val="41CF5DAF"/>
    <w:rsid w:val="62E972CB"/>
    <w:rsid w:val="686D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before="0" w:after="200" w:line="240" w:lineRule="auto"/>
      <w:jc w:val="left"/>
    </w:pPr>
    <w:rPr>
      <w:rFonts w:ascii="Tahoma" w:hAnsi="Tahoma" w:eastAsia="微软雅黑" w:cs="Times New Roman"/>
      <w:kern w:val="0"/>
      <w:sz w:val="22"/>
      <w:szCs w:val="22"/>
      <w:lang w:val="en-US" w:eastAsia="zh-CN" w:bidi="ar-SA"/>
    </w:rPr>
  </w:style>
  <w:style w:type="character" w:default="1" w:styleId="8">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spacing w:before="0" w:after="0" w:line="240" w:lineRule="auto"/>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9">
    <w:name w:val="样式 正文 首行缩进:  2 字符 SL CON + 首行缩进:  2 字符 + 首行缩进:  2 字符 + 首行缩..."/>
    <w:basedOn w:val="1"/>
    <w:qFormat/>
    <w:uiPriority w:val="0"/>
    <w:pPr>
      <w:tabs>
        <w:tab w:val="left" w:pos="377"/>
      </w:tabs>
      <w:adjustRightInd/>
      <w:snapToGrid/>
      <w:spacing w:after="0" w:line="360" w:lineRule="auto"/>
      <w:ind w:firstLine="560" w:firstLineChars="200"/>
    </w:pPr>
    <w:rPr>
      <w:rFonts w:ascii="宋体" w:hAnsi="宋体" w:eastAsia="宋体"/>
      <w:sz w:val="28"/>
      <w:szCs w:val="20"/>
    </w:rPr>
  </w:style>
  <w:style w:type="character" w:customStyle="1" w:styleId="10">
    <w:name w:val="fontstyle21"/>
    <w:basedOn w:val="8"/>
    <w:qFormat/>
    <w:uiPriority w:val="0"/>
    <w:rPr>
      <w:rFonts w:ascii="TimesNewRomanPSMT" w:hAnsi="TimesNewRomanPSMT" w:eastAsia="TimesNewRomanPSMT" w:cs="TimesNewRomanPSMT"/>
      <w:color w:val="000000"/>
      <w:sz w:val="24"/>
      <w:szCs w:val="24"/>
    </w:rPr>
  </w:style>
  <w:style w:type="paragraph" w:customStyle="1" w:styleId="11">
    <w:name w:val="lm表头"/>
    <w:basedOn w:val="1"/>
    <w:qFormat/>
    <w:uiPriority w:val="0"/>
    <w:pPr>
      <w:widowControl w:val="0"/>
      <w:adjustRightInd/>
      <w:snapToGrid/>
      <w:spacing w:beforeLines="50" w:after="0" w:line="331" w:lineRule="auto"/>
      <w:jc w:val="center"/>
    </w:pPr>
    <w:rPr>
      <w:rFonts w:ascii="宋体" w:hAnsi="宋体" w:eastAsia="宋体"/>
      <w:bCs/>
      <w:kern w:val="2"/>
      <w:sz w:val="21"/>
      <w:szCs w:val="21"/>
    </w:rPr>
  </w:style>
  <w:style w:type="paragraph" w:customStyle="1" w:styleId="12">
    <w:name w:val="lm表格内文字"/>
    <w:basedOn w:val="1"/>
    <w:qFormat/>
    <w:uiPriority w:val="0"/>
    <w:pPr>
      <w:widowControl w:val="0"/>
      <w:adjustRightInd/>
      <w:snapToGrid/>
      <w:spacing w:after="0"/>
      <w:jc w:val="center"/>
      <w:textAlignment w:val="center"/>
    </w:pPr>
    <w:rPr>
      <w:rFonts w:ascii="宋体" w:hAnsi="宋体" w:eastAsia="宋体"/>
      <w:kern w:val="2"/>
      <w:sz w:val="21"/>
      <w:szCs w:val="21"/>
    </w:rPr>
  </w:style>
  <w:style w:type="paragraph" w:customStyle="1" w:styleId="13">
    <w:name w:val="lm正文"/>
    <w:basedOn w:val="1"/>
    <w:qFormat/>
    <w:uiPriority w:val="0"/>
    <w:pPr>
      <w:widowControl w:val="0"/>
      <w:spacing w:after="0" w:line="331" w:lineRule="auto"/>
      <w:ind w:firstLine="480" w:firstLineChars="200"/>
      <w:jc w:val="both"/>
    </w:pPr>
    <w:rPr>
      <w:rFonts w:ascii="宋体" w:hAnsi="宋体" w:eastAsia="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2019-08-04T13:15:00Z</dcterms:created>
  <dc:creator>凉城旧人</dc:creator>
  <cp:lastModifiedBy>凉城旧人</cp:lastModifiedBy>
  <dcterms:modified xsi:type="dcterms:W3CDTF">2019-08-15T06:14:59Z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